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06B13C" w14:textId="0F4887E5" w:rsidR="3778350F" w:rsidRPr="001C5419" w:rsidRDefault="3778350F" w:rsidP="003F6EA8">
      <w:pPr>
        <w:ind w:left="260" w:hanging="260"/>
        <w:rPr>
          <w:rFonts w:ascii="Times New Roman" w:eastAsia="Times New Roman" w:hAnsi="Times New Roman"/>
          <w:bCs/>
          <w:color w:val="333333"/>
          <w:sz w:val="20"/>
          <w:szCs w:val="20"/>
        </w:rPr>
      </w:pPr>
      <w:r w:rsidRPr="3778350F">
        <w:rPr>
          <w:rFonts w:ascii="Times New Roman" w:eastAsia="Times New Roman" w:hAnsi="Times New Roman"/>
          <w:b/>
          <w:bCs/>
          <w:color w:val="333333"/>
          <w:sz w:val="24"/>
        </w:rPr>
        <w:t>Additional file 1: Figure S1</w:t>
      </w:r>
      <w:r w:rsidR="00D343DE" w:rsidRPr="00B07096">
        <w:rPr>
          <w:sz w:val="22"/>
          <w:szCs w:val="22"/>
        </w:rPr>
        <w:t>−</w:t>
      </w:r>
      <w:r w:rsidR="00D343DE">
        <w:rPr>
          <w:sz w:val="22"/>
          <w:szCs w:val="22"/>
        </w:rPr>
        <w:t>8</w:t>
      </w:r>
    </w:p>
    <w:p w14:paraId="0DFF9FAF" w14:textId="35035579" w:rsidR="3778350F" w:rsidRDefault="3778350F" w:rsidP="003F6EA8">
      <w:pPr>
        <w:ind w:left="217" w:hanging="217"/>
        <w:rPr>
          <w:rFonts w:ascii="Arial" w:eastAsia="Arial" w:hAnsi="Arial" w:cs="Arial"/>
          <w:b/>
          <w:bCs/>
          <w:color w:val="333333"/>
          <w:sz w:val="20"/>
          <w:szCs w:val="20"/>
        </w:rPr>
      </w:pPr>
    </w:p>
    <w:p w14:paraId="630D1ECA" w14:textId="2F2B6B39" w:rsidR="00DB59EC" w:rsidRDefault="00CE3EBF" w:rsidP="003F6EA8">
      <w:pPr>
        <w:ind w:left="260" w:hanging="26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“</w:t>
      </w:r>
      <w:r w:rsidR="005B22AB">
        <w:rPr>
          <w:rFonts w:ascii="Times New Roman" w:hAnsi="Times New Roman"/>
          <w:b/>
          <w:sz w:val="24"/>
        </w:rPr>
        <w:t>Spatial variation</w:t>
      </w:r>
      <w:r>
        <w:rPr>
          <w:rFonts w:ascii="Times New Roman" w:hAnsi="Times New Roman"/>
          <w:b/>
          <w:sz w:val="24"/>
        </w:rPr>
        <w:t>s</w:t>
      </w:r>
      <w:r w:rsidR="005B22AB">
        <w:rPr>
          <w:rFonts w:ascii="Times New Roman" w:hAnsi="Times New Roman"/>
          <w:b/>
          <w:sz w:val="24"/>
        </w:rPr>
        <w:t xml:space="preserve"> in </w:t>
      </w:r>
      <w:r>
        <w:rPr>
          <w:rFonts w:ascii="Times New Roman" w:hAnsi="Times New Roman"/>
          <w:b/>
          <w:sz w:val="24"/>
        </w:rPr>
        <w:t xml:space="preserve">seismicity </w:t>
      </w:r>
      <w:r w:rsidR="005B22AB">
        <w:rPr>
          <w:rFonts w:ascii="Times New Roman" w:hAnsi="Times New Roman"/>
          <w:b/>
          <w:sz w:val="24"/>
        </w:rPr>
        <w:t xml:space="preserve">characteristics in and around the source </w:t>
      </w:r>
      <w:r w:rsidR="00C01D60">
        <w:rPr>
          <w:rFonts w:ascii="Times New Roman" w:hAnsi="Times New Roman"/>
          <w:b/>
          <w:sz w:val="24"/>
        </w:rPr>
        <w:t>region</w:t>
      </w:r>
      <w:r w:rsidR="005B22AB">
        <w:rPr>
          <w:rFonts w:ascii="Times New Roman" w:hAnsi="Times New Roman"/>
          <w:b/>
          <w:sz w:val="24"/>
        </w:rPr>
        <w:t xml:space="preserve"> of the 2019 Yamagata-Oki </w:t>
      </w:r>
      <w:r>
        <w:rPr>
          <w:rFonts w:ascii="Times New Roman" w:hAnsi="Times New Roman"/>
          <w:b/>
          <w:sz w:val="24"/>
        </w:rPr>
        <w:t xml:space="preserve">Earthquake” </w:t>
      </w:r>
      <w:r w:rsidR="00DB59EC">
        <w:rPr>
          <w:rFonts w:ascii="Times New Roman" w:hAnsi="Times New Roman" w:hint="eastAsia"/>
          <w:b/>
          <w:sz w:val="24"/>
        </w:rPr>
        <w:t xml:space="preserve">by </w:t>
      </w:r>
      <w:proofErr w:type="spellStart"/>
      <w:r w:rsidR="00830FE1">
        <w:rPr>
          <w:rFonts w:ascii="Times New Roman" w:hAnsi="Times New Roman"/>
          <w:b/>
          <w:sz w:val="24"/>
        </w:rPr>
        <w:t>Taku</w:t>
      </w:r>
      <w:proofErr w:type="spellEnd"/>
      <w:r w:rsidR="00830FE1">
        <w:rPr>
          <w:rFonts w:ascii="Times New Roman" w:hAnsi="Times New Roman"/>
          <w:b/>
          <w:sz w:val="24"/>
        </w:rPr>
        <w:t xml:space="preserve"> Ueda</w:t>
      </w:r>
      <w:r w:rsidR="00DB59EC">
        <w:rPr>
          <w:rFonts w:ascii="Times New Roman" w:hAnsi="Times New Roman" w:hint="eastAsia"/>
          <w:b/>
          <w:sz w:val="24"/>
        </w:rPr>
        <w:t xml:space="preserve"> et al.</w:t>
      </w:r>
    </w:p>
    <w:p w14:paraId="53ECA919" w14:textId="77777777" w:rsidR="00011227" w:rsidRDefault="00543FF9" w:rsidP="00011227">
      <w:pPr>
        <w:ind w:left="260" w:hanging="26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 w:rsidR="00011227">
        <w:rPr>
          <w:rFonts w:ascii="Times New Roman" w:hAnsi="Times New Roman"/>
          <w:b/>
          <w:noProof/>
          <w:sz w:val="24"/>
        </w:rPr>
        <w:lastRenderedPageBreak/>
        <w:drawing>
          <wp:inline distT="0" distB="0" distL="0" distR="0" wp14:anchorId="21DE4BDE" wp14:editId="738E0648">
            <wp:extent cx="6188710" cy="2160308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16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EA3A2" w14:textId="2A7AAB97" w:rsidR="00543FF9" w:rsidRPr="005B6208" w:rsidRDefault="00011227" w:rsidP="00011227">
      <w:pPr>
        <w:ind w:left="260" w:hanging="260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A</w:t>
      </w:r>
      <w:r>
        <w:rPr>
          <w:rFonts w:ascii="Times New Roman" w:hAnsi="Times New Roman"/>
          <w:b/>
          <w:sz w:val="24"/>
        </w:rPr>
        <w:t xml:space="preserve">dditional Figure S1 </w:t>
      </w:r>
      <w:r w:rsidR="00EE77A4">
        <w:rPr>
          <w:rFonts w:ascii="Times New Roman" w:hAnsi="Times New Roman"/>
          <w:bCs/>
          <w:sz w:val="24"/>
        </w:rPr>
        <w:t>(a) Cumulative frequency-magnitude distributions of the earthquakes that were recorded from 1998 and which occurred within the blue rectangular box in Fig. 1c. (b) M</w:t>
      </w:r>
      <w:r w:rsidR="00A05328" w:rsidRPr="007A0D78">
        <w:rPr>
          <w:rFonts w:ascii="Times New Roman" w:hAnsi="Times New Roman"/>
          <w:bCs/>
          <w:sz w:val="24"/>
        </w:rPr>
        <w:t xml:space="preserve">agnitude-time plot </w:t>
      </w:r>
      <w:r w:rsidR="00A05328">
        <w:rPr>
          <w:rFonts w:ascii="Times New Roman" w:hAnsi="Times New Roman"/>
          <w:bCs/>
          <w:sz w:val="24"/>
        </w:rPr>
        <w:t xml:space="preserve">of the aftershocks </w:t>
      </w:r>
      <w:r w:rsidR="00772BB6">
        <w:rPr>
          <w:rFonts w:ascii="Times New Roman" w:hAnsi="Times New Roman"/>
          <w:bCs/>
          <w:sz w:val="24"/>
        </w:rPr>
        <w:t>(</w:t>
      </w:r>
      <m:oMath>
        <m:sSub>
          <m:sSubPr>
            <m:ctrlPr>
              <w:rPr>
                <w:rFonts w:ascii="Cambria Math" w:hAnsi="Cambria Math"/>
                <w:bCs/>
                <w:i/>
                <w:color w:val="000000"/>
                <w:kern w:val="0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color w:val="000000"/>
                <w:kern w:val="0"/>
              </w:rPr>
              <m:t>M</m:t>
            </m:r>
          </m:e>
          <m:sub>
            <m:r>
              <m:rPr>
                <m:nor/>
              </m:rPr>
              <w:rPr>
                <w:rFonts w:ascii="Cambria Math" w:hAnsi="Cambria Math"/>
                <w:color w:val="000000"/>
                <w:kern w:val="0"/>
              </w:rPr>
              <m:t>j</m:t>
            </m:r>
          </m:sub>
        </m:sSub>
        <m:r>
          <w:rPr>
            <w:rFonts w:ascii="Cambria Math" w:hAnsi="Cambria Math"/>
            <w:color w:val="000000"/>
            <w:kern w:val="0"/>
          </w:rPr>
          <m:t>≥0.0</m:t>
        </m:r>
      </m:oMath>
      <w:r w:rsidR="00772BB6">
        <w:rPr>
          <w:rFonts w:ascii="Times New Roman" w:hAnsi="Times New Roman" w:hint="eastAsia"/>
          <w:color w:val="000000"/>
          <w:kern w:val="0"/>
        </w:rPr>
        <w:t>)</w:t>
      </w:r>
      <w:r w:rsidR="00E359CD">
        <w:rPr>
          <w:rFonts w:ascii="Times New Roman" w:hAnsi="Times New Roman" w:hint="eastAsia"/>
          <w:color w:val="000000"/>
          <w:kern w:val="0"/>
        </w:rPr>
        <w:t xml:space="preserve"> </w:t>
      </w:r>
      <w:r w:rsidR="00A05328">
        <w:rPr>
          <w:rFonts w:ascii="Times New Roman" w:hAnsi="Times New Roman"/>
          <w:bCs/>
          <w:sz w:val="24"/>
        </w:rPr>
        <w:t xml:space="preserve">that occurred within 24 h </w:t>
      </w:r>
      <w:r w:rsidR="00C84B71">
        <w:rPr>
          <w:rFonts w:ascii="Times New Roman" w:hAnsi="Times New Roman"/>
          <w:bCs/>
          <w:sz w:val="24"/>
        </w:rPr>
        <w:t>following</w:t>
      </w:r>
      <w:r w:rsidR="003E69B5">
        <w:rPr>
          <w:rFonts w:ascii="Times New Roman" w:hAnsi="Times New Roman"/>
          <w:bCs/>
          <w:sz w:val="24"/>
        </w:rPr>
        <w:t xml:space="preserve"> </w:t>
      </w:r>
      <w:r w:rsidR="00A05328">
        <w:rPr>
          <w:rFonts w:ascii="Times New Roman" w:hAnsi="Times New Roman"/>
          <w:bCs/>
          <w:sz w:val="24"/>
        </w:rPr>
        <w:t xml:space="preserve">the 2019 Yamagata-Oki </w:t>
      </w:r>
      <w:r w:rsidR="00A2371B">
        <w:rPr>
          <w:rFonts w:ascii="Times New Roman" w:hAnsi="Times New Roman"/>
          <w:bCs/>
          <w:sz w:val="24"/>
        </w:rPr>
        <w:t>e</w:t>
      </w:r>
      <w:r w:rsidR="00A05328">
        <w:rPr>
          <w:rFonts w:ascii="Times New Roman" w:hAnsi="Times New Roman"/>
          <w:bCs/>
          <w:sz w:val="24"/>
        </w:rPr>
        <w:t>arthquake.</w:t>
      </w:r>
      <w:bookmarkStart w:id="0" w:name="_GoBack"/>
      <w:bookmarkEnd w:id="0"/>
      <w:r>
        <w:rPr>
          <w:rFonts w:ascii="Times New Roman" w:hAnsi="Times New Roman"/>
          <w:b/>
          <w:sz w:val="24"/>
        </w:rPr>
        <w:br w:type="page"/>
      </w:r>
    </w:p>
    <w:p w14:paraId="5DAB6C7B" w14:textId="77777777" w:rsidR="00E47532" w:rsidRDefault="00E47532" w:rsidP="00E47532">
      <w:pPr>
        <w:ind w:left="227"/>
      </w:pPr>
      <w:r>
        <w:rPr>
          <w:rFonts w:hint="eastAsia"/>
          <w:noProof/>
          <w:lang w:eastAsia="en-US"/>
        </w:rPr>
        <w:lastRenderedPageBreak/>
        <w:drawing>
          <wp:inline distT="0" distB="0" distL="0" distR="0" wp14:anchorId="0F39B9D7" wp14:editId="7831D2FD">
            <wp:extent cx="6555530" cy="444636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55530" cy="444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D3B61" w14:textId="49DD1B88" w:rsidR="00E47532" w:rsidRPr="00050842" w:rsidRDefault="3778350F" w:rsidP="003F6EA8">
      <w:pPr>
        <w:ind w:left="260" w:hanging="260"/>
        <w:rPr>
          <w:rFonts w:ascii="Times New Roman" w:hAnsi="Times New Roman"/>
          <w:sz w:val="22"/>
          <w:szCs w:val="22"/>
        </w:rPr>
      </w:pPr>
      <w:r w:rsidRPr="3778350F">
        <w:rPr>
          <w:rFonts w:ascii="Times New Roman" w:hAnsi="Times New Roman"/>
          <w:b/>
          <w:bCs/>
          <w:sz w:val="24"/>
        </w:rPr>
        <w:t>Additional Figure S</w:t>
      </w:r>
      <w:r w:rsidR="001B4010">
        <w:rPr>
          <w:rFonts w:ascii="Times New Roman" w:hAnsi="Times New Roman"/>
          <w:b/>
          <w:bCs/>
          <w:sz w:val="24"/>
        </w:rPr>
        <w:t>2</w:t>
      </w:r>
      <w:r w:rsidRPr="3778350F">
        <w:rPr>
          <w:rFonts w:ascii="Times New Roman" w:hAnsi="Times New Roman"/>
          <w:b/>
          <w:bCs/>
          <w:sz w:val="24"/>
        </w:rPr>
        <w:t xml:space="preserve"> </w:t>
      </w:r>
      <w:r w:rsidR="00170C31" w:rsidRPr="001C5419">
        <w:rPr>
          <w:rFonts w:ascii="Times New Roman" w:hAnsi="Times New Roman"/>
          <w:bCs/>
          <w:sz w:val="24"/>
        </w:rPr>
        <w:t>Spatial distribution</w:t>
      </w:r>
      <w:r w:rsidR="003F6EA8" w:rsidRPr="001C5419">
        <w:rPr>
          <w:rFonts w:ascii="Times New Roman" w:hAnsi="Times New Roman"/>
          <w:bCs/>
          <w:sz w:val="24"/>
        </w:rPr>
        <w:t>s</w:t>
      </w:r>
      <w:r w:rsidR="00170C31" w:rsidRPr="001C5419">
        <w:rPr>
          <w:rFonts w:ascii="Times New Roman" w:hAnsi="Times New Roman"/>
          <w:bCs/>
          <w:sz w:val="24"/>
        </w:rPr>
        <w:t xml:space="preserve"> of </w:t>
      </w:r>
      <w:r w:rsidR="003F6EA8" w:rsidRPr="001C5419">
        <w:rPr>
          <w:rFonts w:ascii="Times New Roman" w:hAnsi="Times New Roman"/>
          <w:bCs/>
          <w:sz w:val="24"/>
        </w:rPr>
        <w:t xml:space="preserve">the </w:t>
      </w:r>
      <w:r w:rsidR="00170C31" w:rsidRPr="001C5419">
        <w:rPr>
          <w:rFonts w:ascii="Times New Roman" w:hAnsi="Times New Roman"/>
          <w:bCs/>
          <w:sz w:val="24"/>
        </w:rPr>
        <w:t>standard deviation</w:t>
      </w:r>
      <w:r w:rsidR="003F6EA8" w:rsidRPr="001C5419">
        <w:rPr>
          <w:rFonts w:ascii="Times New Roman" w:hAnsi="Times New Roman"/>
          <w:bCs/>
          <w:sz w:val="24"/>
        </w:rPr>
        <w:t>s</w:t>
      </w:r>
      <w:r w:rsidR="00170C31" w:rsidRPr="001C5419">
        <w:rPr>
          <w:rFonts w:ascii="Times New Roman" w:hAnsi="Times New Roman"/>
          <w:bCs/>
          <w:sz w:val="24"/>
        </w:rPr>
        <w:t xml:space="preserve"> of </w:t>
      </w:r>
      <w:r w:rsidR="003F6EA8" w:rsidRPr="001C5419">
        <w:rPr>
          <w:rFonts w:ascii="Times New Roman" w:hAnsi="Times New Roman"/>
          <w:bCs/>
          <w:sz w:val="24"/>
        </w:rPr>
        <w:t xml:space="preserve">the </w:t>
      </w:r>
      <w:r w:rsidR="00170C31" w:rsidRPr="001C5419">
        <w:rPr>
          <w:rFonts w:ascii="Times New Roman" w:hAnsi="Times New Roman"/>
          <w:bCs/>
          <w:sz w:val="24"/>
        </w:rPr>
        <w:t>relative HIST-ETAS parameters</w:t>
      </w:r>
      <w:r w:rsidR="001B4010">
        <w:rPr>
          <w:rFonts w:ascii="Times New Roman" w:hAnsi="Times New Roman"/>
          <w:bCs/>
          <w:sz w:val="24"/>
        </w:rPr>
        <w:t xml:space="preserve"> calculated by using resampled data set extracting 90% of the earthquake data used in the analysis</w:t>
      </w:r>
      <w:r w:rsidR="00170C31" w:rsidRPr="001C5419">
        <w:rPr>
          <w:rFonts w:ascii="Times New Roman" w:hAnsi="Times New Roman"/>
          <w:bCs/>
          <w:sz w:val="24"/>
        </w:rPr>
        <w:t>.</w:t>
      </w:r>
      <w:r w:rsidR="00170C31" w:rsidRPr="000E36C4">
        <w:rPr>
          <w:rFonts w:ascii="Times New Roman" w:hAnsi="Times New Roman"/>
          <w:b/>
          <w:bCs/>
          <w:sz w:val="24"/>
        </w:rPr>
        <w:t xml:space="preserve"> </w:t>
      </w:r>
      <w:r w:rsidR="00170C31" w:rsidRPr="000E36C4">
        <w:rPr>
          <w:rFonts w:ascii="Times New Roman" w:hAnsi="Times New Roman"/>
          <w:bCs/>
          <w:sz w:val="24"/>
        </w:rPr>
        <w:t>Standard deviation</w:t>
      </w:r>
      <w:r w:rsidR="00B87A76" w:rsidRPr="000E36C4">
        <w:rPr>
          <w:rFonts w:ascii="Times New Roman" w:hAnsi="Times New Roman"/>
          <w:bCs/>
          <w:sz w:val="24"/>
        </w:rPr>
        <w:t>s</w:t>
      </w:r>
      <w:r w:rsidR="00170C31" w:rsidRPr="000E36C4">
        <w:rPr>
          <w:rFonts w:ascii="Times New Roman" w:hAnsi="Times New Roman"/>
          <w:bCs/>
          <w:sz w:val="24"/>
        </w:rPr>
        <w:t xml:space="preserve"> of (a)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μ</m:t>
            </m:r>
            <m:ctrlPr>
              <w:rPr>
                <w:rFonts w:ascii="Cambria Math" w:hAnsi="Cambria Math" w:hint="eastAsia"/>
                <w:bCs/>
                <w:i/>
                <w:sz w:val="24"/>
              </w:rPr>
            </m:ctrlP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="00170C31" w:rsidRPr="001C5419">
        <w:rPr>
          <w:rFonts w:ascii="Times New Roman" w:hAnsi="Times New Roman"/>
          <w:color w:val="000000"/>
          <w:kern w:val="0"/>
          <w:sz w:val="24"/>
        </w:rPr>
        <w:t xml:space="preserve">, (b)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K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="00170C31" w:rsidRPr="001C5419">
        <w:rPr>
          <w:rFonts w:ascii="Times New Roman" w:hAnsi="Times New Roman"/>
          <w:color w:val="000000"/>
          <w:kern w:val="0"/>
          <w:sz w:val="24"/>
        </w:rPr>
        <w:t xml:space="preserve">, (c)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α</m:t>
            </m:r>
            <m:ctrlPr>
              <w:rPr>
                <w:rFonts w:ascii="Cambria Math" w:hAnsi="Cambria Math" w:hint="eastAsia"/>
                <w:bCs/>
                <w:i/>
                <w:sz w:val="24"/>
              </w:rPr>
            </m:ctrlP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="00170C31" w:rsidRPr="001C5419">
        <w:rPr>
          <w:rFonts w:ascii="Times New Roman" w:hAnsi="Times New Roman"/>
          <w:color w:val="000000"/>
          <w:kern w:val="0"/>
          <w:sz w:val="24"/>
        </w:rPr>
        <w:t xml:space="preserve">, (d)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p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="00170C31" w:rsidRPr="001C5419">
        <w:rPr>
          <w:rFonts w:ascii="Times New Roman" w:hAnsi="Times New Roman"/>
          <w:color w:val="000000"/>
          <w:kern w:val="0"/>
          <w:sz w:val="24"/>
        </w:rPr>
        <w:t xml:space="preserve">, </w:t>
      </w:r>
      <w:r w:rsidR="00B87A76" w:rsidRPr="001C5419">
        <w:rPr>
          <w:rFonts w:ascii="Times New Roman" w:hAnsi="Times New Roman"/>
          <w:color w:val="000000"/>
          <w:kern w:val="0"/>
          <w:sz w:val="24"/>
        </w:rPr>
        <w:t xml:space="preserve">and </w:t>
      </w:r>
      <w:r w:rsidR="00170C31" w:rsidRPr="001C5419">
        <w:rPr>
          <w:rFonts w:ascii="Times New Roman" w:hAnsi="Times New Roman"/>
          <w:color w:val="000000"/>
          <w:kern w:val="0"/>
          <w:sz w:val="24"/>
        </w:rPr>
        <w:t xml:space="preserve">(e)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q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="00170C31" w:rsidRPr="001C5419">
        <w:rPr>
          <w:rFonts w:ascii="Times New Roman" w:hAnsi="Times New Roman"/>
          <w:color w:val="000000"/>
          <w:kern w:val="0"/>
          <w:sz w:val="24"/>
        </w:rPr>
        <w:t>.</w:t>
      </w:r>
      <w:r w:rsidR="00CE3EBF" w:rsidRPr="001C5419">
        <w:rPr>
          <w:rFonts w:ascii="Times New Roman" w:hAnsi="Times New Roman"/>
          <w:color w:val="000000"/>
          <w:kern w:val="0"/>
          <w:sz w:val="24"/>
        </w:rPr>
        <w:t xml:space="preserve"> The two stars denote the epicenters of the 1964 Niigata</w:t>
      </w:r>
      <w:r w:rsidR="008F2F1F" w:rsidRPr="001C5419">
        <w:rPr>
          <w:rFonts w:ascii="Times New Roman" w:hAnsi="Times New Roman"/>
          <w:color w:val="000000"/>
          <w:kern w:val="0"/>
          <w:sz w:val="24"/>
        </w:rPr>
        <w:t xml:space="preserve"> (lower)</w:t>
      </w:r>
      <w:r w:rsidR="00CE3EBF" w:rsidRPr="001C5419">
        <w:rPr>
          <w:rFonts w:ascii="Times New Roman" w:hAnsi="Times New Roman"/>
          <w:color w:val="000000"/>
          <w:kern w:val="0"/>
          <w:sz w:val="24"/>
        </w:rPr>
        <w:t xml:space="preserve"> and 2019 Yamagata-Oki </w:t>
      </w:r>
      <w:r w:rsidR="008F2F1F" w:rsidRPr="001C5419">
        <w:rPr>
          <w:rFonts w:ascii="Times New Roman" w:hAnsi="Times New Roman"/>
          <w:color w:val="000000"/>
          <w:kern w:val="0"/>
          <w:sz w:val="24"/>
        </w:rPr>
        <w:t xml:space="preserve">(upper) </w:t>
      </w:r>
      <w:r w:rsidR="00CE3EBF" w:rsidRPr="001C5419">
        <w:rPr>
          <w:rFonts w:ascii="Times New Roman" w:hAnsi="Times New Roman"/>
          <w:color w:val="000000"/>
          <w:kern w:val="0"/>
          <w:sz w:val="24"/>
        </w:rPr>
        <w:t>earthquakes</w:t>
      </w:r>
      <w:r w:rsidR="003F622D" w:rsidRPr="001C5419">
        <w:rPr>
          <w:rFonts w:ascii="Times New Roman" w:hAnsi="Times New Roman"/>
          <w:color w:val="000000"/>
          <w:kern w:val="0"/>
          <w:sz w:val="24"/>
        </w:rPr>
        <w:t>.</w:t>
      </w:r>
      <w:r w:rsidR="00FA4C54">
        <w:rPr>
          <w:rFonts w:ascii="Times New Roman" w:hAnsi="Times New Roman"/>
          <w:color w:val="000000"/>
          <w:kern w:val="0"/>
          <w:sz w:val="24"/>
        </w:rPr>
        <w:t xml:space="preserve"> Gray lines are </w:t>
      </w:r>
      <w:r w:rsidR="00C84B71">
        <w:rPr>
          <w:rFonts w:ascii="Times New Roman" w:hAnsi="Times New Roman"/>
          <w:color w:val="000000"/>
          <w:kern w:val="0"/>
          <w:sz w:val="24"/>
        </w:rPr>
        <w:t xml:space="preserve">the surface traces of </w:t>
      </w:r>
      <w:r w:rsidR="00FA4C54">
        <w:rPr>
          <w:rFonts w:ascii="Times New Roman" w:hAnsi="Times New Roman"/>
          <w:color w:val="000000"/>
          <w:kern w:val="0"/>
          <w:sz w:val="24"/>
        </w:rPr>
        <w:t>active Quaternary faults.</w:t>
      </w:r>
    </w:p>
    <w:p w14:paraId="3461D779" w14:textId="20D5A6CD" w:rsidR="001B4010" w:rsidRDefault="001B4010" w:rsidP="005B6208">
      <w:pPr>
        <w:ind w:firstLineChars="0" w:firstLine="0"/>
      </w:pPr>
      <w:r>
        <w:br w:type="page"/>
      </w:r>
    </w:p>
    <w:p w14:paraId="2B8D6B29" w14:textId="77777777" w:rsidR="00367466" w:rsidRDefault="00367466" w:rsidP="00367466">
      <w:pPr>
        <w:ind w:left="227"/>
      </w:pPr>
      <w:r>
        <w:rPr>
          <w:rFonts w:hint="eastAsia"/>
          <w:noProof/>
          <w:lang w:eastAsia="en-US"/>
        </w:rPr>
        <w:lastRenderedPageBreak/>
        <w:drawing>
          <wp:inline distT="0" distB="0" distL="0" distR="0" wp14:anchorId="58B9C571" wp14:editId="7AFFB28F">
            <wp:extent cx="6555530" cy="4446359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55530" cy="444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4D5A4" w14:textId="75DFAF20" w:rsidR="00367466" w:rsidRPr="00050842" w:rsidRDefault="00367466" w:rsidP="00367466">
      <w:pPr>
        <w:ind w:left="260" w:hanging="260"/>
        <w:rPr>
          <w:rFonts w:ascii="Times New Roman" w:hAnsi="Times New Roman"/>
          <w:sz w:val="22"/>
          <w:szCs w:val="22"/>
        </w:rPr>
      </w:pPr>
      <w:r w:rsidRPr="3778350F">
        <w:rPr>
          <w:rFonts w:ascii="Times New Roman" w:hAnsi="Times New Roman"/>
          <w:b/>
          <w:bCs/>
          <w:sz w:val="24"/>
        </w:rPr>
        <w:t>Additional Figure S</w:t>
      </w:r>
      <w:r>
        <w:rPr>
          <w:rFonts w:ascii="Times New Roman" w:hAnsi="Times New Roman"/>
          <w:b/>
          <w:bCs/>
          <w:sz w:val="24"/>
        </w:rPr>
        <w:t>3</w:t>
      </w:r>
      <w:r w:rsidRPr="3778350F">
        <w:rPr>
          <w:rFonts w:ascii="Times New Roman" w:hAnsi="Times New Roman" w:hint="eastAsia"/>
          <w:b/>
          <w:bCs/>
          <w:sz w:val="24"/>
        </w:rPr>
        <w:t xml:space="preserve"> </w:t>
      </w:r>
      <w:r w:rsidRPr="001C5419">
        <w:rPr>
          <w:rFonts w:ascii="Times New Roman" w:hAnsi="Times New Roman"/>
          <w:bCs/>
          <w:sz w:val="24"/>
        </w:rPr>
        <w:t>Spatial distributions of the standard deviations of the relative HIST-ETAS parameters</w:t>
      </w:r>
      <w:r>
        <w:rPr>
          <w:rFonts w:ascii="Times New Roman" w:hAnsi="Times New Roman"/>
          <w:bCs/>
          <w:sz w:val="24"/>
        </w:rPr>
        <w:t xml:space="preserve"> calculated by using resampled data set extracting 80% of the earthquake data used in the analysis</w:t>
      </w:r>
      <w:r w:rsidRPr="001C5419">
        <w:rPr>
          <w:rFonts w:ascii="Times New Roman" w:hAnsi="Times New Roman"/>
          <w:bCs/>
          <w:sz w:val="24"/>
        </w:rPr>
        <w:t>.</w:t>
      </w:r>
      <w:r w:rsidRPr="000E36C4">
        <w:rPr>
          <w:rFonts w:ascii="Times New Roman" w:hAnsi="Times New Roman"/>
          <w:b/>
          <w:bCs/>
          <w:sz w:val="24"/>
        </w:rPr>
        <w:t xml:space="preserve"> </w:t>
      </w:r>
      <w:r w:rsidRPr="000E36C4">
        <w:rPr>
          <w:rFonts w:ascii="Times New Roman" w:hAnsi="Times New Roman"/>
          <w:bCs/>
          <w:sz w:val="24"/>
        </w:rPr>
        <w:t xml:space="preserve">Standard deviations of (a)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μ</m:t>
            </m:r>
            <m:ctrlPr>
              <w:rPr>
                <w:rFonts w:ascii="Cambria Math" w:hAnsi="Cambria Math" w:hint="eastAsia"/>
                <w:bCs/>
                <w:i/>
                <w:sz w:val="24"/>
              </w:rPr>
            </m:ctrlP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(b)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K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(c)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α</m:t>
            </m:r>
            <m:ctrlPr>
              <w:rPr>
                <w:rFonts w:ascii="Cambria Math" w:hAnsi="Cambria Math" w:hint="eastAsia"/>
                <w:bCs/>
                <w:i/>
                <w:sz w:val="24"/>
              </w:rPr>
            </m:ctrlP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(d)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p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and (e)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q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>. The two stars denote the epicenters of the 1964 Niigata (lower) and 2019 Yamagata-Oki (upper) earthquakes.</w:t>
      </w:r>
      <w:r w:rsidR="00FA4C54">
        <w:rPr>
          <w:rFonts w:ascii="Times New Roman" w:hAnsi="Times New Roman"/>
          <w:color w:val="000000"/>
          <w:kern w:val="0"/>
          <w:sz w:val="24"/>
        </w:rPr>
        <w:t xml:space="preserve"> Gray lines are </w:t>
      </w:r>
      <w:r w:rsidR="0017410E">
        <w:rPr>
          <w:rFonts w:ascii="Times New Roman" w:hAnsi="Times New Roman"/>
          <w:color w:val="000000"/>
          <w:kern w:val="0"/>
          <w:sz w:val="24"/>
        </w:rPr>
        <w:t xml:space="preserve">the surface traces of </w:t>
      </w:r>
      <w:r w:rsidR="00FA4C54">
        <w:rPr>
          <w:rFonts w:ascii="Times New Roman" w:hAnsi="Times New Roman"/>
          <w:color w:val="000000"/>
          <w:kern w:val="0"/>
          <w:sz w:val="24"/>
        </w:rPr>
        <w:t>active Quaternary faults.</w:t>
      </w:r>
    </w:p>
    <w:p w14:paraId="3094D4F0" w14:textId="77777777" w:rsidR="00367466" w:rsidRPr="005B6208" w:rsidRDefault="00367466" w:rsidP="00367466">
      <w:pPr>
        <w:ind w:firstLineChars="0" w:firstLine="0"/>
      </w:pPr>
    </w:p>
    <w:p w14:paraId="3F6CD36D" w14:textId="543A6870" w:rsidR="00367466" w:rsidRDefault="00367466" w:rsidP="005B6208">
      <w:pPr>
        <w:ind w:firstLineChars="0" w:firstLine="0"/>
      </w:pPr>
      <w:r>
        <w:br w:type="page"/>
      </w:r>
    </w:p>
    <w:p w14:paraId="32D3F761" w14:textId="77777777" w:rsidR="00367466" w:rsidRDefault="00367466" w:rsidP="00367466">
      <w:pPr>
        <w:ind w:left="227"/>
      </w:pPr>
      <w:r>
        <w:rPr>
          <w:rFonts w:hint="eastAsia"/>
          <w:noProof/>
          <w:lang w:eastAsia="en-US"/>
        </w:rPr>
        <w:lastRenderedPageBreak/>
        <w:drawing>
          <wp:inline distT="0" distB="0" distL="0" distR="0" wp14:anchorId="3EA43A31" wp14:editId="5E6751A1">
            <wp:extent cx="6555530" cy="4446359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55530" cy="444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62533" w14:textId="6E955E48" w:rsidR="00367466" w:rsidRPr="00050842" w:rsidRDefault="00367466" w:rsidP="00367466">
      <w:pPr>
        <w:ind w:left="260" w:hanging="260"/>
        <w:rPr>
          <w:rFonts w:ascii="Times New Roman" w:hAnsi="Times New Roman"/>
          <w:sz w:val="22"/>
          <w:szCs w:val="22"/>
        </w:rPr>
      </w:pPr>
      <w:r w:rsidRPr="3778350F">
        <w:rPr>
          <w:rFonts w:ascii="Times New Roman" w:hAnsi="Times New Roman"/>
          <w:b/>
          <w:bCs/>
          <w:sz w:val="24"/>
        </w:rPr>
        <w:t>Additional Figure S</w:t>
      </w:r>
      <w:r>
        <w:rPr>
          <w:rFonts w:ascii="Times New Roman" w:hAnsi="Times New Roman"/>
          <w:b/>
          <w:bCs/>
          <w:sz w:val="24"/>
        </w:rPr>
        <w:t>4</w:t>
      </w:r>
      <w:r w:rsidRPr="3778350F">
        <w:rPr>
          <w:rFonts w:ascii="Times New Roman" w:hAnsi="Times New Roman"/>
          <w:b/>
          <w:bCs/>
          <w:sz w:val="24"/>
        </w:rPr>
        <w:t xml:space="preserve"> </w:t>
      </w:r>
      <w:r w:rsidRPr="001C5419">
        <w:rPr>
          <w:rFonts w:ascii="Times New Roman" w:hAnsi="Times New Roman"/>
          <w:bCs/>
          <w:sz w:val="24"/>
        </w:rPr>
        <w:t>Spatial distributions of the standard deviations of the relative HIST-ETAS parameters</w:t>
      </w:r>
      <w:r>
        <w:rPr>
          <w:rFonts w:ascii="Times New Roman" w:hAnsi="Times New Roman"/>
          <w:bCs/>
          <w:sz w:val="24"/>
        </w:rPr>
        <w:t xml:space="preserve"> calculated by using resampled data set extracting 70% of the earthquake data used in the analysis</w:t>
      </w:r>
      <w:r w:rsidRPr="001C5419">
        <w:rPr>
          <w:rFonts w:ascii="Times New Roman" w:hAnsi="Times New Roman"/>
          <w:bCs/>
          <w:sz w:val="24"/>
        </w:rPr>
        <w:t>.</w:t>
      </w:r>
      <w:r w:rsidRPr="000E36C4">
        <w:rPr>
          <w:rFonts w:ascii="Times New Roman" w:hAnsi="Times New Roman"/>
          <w:b/>
          <w:bCs/>
          <w:sz w:val="24"/>
        </w:rPr>
        <w:t xml:space="preserve"> </w:t>
      </w:r>
      <w:r w:rsidRPr="000E36C4">
        <w:rPr>
          <w:rFonts w:ascii="Times New Roman" w:hAnsi="Times New Roman"/>
          <w:bCs/>
          <w:sz w:val="24"/>
        </w:rPr>
        <w:t xml:space="preserve">Standard deviations of (a)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μ</m:t>
            </m:r>
            <m:ctrlPr>
              <w:rPr>
                <w:rFonts w:ascii="Cambria Math" w:hAnsi="Cambria Math" w:hint="eastAsia"/>
                <w:bCs/>
                <w:i/>
                <w:sz w:val="24"/>
              </w:rPr>
            </m:ctrlP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(b)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K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(c)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α</m:t>
            </m:r>
            <m:ctrlPr>
              <w:rPr>
                <w:rFonts w:ascii="Cambria Math" w:hAnsi="Cambria Math" w:hint="eastAsia"/>
                <w:bCs/>
                <w:i/>
                <w:sz w:val="24"/>
              </w:rPr>
            </m:ctrlP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(d)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p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and (e)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q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>. The two stars denote the epicenters of the 1964 Niigata (lower) and 2019 Yamagata-Oki (upper) earthquakes.</w:t>
      </w:r>
      <w:r w:rsidR="00FA4C54">
        <w:rPr>
          <w:rFonts w:ascii="Times New Roman" w:hAnsi="Times New Roman"/>
          <w:color w:val="000000"/>
          <w:kern w:val="0"/>
          <w:sz w:val="24"/>
        </w:rPr>
        <w:t xml:space="preserve"> Gray lines are </w:t>
      </w:r>
      <w:r w:rsidR="0075123A">
        <w:rPr>
          <w:rFonts w:ascii="Times New Roman" w:hAnsi="Times New Roman"/>
          <w:color w:val="000000"/>
          <w:kern w:val="0"/>
          <w:sz w:val="24"/>
        </w:rPr>
        <w:t xml:space="preserve">the surface traces of </w:t>
      </w:r>
      <w:r w:rsidR="00FA4C54">
        <w:rPr>
          <w:rFonts w:ascii="Times New Roman" w:hAnsi="Times New Roman"/>
          <w:color w:val="000000"/>
          <w:kern w:val="0"/>
          <w:sz w:val="24"/>
        </w:rPr>
        <w:t>active Quaternary faults.</w:t>
      </w:r>
    </w:p>
    <w:p w14:paraId="348DCAA7" w14:textId="77777777" w:rsidR="00367466" w:rsidRPr="005B6208" w:rsidRDefault="00367466" w:rsidP="00367466">
      <w:pPr>
        <w:ind w:firstLineChars="0" w:firstLine="0"/>
      </w:pPr>
    </w:p>
    <w:p w14:paraId="5FC56581" w14:textId="5229A16E" w:rsidR="0084584D" w:rsidRDefault="0084584D" w:rsidP="005B6208">
      <w:pPr>
        <w:ind w:firstLineChars="0" w:firstLine="0"/>
      </w:pPr>
      <w:r>
        <w:br w:type="page"/>
      </w:r>
    </w:p>
    <w:p w14:paraId="3087264D" w14:textId="77777777" w:rsidR="0084584D" w:rsidRDefault="0084584D" w:rsidP="0084584D">
      <w:pPr>
        <w:ind w:left="227"/>
      </w:pPr>
      <w:r>
        <w:rPr>
          <w:rFonts w:hint="eastAsia"/>
          <w:noProof/>
          <w:lang w:eastAsia="en-US"/>
        </w:rPr>
        <w:lastRenderedPageBreak/>
        <w:drawing>
          <wp:inline distT="0" distB="0" distL="0" distR="0" wp14:anchorId="1C72EFC7" wp14:editId="637235FA">
            <wp:extent cx="6555530" cy="4396456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55530" cy="439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530B0" w14:textId="13D26A35" w:rsidR="0084584D" w:rsidRPr="00050842" w:rsidRDefault="0084584D" w:rsidP="0084584D">
      <w:pPr>
        <w:ind w:left="260" w:hanging="260"/>
        <w:rPr>
          <w:rFonts w:ascii="Times New Roman" w:hAnsi="Times New Roman"/>
          <w:sz w:val="22"/>
          <w:szCs w:val="22"/>
        </w:rPr>
      </w:pPr>
      <w:r w:rsidRPr="3778350F">
        <w:rPr>
          <w:rFonts w:ascii="Times New Roman" w:hAnsi="Times New Roman"/>
          <w:b/>
          <w:bCs/>
          <w:sz w:val="24"/>
        </w:rPr>
        <w:t>Additional Figure S</w:t>
      </w:r>
      <w:r>
        <w:rPr>
          <w:rFonts w:ascii="Times New Roman" w:hAnsi="Times New Roman"/>
          <w:b/>
          <w:bCs/>
          <w:sz w:val="24"/>
        </w:rPr>
        <w:t>5</w:t>
      </w:r>
      <w:r w:rsidRPr="3778350F">
        <w:rPr>
          <w:rFonts w:ascii="Times New Roman" w:hAnsi="Times New Roman"/>
          <w:b/>
          <w:bCs/>
          <w:sz w:val="24"/>
        </w:rPr>
        <w:t xml:space="preserve"> </w:t>
      </w:r>
      <w:r w:rsidRPr="001C5419">
        <w:rPr>
          <w:rFonts w:ascii="Times New Roman" w:hAnsi="Times New Roman"/>
          <w:bCs/>
          <w:sz w:val="24"/>
        </w:rPr>
        <w:t xml:space="preserve">Spatial distributions of the </w:t>
      </w:r>
      <w:r w:rsidR="00FA4C54">
        <w:rPr>
          <w:rFonts w:ascii="Times New Roman" w:hAnsi="Times New Roman"/>
          <w:bCs/>
          <w:sz w:val="24"/>
        </w:rPr>
        <w:t xml:space="preserve">optimal maximum posterior estimates for the respective </w:t>
      </w:r>
      <w:r w:rsidR="00002BC9">
        <w:rPr>
          <w:rFonts w:ascii="Times New Roman" w:hAnsi="Times New Roman"/>
          <w:bCs/>
          <w:sz w:val="24"/>
        </w:rPr>
        <w:t xml:space="preserve">HIST-ETAS </w:t>
      </w:r>
      <w:r w:rsidR="00FA4C54">
        <w:rPr>
          <w:rFonts w:ascii="Times New Roman" w:hAnsi="Times New Roman"/>
          <w:bCs/>
          <w:sz w:val="24"/>
        </w:rPr>
        <w:t xml:space="preserve">parameter functions estimated using earthquake data before the 2019 Yamagata-Oki </w:t>
      </w:r>
      <w:r w:rsidR="00A2371B">
        <w:rPr>
          <w:rFonts w:ascii="Times New Roman" w:hAnsi="Times New Roman"/>
          <w:bCs/>
          <w:sz w:val="24"/>
        </w:rPr>
        <w:t>e</w:t>
      </w:r>
      <w:r w:rsidR="00FA4C54">
        <w:rPr>
          <w:rFonts w:ascii="Times New Roman" w:hAnsi="Times New Roman"/>
          <w:bCs/>
          <w:sz w:val="24"/>
        </w:rPr>
        <w:t>arthquake</w:t>
      </w:r>
      <w:r w:rsidRPr="001C5419">
        <w:rPr>
          <w:rFonts w:ascii="Times New Roman" w:hAnsi="Times New Roman"/>
          <w:bCs/>
          <w:sz w:val="24"/>
        </w:rPr>
        <w:t>.</w:t>
      </w:r>
      <w:r w:rsidRPr="000E36C4">
        <w:rPr>
          <w:rFonts w:ascii="Times New Roman" w:hAnsi="Times New Roman"/>
          <w:b/>
          <w:bCs/>
          <w:sz w:val="24"/>
        </w:rPr>
        <w:t xml:space="preserve"> </w:t>
      </w:r>
      <w:r w:rsidR="00FA4C54">
        <w:rPr>
          <w:rFonts w:ascii="Times New Roman" w:hAnsi="Times New Roman"/>
          <w:bCs/>
          <w:sz w:val="24"/>
        </w:rPr>
        <w:t>Common logarithm</w:t>
      </w:r>
      <w:r w:rsidRPr="000E36C4">
        <w:rPr>
          <w:rFonts w:ascii="Times New Roman" w:hAnsi="Times New Roman"/>
          <w:bCs/>
          <w:sz w:val="24"/>
        </w:rPr>
        <w:t xml:space="preserve"> of</w:t>
      </w:r>
      <w:r w:rsidR="00FA4C54">
        <w:rPr>
          <w:rFonts w:ascii="Times New Roman" w:hAnsi="Times New Roman"/>
          <w:bCs/>
          <w:sz w:val="24"/>
        </w:rPr>
        <w:t xml:space="preserve"> </w:t>
      </w:r>
      <w:r w:rsidRPr="000E36C4">
        <w:rPr>
          <w:rFonts w:ascii="Times New Roman" w:hAnsi="Times New Roman"/>
          <w:bCs/>
          <w:sz w:val="24"/>
        </w:rPr>
        <w:t>(a)</w:t>
      </w:r>
      <w:r w:rsidR="00FA4C54">
        <w:rPr>
          <w:rFonts w:ascii="Times New Roman" w:hAnsi="Times New Roman"/>
          <w:bCs/>
          <w:sz w:val="24"/>
        </w:rPr>
        <w:t xml:space="preserve"> </w:t>
      </w:r>
      <m:oMath>
        <m:r>
          <w:rPr>
            <w:rFonts w:ascii="Cambria Math" w:hAnsi="Cambria Math"/>
            <w:sz w:val="24"/>
          </w:rPr>
          <m:t>μ</m:t>
        </m:r>
      </m:oMath>
      <w:r w:rsidR="00FA4C54">
        <w:rPr>
          <w:rFonts w:ascii="Times New Roman" w:hAnsi="Times New Roman" w:hint="eastAsia"/>
          <w:bCs/>
          <w:sz w:val="24"/>
        </w:rPr>
        <w:t>-</w:t>
      </w:r>
      <w:r w:rsidR="00FA4C54">
        <w:rPr>
          <w:rFonts w:ascii="Times New Roman" w:hAnsi="Times New Roman"/>
          <w:bCs/>
          <w:sz w:val="24"/>
        </w:rPr>
        <w:t>values</w:t>
      </w:r>
      <w:r w:rsidRPr="001C5419">
        <w:rPr>
          <w:rFonts w:ascii="Times New Roman" w:hAnsi="Times New Roman"/>
          <w:color w:val="000000"/>
          <w:kern w:val="0"/>
          <w:sz w:val="24"/>
        </w:rPr>
        <w:t>, (b)</w:t>
      </w:r>
      <w:r w:rsidR="00FA4C54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K</m:t>
        </m:r>
      </m:oMath>
      <w:r w:rsidR="00FA4C54">
        <w:rPr>
          <w:rFonts w:ascii="Times New Roman" w:hAnsi="Times New Roman" w:hint="eastAsia"/>
          <w:color w:val="000000"/>
          <w:kern w:val="0"/>
          <w:sz w:val="24"/>
        </w:rPr>
        <w:t>-</w:t>
      </w:r>
      <w:r w:rsidR="00FA4C54">
        <w:rPr>
          <w:rFonts w:ascii="Times New Roman" w:hAnsi="Times New Roman"/>
          <w:color w:val="000000"/>
          <w:kern w:val="0"/>
          <w:sz w:val="24"/>
        </w:rPr>
        <w:t>values</w:t>
      </w:r>
      <w:r w:rsidRPr="001C5419">
        <w:rPr>
          <w:rFonts w:ascii="Times New Roman" w:hAnsi="Times New Roman"/>
          <w:color w:val="000000"/>
          <w:kern w:val="0"/>
          <w:sz w:val="24"/>
        </w:rPr>
        <w:t>, (c)</w:t>
      </w:r>
      <w:r w:rsidR="00FA4C54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α</m:t>
        </m:r>
      </m:oMath>
      <w:r w:rsidR="00FA4C54">
        <w:rPr>
          <w:rFonts w:ascii="Times New Roman" w:hAnsi="Times New Roman" w:hint="eastAsia"/>
          <w:color w:val="000000"/>
          <w:kern w:val="0"/>
          <w:sz w:val="24"/>
        </w:rPr>
        <w:t>-</w:t>
      </w:r>
      <w:r w:rsidR="00FA4C54">
        <w:rPr>
          <w:rFonts w:ascii="Times New Roman" w:hAnsi="Times New Roman"/>
          <w:color w:val="000000"/>
          <w:kern w:val="0"/>
          <w:sz w:val="24"/>
        </w:rPr>
        <w:t>values</w:t>
      </w:r>
      <w:r w:rsidRPr="001C5419">
        <w:rPr>
          <w:rFonts w:ascii="Times New Roman" w:hAnsi="Times New Roman"/>
          <w:color w:val="000000"/>
          <w:kern w:val="0"/>
          <w:sz w:val="24"/>
        </w:rPr>
        <w:t>, (d)</w:t>
      </w:r>
      <w:r w:rsidR="00FA4C54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p</m:t>
        </m:r>
      </m:oMath>
      <w:r w:rsidR="00FA4C54">
        <w:rPr>
          <w:rFonts w:ascii="Times New Roman" w:hAnsi="Times New Roman" w:hint="eastAsia"/>
          <w:color w:val="000000"/>
          <w:kern w:val="0"/>
          <w:sz w:val="24"/>
        </w:rPr>
        <w:t>-</w:t>
      </w:r>
      <w:r w:rsidR="00FA4C54">
        <w:rPr>
          <w:rFonts w:ascii="Times New Roman" w:hAnsi="Times New Roman"/>
          <w:color w:val="000000"/>
          <w:kern w:val="0"/>
          <w:sz w:val="24"/>
        </w:rPr>
        <w:t>values</w:t>
      </w:r>
      <w:r w:rsidRPr="001C5419">
        <w:rPr>
          <w:rFonts w:ascii="Times New Roman" w:hAnsi="Times New Roman"/>
          <w:color w:val="000000"/>
          <w:kern w:val="0"/>
          <w:sz w:val="24"/>
        </w:rPr>
        <w:t>, and (e)</w:t>
      </w:r>
      <w:r w:rsidR="00FA4C54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q</m:t>
        </m:r>
      </m:oMath>
      <w:r w:rsidR="00FA4C54">
        <w:rPr>
          <w:rFonts w:ascii="Times New Roman" w:hAnsi="Times New Roman" w:hint="eastAsia"/>
          <w:color w:val="000000"/>
          <w:kern w:val="0"/>
          <w:sz w:val="24"/>
        </w:rPr>
        <w:t>-</w:t>
      </w:r>
      <w:r w:rsidR="00FA4C54">
        <w:rPr>
          <w:rFonts w:ascii="Times New Roman" w:hAnsi="Times New Roman"/>
          <w:color w:val="000000"/>
          <w:kern w:val="0"/>
          <w:sz w:val="24"/>
        </w:rPr>
        <w:t>values</w:t>
      </w:r>
      <w:r w:rsidRPr="001C5419">
        <w:rPr>
          <w:rFonts w:ascii="Times New Roman" w:hAnsi="Times New Roman"/>
          <w:color w:val="000000"/>
          <w:kern w:val="0"/>
          <w:sz w:val="24"/>
        </w:rPr>
        <w:t>. The two stars denote the epicenters of the 1964 Niigata (lower) and 2019 Yamagata-Oki (upper) earthquakes.</w:t>
      </w:r>
      <w:r w:rsidR="00FA4C54">
        <w:rPr>
          <w:rFonts w:ascii="Times New Roman" w:hAnsi="Times New Roman"/>
          <w:color w:val="000000"/>
          <w:kern w:val="0"/>
          <w:sz w:val="24"/>
        </w:rPr>
        <w:t xml:space="preserve"> Gray lines are </w:t>
      </w:r>
      <w:r w:rsidR="00C242EF">
        <w:rPr>
          <w:rFonts w:ascii="Times New Roman" w:hAnsi="Times New Roman"/>
          <w:color w:val="000000"/>
          <w:kern w:val="0"/>
          <w:sz w:val="24"/>
        </w:rPr>
        <w:t xml:space="preserve">the surface traces of </w:t>
      </w:r>
      <w:r w:rsidR="00FA4C54">
        <w:rPr>
          <w:rFonts w:ascii="Times New Roman" w:hAnsi="Times New Roman"/>
          <w:color w:val="000000"/>
          <w:kern w:val="0"/>
          <w:sz w:val="24"/>
        </w:rPr>
        <w:t>active Quaternary faults. (f) The Delaunay tessellation used for the smoothing penalties via the HIST-ETAS model</w:t>
      </w:r>
      <w:r w:rsidR="00002BC9">
        <w:rPr>
          <w:rFonts w:ascii="Times New Roman" w:hAnsi="Times New Roman"/>
          <w:color w:val="000000"/>
          <w:kern w:val="0"/>
          <w:sz w:val="24"/>
        </w:rPr>
        <w:t>. The Delaunay tessellation encompassed the entire study region shown in Fig. 1a and b.</w:t>
      </w:r>
    </w:p>
    <w:p w14:paraId="4CB9B7AD" w14:textId="77777777" w:rsidR="0084584D" w:rsidRPr="005B6208" w:rsidRDefault="0084584D" w:rsidP="0084584D">
      <w:pPr>
        <w:ind w:firstLineChars="0" w:firstLine="0"/>
      </w:pPr>
    </w:p>
    <w:p w14:paraId="0BC84104" w14:textId="77777777" w:rsidR="0084584D" w:rsidRDefault="0084584D" w:rsidP="0084584D">
      <w:pPr>
        <w:ind w:firstLineChars="0" w:firstLine="0"/>
      </w:pPr>
      <w:r>
        <w:br w:type="page"/>
      </w:r>
    </w:p>
    <w:p w14:paraId="4AC93236" w14:textId="77777777" w:rsidR="0084584D" w:rsidRDefault="0084584D" w:rsidP="0084584D">
      <w:pPr>
        <w:ind w:left="227"/>
      </w:pPr>
      <w:r>
        <w:rPr>
          <w:rFonts w:hint="eastAsia"/>
          <w:noProof/>
          <w:lang w:eastAsia="en-US"/>
        </w:rPr>
        <w:lastRenderedPageBreak/>
        <w:drawing>
          <wp:inline distT="0" distB="0" distL="0" distR="0" wp14:anchorId="36E5378B" wp14:editId="5CAB143B">
            <wp:extent cx="6555529" cy="4446359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55529" cy="444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82D11" w14:textId="3BB9D0FB" w:rsidR="0084584D" w:rsidRPr="00050842" w:rsidRDefault="0084584D" w:rsidP="0084584D">
      <w:pPr>
        <w:ind w:left="260" w:hanging="260"/>
        <w:rPr>
          <w:rFonts w:ascii="Times New Roman" w:hAnsi="Times New Roman"/>
          <w:sz w:val="22"/>
          <w:szCs w:val="22"/>
        </w:rPr>
      </w:pPr>
      <w:r w:rsidRPr="3778350F">
        <w:rPr>
          <w:rFonts w:ascii="Times New Roman" w:hAnsi="Times New Roman"/>
          <w:b/>
          <w:bCs/>
          <w:sz w:val="24"/>
        </w:rPr>
        <w:t>Additional Figure S</w:t>
      </w:r>
      <w:r>
        <w:rPr>
          <w:rFonts w:ascii="Times New Roman" w:hAnsi="Times New Roman"/>
          <w:b/>
          <w:bCs/>
          <w:sz w:val="24"/>
        </w:rPr>
        <w:t>6</w:t>
      </w:r>
      <w:r w:rsidRPr="3778350F">
        <w:rPr>
          <w:rFonts w:ascii="Times New Roman" w:hAnsi="Times New Roman"/>
          <w:b/>
          <w:bCs/>
          <w:sz w:val="24"/>
        </w:rPr>
        <w:t xml:space="preserve"> </w:t>
      </w:r>
      <w:r w:rsidRPr="001C5419">
        <w:rPr>
          <w:rFonts w:ascii="Times New Roman" w:hAnsi="Times New Roman"/>
          <w:bCs/>
          <w:sz w:val="24"/>
        </w:rPr>
        <w:t>Spatial distributions of the standard deviations of the relative HIST-ETAS parameters</w:t>
      </w:r>
      <w:r>
        <w:rPr>
          <w:rFonts w:ascii="Times New Roman" w:hAnsi="Times New Roman"/>
          <w:bCs/>
          <w:sz w:val="24"/>
        </w:rPr>
        <w:t xml:space="preserve"> calculated by using resampled data set extracting </w:t>
      </w:r>
      <w:r w:rsidR="00002BC9">
        <w:rPr>
          <w:rFonts w:ascii="Times New Roman" w:hAnsi="Times New Roman"/>
          <w:bCs/>
          <w:sz w:val="24"/>
        </w:rPr>
        <w:t>9</w:t>
      </w:r>
      <w:r>
        <w:rPr>
          <w:rFonts w:ascii="Times New Roman" w:hAnsi="Times New Roman"/>
          <w:bCs/>
          <w:sz w:val="24"/>
        </w:rPr>
        <w:t xml:space="preserve">0% of the earthquake data </w:t>
      </w:r>
      <w:r w:rsidR="00002BC9">
        <w:rPr>
          <w:rFonts w:ascii="Times New Roman" w:hAnsi="Times New Roman"/>
          <w:bCs/>
          <w:sz w:val="24"/>
        </w:rPr>
        <w:t xml:space="preserve">before the 2019 Yamagata-Oki </w:t>
      </w:r>
      <w:r w:rsidR="00A2371B">
        <w:rPr>
          <w:rFonts w:ascii="Times New Roman" w:hAnsi="Times New Roman"/>
          <w:bCs/>
          <w:sz w:val="24"/>
        </w:rPr>
        <w:t>e</w:t>
      </w:r>
      <w:r w:rsidR="00002BC9">
        <w:rPr>
          <w:rFonts w:ascii="Times New Roman" w:hAnsi="Times New Roman"/>
          <w:bCs/>
          <w:sz w:val="24"/>
        </w:rPr>
        <w:t>arthquake</w:t>
      </w:r>
      <w:r w:rsidRPr="001C5419">
        <w:rPr>
          <w:rFonts w:ascii="Times New Roman" w:hAnsi="Times New Roman"/>
          <w:bCs/>
          <w:sz w:val="24"/>
        </w:rPr>
        <w:t>.</w:t>
      </w:r>
      <w:r w:rsidRPr="000E36C4">
        <w:rPr>
          <w:rFonts w:ascii="Times New Roman" w:hAnsi="Times New Roman"/>
          <w:b/>
          <w:bCs/>
          <w:sz w:val="24"/>
        </w:rPr>
        <w:t xml:space="preserve"> </w:t>
      </w:r>
      <w:r w:rsidRPr="000E36C4">
        <w:rPr>
          <w:rFonts w:ascii="Times New Roman" w:hAnsi="Times New Roman"/>
          <w:bCs/>
          <w:sz w:val="24"/>
        </w:rPr>
        <w:t xml:space="preserve">Standard deviations of (a)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μ</m:t>
            </m:r>
            <m:ctrlPr>
              <w:rPr>
                <w:rFonts w:ascii="Cambria Math" w:hAnsi="Cambria Math" w:hint="eastAsia"/>
                <w:bCs/>
                <w:i/>
                <w:sz w:val="24"/>
              </w:rPr>
            </m:ctrlP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(b)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K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(c)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α</m:t>
            </m:r>
            <m:ctrlPr>
              <w:rPr>
                <w:rFonts w:ascii="Cambria Math" w:hAnsi="Cambria Math" w:hint="eastAsia"/>
                <w:bCs/>
                <w:i/>
                <w:sz w:val="24"/>
              </w:rPr>
            </m:ctrlP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(d)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p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 xml:space="preserve">, and (e)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ϑ</m:t>
            </m:r>
          </m:e>
          <m:sub>
            <m:r>
              <w:rPr>
                <w:rFonts w:ascii="Cambria Math" w:hAnsi="Cambria Math"/>
                <w:sz w:val="24"/>
              </w:rPr>
              <m:t>q</m:t>
            </m:r>
          </m:sub>
        </m:sSub>
        <m:r>
          <w:rPr>
            <w:rFonts w:ascii="Cambria Math" w:hAnsi="Cambria Math"/>
            <w:sz w:val="24"/>
          </w:rPr>
          <m:t>(x,y)/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ln</m:t>
            </m:r>
          </m:fName>
          <m:e>
            <m:r>
              <w:rPr>
                <w:rFonts w:ascii="Cambria Math" w:hAnsi="Cambria Math"/>
                <w:sz w:val="24"/>
              </w:rPr>
              <m:t>10</m:t>
            </m:r>
          </m:e>
        </m:func>
      </m:oMath>
      <w:r w:rsidRPr="001C5419">
        <w:rPr>
          <w:rFonts w:ascii="Times New Roman" w:hAnsi="Times New Roman"/>
          <w:color w:val="000000"/>
          <w:kern w:val="0"/>
          <w:sz w:val="24"/>
        </w:rPr>
        <w:t>. The two stars denote the epicenters of the 1964 Niigata (lower) and 2019 Yamagata-Oki (upper) earthquakes.</w:t>
      </w:r>
      <w:r w:rsidR="00002BC9">
        <w:rPr>
          <w:rFonts w:ascii="Times New Roman" w:hAnsi="Times New Roman"/>
          <w:color w:val="000000"/>
          <w:kern w:val="0"/>
          <w:sz w:val="24"/>
        </w:rPr>
        <w:t xml:space="preserve"> Gray lines are </w:t>
      </w:r>
      <w:r w:rsidR="00053FAA">
        <w:rPr>
          <w:rFonts w:ascii="Times New Roman" w:hAnsi="Times New Roman"/>
          <w:color w:val="000000"/>
          <w:kern w:val="0"/>
          <w:sz w:val="24"/>
        </w:rPr>
        <w:t xml:space="preserve">the surface traces of </w:t>
      </w:r>
      <w:r w:rsidR="00002BC9">
        <w:rPr>
          <w:rFonts w:ascii="Times New Roman" w:hAnsi="Times New Roman"/>
          <w:color w:val="000000"/>
          <w:kern w:val="0"/>
          <w:sz w:val="24"/>
        </w:rPr>
        <w:t>active Quaternary faults.</w:t>
      </w:r>
    </w:p>
    <w:p w14:paraId="2005B92C" w14:textId="77777777" w:rsidR="0084584D" w:rsidRPr="005B6208" w:rsidRDefault="0084584D" w:rsidP="0084584D">
      <w:pPr>
        <w:ind w:firstLineChars="0" w:firstLine="0"/>
      </w:pPr>
    </w:p>
    <w:p w14:paraId="169D9837" w14:textId="77777777" w:rsidR="0084584D" w:rsidRDefault="0084584D" w:rsidP="0084584D">
      <w:pPr>
        <w:ind w:firstLineChars="0" w:firstLine="0"/>
      </w:pPr>
      <w:r>
        <w:br w:type="page"/>
      </w:r>
    </w:p>
    <w:p w14:paraId="525E3E2E" w14:textId="77777777" w:rsidR="0084584D" w:rsidRDefault="0084584D" w:rsidP="0084584D">
      <w:pPr>
        <w:ind w:left="227"/>
      </w:pPr>
      <w:r>
        <w:rPr>
          <w:rFonts w:hint="eastAsia"/>
          <w:noProof/>
          <w:lang w:eastAsia="en-US"/>
        </w:rPr>
        <w:lastRenderedPageBreak/>
        <w:drawing>
          <wp:inline distT="0" distB="0" distL="0" distR="0" wp14:anchorId="62E941B5" wp14:editId="6C21A1BE">
            <wp:extent cx="6555530" cy="4396456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55530" cy="439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45902" w14:textId="687E5A52" w:rsidR="0084584D" w:rsidRPr="00050842" w:rsidRDefault="0084584D" w:rsidP="0084584D">
      <w:pPr>
        <w:ind w:left="260" w:hanging="260"/>
        <w:rPr>
          <w:rFonts w:ascii="Times New Roman" w:hAnsi="Times New Roman"/>
          <w:sz w:val="22"/>
          <w:szCs w:val="22"/>
        </w:rPr>
      </w:pPr>
      <w:r w:rsidRPr="3778350F">
        <w:rPr>
          <w:rFonts w:ascii="Times New Roman" w:hAnsi="Times New Roman"/>
          <w:b/>
          <w:bCs/>
          <w:sz w:val="24"/>
        </w:rPr>
        <w:t>Additional Figure S</w:t>
      </w:r>
      <w:r>
        <w:rPr>
          <w:rFonts w:ascii="Times New Roman" w:hAnsi="Times New Roman"/>
          <w:b/>
          <w:bCs/>
          <w:sz w:val="24"/>
        </w:rPr>
        <w:t>7</w:t>
      </w:r>
      <w:r w:rsidRPr="3778350F">
        <w:rPr>
          <w:rFonts w:ascii="Times New Roman" w:hAnsi="Times New Roman"/>
          <w:b/>
          <w:bCs/>
          <w:sz w:val="24"/>
        </w:rPr>
        <w:t xml:space="preserve"> </w:t>
      </w:r>
      <w:r w:rsidR="00002BC9" w:rsidRPr="001C5419">
        <w:rPr>
          <w:rFonts w:ascii="Times New Roman" w:hAnsi="Times New Roman"/>
          <w:bCs/>
          <w:sz w:val="24"/>
        </w:rPr>
        <w:t xml:space="preserve">Spatial distributions of the </w:t>
      </w:r>
      <w:r w:rsidR="00002BC9">
        <w:rPr>
          <w:rFonts w:ascii="Times New Roman" w:hAnsi="Times New Roman"/>
          <w:bCs/>
          <w:sz w:val="24"/>
        </w:rPr>
        <w:t>optimal maximum posterior estimates for the respective HIST-ETAS parameter functions estimated using synthetic data made by HIST-ETAS model (Input parameters are shown in Fig. 2)</w:t>
      </w:r>
      <w:r w:rsidR="00002BC9" w:rsidRPr="001C5419">
        <w:rPr>
          <w:rFonts w:ascii="Times New Roman" w:hAnsi="Times New Roman"/>
          <w:bCs/>
          <w:sz w:val="24"/>
        </w:rPr>
        <w:t>.</w:t>
      </w:r>
      <w:r w:rsidR="00002BC9" w:rsidRPr="000E36C4">
        <w:rPr>
          <w:rFonts w:ascii="Times New Roman" w:hAnsi="Times New Roman"/>
          <w:b/>
          <w:bCs/>
          <w:sz w:val="24"/>
        </w:rPr>
        <w:t xml:space="preserve"> </w:t>
      </w:r>
      <w:r w:rsidR="00002BC9">
        <w:rPr>
          <w:rFonts w:ascii="Times New Roman" w:hAnsi="Times New Roman"/>
          <w:bCs/>
          <w:sz w:val="24"/>
        </w:rPr>
        <w:t>Common logarithm</w:t>
      </w:r>
      <w:r w:rsidR="00002BC9" w:rsidRPr="000E36C4">
        <w:rPr>
          <w:rFonts w:ascii="Times New Roman" w:hAnsi="Times New Roman"/>
          <w:bCs/>
          <w:sz w:val="24"/>
        </w:rPr>
        <w:t xml:space="preserve"> of</w:t>
      </w:r>
      <w:r w:rsidR="00002BC9">
        <w:rPr>
          <w:rFonts w:ascii="Times New Roman" w:hAnsi="Times New Roman"/>
          <w:bCs/>
          <w:sz w:val="24"/>
        </w:rPr>
        <w:t xml:space="preserve"> </w:t>
      </w:r>
      <w:r w:rsidR="00002BC9" w:rsidRPr="000E36C4">
        <w:rPr>
          <w:rFonts w:ascii="Times New Roman" w:hAnsi="Times New Roman"/>
          <w:bCs/>
          <w:sz w:val="24"/>
        </w:rPr>
        <w:t>(a)</w:t>
      </w:r>
      <w:r w:rsidR="00002BC9">
        <w:rPr>
          <w:rFonts w:ascii="Times New Roman" w:hAnsi="Times New Roman"/>
          <w:bCs/>
          <w:sz w:val="24"/>
        </w:rPr>
        <w:t xml:space="preserve"> </w:t>
      </w:r>
      <m:oMath>
        <m:r>
          <w:rPr>
            <w:rFonts w:ascii="Cambria Math" w:hAnsi="Cambria Math"/>
            <w:sz w:val="24"/>
          </w:rPr>
          <m:t>μ</m:t>
        </m:r>
      </m:oMath>
      <w:r w:rsidR="00002BC9">
        <w:rPr>
          <w:rFonts w:ascii="Times New Roman" w:hAnsi="Times New Roman" w:hint="eastAsia"/>
          <w:bCs/>
          <w:sz w:val="24"/>
        </w:rPr>
        <w:t>-</w:t>
      </w:r>
      <w:r w:rsidR="00002BC9">
        <w:rPr>
          <w:rFonts w:ascii="Times New Roman" w:hAnsi="Times New Roman"/>
          <w:bCs/>
          <w:sz w:val="24"/>
        </w:rPr>
        <w:t>values</w:t>
      </w:r>
      <w:r w:rsidR="00002BC9" w:rsidRPr="001C5419">
        <w:rPr>
          <w:rFonts w:ascii="Times New Roman" w:hAnsi="Times New Roman"/>
          <w:color w:val="000000"/>
          <w:kern w:val="0"/>
          <w:sz w:val="24"/>
        </w:rPr>
        <w:t>, (b)</w:t>
      </w:r>
      <w:r w:rsidR="00002BC9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K</m:t>
        </m:r>
      </m:oMath>
      <w:r w:rsidR="00002BC9">
        <w:rPr>
          <w:rFonts w:ascii="Times New Roman" w:hAnsi="Times New Roman" w:hint="eastAsia"/>
          <w:color w:val="000000"/>
          <w:kern w:val="0"/>
          <w:sz w:val="24"/>
        </w:rPr>
        <w:t>-</w:t>
      </w:r>
      <w:r w:rsidR="00002BC9">
        <w:rPr>
          <w:rFonts w:ascii="Times New Roman" w:hAnsi="Times New Roman"/>
          <w:color w:val="000000"/>
          <w:kern w:val="0"/>
          <w:sz w:val="24"/>
        </w:rPr>
        <w:t>values</w:t>
      </w:r>
      <w:r w:rsidR="00002BC9" w:rsidRPr="001C5419">
        <w:rPr>
          <w:rFonts w:ascii="Times New Roman" w:hAnsi="Times New Roman"/>
          <w:color w:val="000000"/>
          <w:kern w:val="0"/>
          <w:sz w:val="24"/>
        </w:rPr>
        <w:t>, (c)</w:t>
      </w:r>
      <w:r w:rsidR="00002BC9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α</m:t>
        </m:r>
      </m:oMath>
      <w:r w:rsidR="00002BC9">
        <w:rPr>
          <w:rFonts w:ascii="Times New Roman" w:hAnsi="Times New Roman" w:hint="eastAsia"/>
          <w:color w:val="000000"/>
          <w:kern w:val="0"/>
          <w:sz w:val="24"/>
        </w:rPr>
        <w:t>-</w:t>
      </w:r>
      <w:r w:rsidR="00002BC9">
        <w:rPr>
          <w:rFonts w:ascii="Times New Roman" w:hAnsi="Times New Roman"/>
          <w:color w:val="000000"/>
          <w:kern w:val="0"/>
          <w:sz w:val="24"/>
        </w:rPr>
        <w:t>values</w:t>
      </w:r>
      <w:r w:rsidR="00002BC9" w:rsidRPr="001C5419">
        <w:rPr>
          <w:rFonts w:ascii="Times New Roman" w:hAnsi="Times New Roman"/>
          <w:color w:val="000000"/>
          <w:kern w:val="0"/>
          <w:sz w:val="24"/>
        </w:rPr>
        <w:t>, (d)</w:t>
      </w:r>
      <w:r w:rsidR="00002BC9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p</m:t>
        </m:r>
      </m:oMath>
      <w:r w:rsidR="00002BC9">
        <w:rPr>
          <w:rFonts w:ascii="Times New Roman" w:hAnsi="Times New Roman" w:hint="eastAsia"/>
          <w:color w:val="000000"/>
          <w:kern w:val="0"/>
          <w:sz w:val="24"/>
        </w:rPr>
        <w:t>-</w:t>
      </w:r>
      <w:r w:rsidR="00002BC9">
        <w:rPr>
          <w:rFonts w:ascii="Times New Roman" w:hAnsi="Times New Roman"/>
          <w:color w:val="000000"/>
          <w:kern w:val="0"/>
          <w:sz w:val="24"/>
        </w:rPr>
        <w:t>values</w:t>
      </w:r>
      <w:r w:rsidR="00002BC9" w:rsidRPr="001C5419">
        <w:rPr>
          <w:rFonts w:ascii="Times New Roman" w:hAnsi="Times New Roman"/>
          <w:color w:val="000000"/>
          <w:kern w:val="0"/>
          <w:sz w:val="24"/>
        </w:rPr>
        <w:t>, and (e)</w:t>
      </w:r>
      <w:r w:rsidR="00002BC9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q</m:t>
        </m:r>
      </m:oMath>
      <w:r w:rsidR="00002BC9">
        <w:rPr>
          <w:rFonts w:ascii="Times New Roman" w:hAnsi="Times New Roman" w:hint="eastAsia"/>
          <w:color w:val="000000"/>
          <w:kern w:val="0"/>
          <w:sz w:val="24"/>
        </w:rPr>
        <w:t>-</w:t>
      </w:r>
      <w:r w:rsidR="00002BC9">
        <w:rPr>
          <w:rFonts w:ascii="Times New Roman" w:hAnsi="Times New Roman"/>
          <w:color w:val="000000"/>
          <w:kern w:val="0"/>
          <w:sz w:val="24"/>
        </w:rPr>
        <w:t>values</w:t>
      </w:r>
      <w:r w:rsidR="00002BC9" w:rsidRPr="001C5419">
        <w:rPr>
          <w:rFonts w:ascii="Times New Roman" w:hAnsi="Times New Roman"/>
          <w:color w:val="000000"/>
          <w:kern w:val="0"/>
          <w:sz w:val="24"/>
        </w:rPr>
        <w:t>. The two stars denote the epicenters of the 1964 Niigata (lower) and 2019 Yamagata-Oki (upper) earthquakes.</w:t>
      </w:r>
      <w:r w:rsidR="00002BC9">
        <w:rPr>
          <w:rFonts w:ascii="Times New Roman" w:hAnsi="Times New Roman"/>
          <w:color w:val="000000"/>
          <w:kern w:val="0"/>
          <w:sz w:val="24"/>
        </w:rPr>
        <w:t xml:space="preserve"> Gray lines are </w:t>
      </w:r>
      <w:r w:rsidR="00874229">
        <w:rPr>
          <w:rFonts w:ascii="Times New Roman" w:hAnsi="Times New Roman"/>
          <w:color w:val="000000"/>
          <w:kern w:val="0"/>
          <w:sz w:val="24"/>
        </w:rPr>
        <w:t xml:space="preserve">the surface traces of </w:t>
      </w:r>
      <w:r w:rsidR="00002BC9">
        <w:rPr>
          <w:rFonts w:ascii="Times New Roman" w:hAnsi="Times New Roman"/>
          <w:color w:val="000000"/>
          <w:kern w:val="0"/>
          <w:sz w:val="24"/>
        </w:rPr>
        <w:t>active Quaternary faults. (f) The Delaunay tessellation used for the smoothing penalties via the HIST-ETAS model. The Delaunay tessellation encompassed the entire study region shown in Fig. 1a and b.</w:t>
      </w:r>
    </w:p>
    <w:p w14:paraId="64576396" w14:textId="77777777" w:rsidR="0084584D" w:rsidRPr="005B6208" w:rsidRDefault="0084584D" w:rsidP="0084584D">
      <w:pPr>
        <w:ind w:firstLineChars="0" w:firstLine="0"/>
      </w:pPr>
    </w:p>
    <w:p w14:paraId="079464BC" w14:textId="77777777" w:rsidR="0084584D" w:rsidRDefault="0084584D" w:rsidP="0084584D">
      <w:pPr>
        <w:ind w:firstLineChars="0" w:firstLine="0"/>
      </w:pPr>
      <w:r>
        <w:br w:type="page"/>
      </w:r>
    </w:p>
    <w:p w14:paraId="480A50FF" w14:textId="77777777" w:rsidR="0084584D" w:rsidRDefault="0084584D" w:rsidP="0084584D">
      <w:pPr>
        <w:ind w:left="227"/>
      </w:pPr>
      <w:r>
        <w:rPr>
          <w:rFonts w:hint="eastAsia"/>
          <w:noProof/>
          <w:lang w:eastAsia="en-US"/>
        </w:rPr>
        <w:lastRenderedPageBreak/>
        <w:drawing>
          <wp:inline distT="0" distB="0" distL="0" distR="0" wp14:anchorId="699B934F" wp14:editId="2D3ECA66">
            <wp:extent cx="6555530" cy="4396456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55530" cy="439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2342E" w14:textId="76484988" w:rsidR="0084584D" w:rsidRPr="007A0D78" w:rsidRDefault="0084584D">
      <w:pPr>
        <w:ind w:left="260" w:hanging="260"/>
        <w:rPr>
          <w:rFonts w:ascii="Times New Roman" w:hAnsi="Times New Roman"/>
          <w:bCs/>
          <w:sz w:val="24"/>
        </w:rPr>
      </w:pPr>
      <w:r w:rsidRPr="3778350F">
        <w:rPr>
          <w:rFonts w:ascii="Times New Roman" w:hAnsi="Times New Roman"/>
          <w:b/>
          <w:bCs/>
          <w:sz w:val="24"/>
        </w:rPr>
        <w:t>Additional Figure S</w:t>
      </w:r>
      <w:r>
        <w:rPr>
          <w:rFonts w:ascii="Times New Roman" w:hAnsi="Times New Roman"/>
          <w:b/>
          <w:bCs/>
          <w:sz w:val="24"/>
        </w:rPr>
        <w:t>8</w:t>
      </w:r>
      <w:r w:rsidRPr="3778350F">
        <w:rPr>
          <w:rFonts w:ascii="Times New Roman" w:hAnsi="Times New Roman"/>
          <w:b/>
          <w:bCs/>
          <w:sz w:val="24"/>
        </w:rPr>
        <w:t xml:space="preserve"> </w:t>
      </w:r>
      <w:r w:rsidR="00002BC9" w:rsidRPr="001C5419">
        <w:rPr>
          <w:rFonts w:ascii="Times New Roman" w:hAnsi="Times New Roman"/>
          <w:bCs/>
          <w:sz w:val="24"/>
        </w:rPr>
        <w:t xml:space="preserve">Spatial distributions of the </w:t>
      </w:r>
      <w:r w:rsidR="00002BC9">
        <w:rPr>
          <w:rFonts w:ascii="Times New Roman" w:hAnsi="Times New Roman"/>
          <w:bCs/>
          <w:sz w:val="24"/>
        </w:rPr>
        <w:t>optimal maximum posterior estimates for the respective HIST-ETAS parameter functions estimated using synthetic data made by Space-time ETAS model (</w:t>
      </w:r>
      <w:r w:rsidR="00636115">
        <w:rPr>
          <w:rFonts w:ascii="Times New Roman" w:hAnsi="Times New Roman"/>
          <w:bCs/>
          <w:sz w:val="24"/>
        </w:rPr>
        <w:t>each i</w:t>
      </w:r>
      <w:r w:rsidR="00002BC9">
        <w:rPr>
          <w:rFonts w:ascii="Times New Roman" w:hAnsi="Times New Roman"/>
          <w:bCs/>
          <w:sz w:val="24"/>
        </w:rPr>
        <w:t>nput parameter</w:t>
      </w:r>
      <w:r w:rsidR="00636115">
        <w:rPr>
          <w:rFonts w:ascii="Times New Roman" w:hAnsi="Times New Roman"/>
          <w:bCs/>
          <w:sz w:val="24"/>
        </w:rPr>
        <w:t xml:space="preserve"> is</w:t>
      </w:r>
      <w:r w:rsidR="00002BC9">
        <w:rPr>
          <w:rFonts w:ascii="Times New Roman" w:hAnsi="Times New Roman" w:hint="eastAsia"/>
          <w:bCs/>
          <w:sz w:val="24"/>
        </w:rPr>
        <w:t xml:space="preserve"> </w:t>
      </w:r>
      <w:r w:rsidR="00002BC9">
        <w:rPr>
          <w:rFonts w:ascii="Times New Roman" w:hAnsi="Times New Roman"/>
          <w:bCs/>
          <w:sz w:val="24"/>
        </w:rPr>
        <w:t xml:space="preserve">spatially </w:t>
      </w:r>
      <w:r w:rsidR="00636115">
        <w:rPr>
          <w:rFonts w:ascii="Times New Roman" w:hAnsi="Times New Roman"/>
          <w:bCs/>
          <w:sz w:val="24"/>
        </w:rPr>
        <w:t>uniform</w:t>
      </w:r>
      <w:r w:rsidR="00002BC9">
        <w:rPr>
          <w:rFonts w:ascii="Times New Roman" w:hAnsi="Times New Roman"/>
          <w:bCs/>
          <w:sz w:val="24"/>
        </w:rPr>
        <w:t>)</w:t>
      </w:r>
      <w:r w:rsidR="00002BC9" w:rsidRPr="001C5419">
        <w:rPr>
          <w:rFonts w:ascii="Times New Roman" w:hAnsi="Times New Roman"/>
          <w:bCs/>
          <w:sz w:val="24"/>
        </w:rPr>
        <w:t>.</w:t>
      </w:r>
      <w:r w:rsidR="00002BC9" w:rsidRPr="000E36C4">
        <w:rPr>
          <w:rFonts w:ascii="Times New Roman" w:hAnsi="Times New Roman"/>
          <w:b/>
          <w:bCs/>
          <w:sz w:val="24"/>
        </w:rPr>
        <w:t xml:space="preserve"> </w:t>
      </w:r>
      <w:r w:rsidR="00002BC9">
        <w:rPr>
          <w:rFonts w:ascii="Times New Roman" w:hAnsi="Times New Roman"/>
          <w:bCs/>
          <w:sz w:val="24"/>
        </w:rPr>
        <w:t>Common logarithm</w:t>
      </w:r>
      <w:r w:rsidR="00002BC9" w:rsidRPr="000E36C4">
        <w:rPr>
          <w:rFonts w:ascii="Times New Roman" w:hAnsi="Times New Roman"/>
          <w:bCs/>
          <w:sz w:val="24"/>
        </w:rPr>
        <w:t xml:space="preserve"> of</w:t>
      </w:r>
      <w:r w:rsidR="00002BC9">
        <w:rPr>
          <w:rFonts w:ascii="Times New Roman" w:hAnsi="Times New Roman"/>
          <w:bCs/>
          <w:sz w:val="24"/>
        </w:rPr>
        <w:t xml:space="preserve"> </w:t>
      </w:r>
      <w:r w:rsidR="00002BC9" w:rsidRPr="000E36C4">
        <w:rPr>
          <w:rFonts w:ascii="Times New Roman" w:hAnsi="Times New Roman"/>
          <w:bCs/>
          <w:sz w:val="24"/>
        </w:rPr>
        <w:t>(a)</w:t>
      </w:r>
      <w:r w:rsidR="00002BC9">
        <w:rPr>
          <w:rFonts w:ascii="Times New Roman" w:hAnsi="Times New Roman"/>
          <w:bCs/>
          <w:sz w:val="24"/>
        </w:rPr>
        <w:t xml:space="preserve"> </w:t>
      </w:r>
      <m:oMath>
        <m:r>
          <w:rPr>
            <w:rFonts w:ascii="Cambria Math" w:hAnsi="Cambria Math"/>
            <w:sz w:val="24"/>
          </w:rPr>
          <m:t>μ</m:t>
        </m:r>
      </m:oMath>
      <w:r w:rsidR="00002BC9">
        <w:rPr>
          <w:rFonts w:ascii="Times New Roman" w:hAnsi="Times New Roman" w:hint="eastAsia"/>
          <w:bCs/>
          <w:sz w:val="24"/>
        </w:rPr>
        <w:t>-</w:t>
      </w:r>
      <w:r w:rsidR="00002BC9">
        <w:rPr>
          <w:rFonts w:ascii="Times New Roman" w:hAnsi="Times New Roman"/>
          <w:bCs/>
          <w:sz w:val="24"/>
        </w:rPr>
        <w:t>values</w:t>
      </w:r>
      <w:r w:rsidR="00002BC9" w:rsidRPr="001C5419">
        <w:rPr>
          <w:rFonts w:ascii="Times New Roman" w:hAnsi="Times New Roman"/>
          <w:color w:val="000000"/>
          <w:kern w:val="0"/>
          <w:sz w:val="24"/>
        </w:rPr>
        <w:t>, (b)</w:t>
      </w:r>
      <w:r w:rsidR="00002BC9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K</m:t>
        </m:r>
      </m:oMath>
      <w:r w:rsidR="00002BC9">
        <w:rPr>
          <w:rFonts w:ascii="Times New Roman" w:hAnsi="Times New Roman" w:hint="eastAsia"/>
          <w:color w:val="000000"/>
          <w:kern w:val="0"/>
          <w:sz w:val="24"/>
        </w:rPr>
        <w:t>-</w:t>
      </w:r>
      <w:r w:rsidR="00002BC9">
        <w:rPr>
          <w:rFonts w:ascii="Times New Roman" w:hAnsi="Times New Roman"/>
          <w:color w:val="000000"/>
          <w:kern w:val="0"/>
          <w:sz w:val="24"/>
        </w:rPr>
        <w:t>values</w:t>
      </w:r>
      <w:r w:rsidR="00002BC9" w:rsidRPr="001C5419">
        <w:rPr>
          <w:rFonts w:ascii="Times New Roman" w:hAnsi="Times New Roman"/>
          <w:color w:val="000000"/>
          <w:kern w:val="0"/>
          <w:sz w:val="24"/>
        </w:rPr>
        <w:t>, (c)</w:t>
      </w:r>
      <w:r w:rsidR="00002BC9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α</m:t>
        </m:r>
      </m:oMath>
      <w:r w:rsidR="00002BC9">
        <w:rPr>
          <w:rFonts w:ascii="Times New Roman" w:hAnsi="Times New Roman" w:hint="eastAsia"/>
          <w:color w:val="000000"/>
          <w:kern w:val="0"/>
          <w:sz w:val="24"/>
        </w:rPr>
        <w:t>-</w:t>
      </w:r>
      <w:r w:rsidR="00002BC9">
        <w:rPr>
          <w:rFonts w:ascii="Times New Roman" w:hAnsi="Times New Roman"/>
          <w:color w:val="000000"/>
          <w:kern w:val="0"/>
          <w:sz w:val="24"/>
        </w:rPr>
        <w:t>values</w:t>
      </w:r>
      <w:r w:rsidR="00002BC9" w:rsidRPr="001C5419">
        <w:rPr>
          <w:rFonts w:ascii="Times New Roman" w:hAnsi="Times New Roman"/>
          <w:color w:val="000000"/>
          <w:kern w:val="0"/>
          <w:sz w:val="24"/>
        </w:rPr>
        <w:t>, (d)</w:t>
      </w:r>
      <w:r w:rsidR="00002BC9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p</m:t>
        </m:r>
      </m:oMath>
      <w:r w:rsidR="00002BC9">
        <w:rPr>
          <w:rFonts w:ascii="Times New Roman" w:hAnsi="Times New Roman" w:hint="eastAsia"/>
          <w:color w:val="000000"/>
          <w:kern w:val="0"/>
          <w:sz w:val="24"/>
        </w:rPr>
        <w:t>-</w:t>
      </w:r>
      <w:r w:rsidR="00002BC9">
        <w:rPr>
          <w:rFonts w:ascii="Times New Roman" w:hAnsi="Times New Roman"/>
          <w:color w:val="000000"/>
          <w:kern w:val="0"/>
          <w:sz w:val="24"/>
        </w:rPr>
        <w:t>values</w:t>
      </w:r>
      <w:r w:rsidR="00002BC9" w:rsidRPr="001C5419">
        <w:rPr>
          <w:rFonts w:ascii="Times New Roman" w:hAnsi="Times New Roman"/>
          <w:color w:val="000000"/>
          <w:kern w:val="0"/>
          <w:sz w:val="24"/>
        </w:rPr>
        <w:t>, and (e)</w:t>
      </w:r>
      <w:r w:rsidR="00002BC9">
        <w:rPr>
          <w:rFonts w:ascii="Times New Roman" w:hAnsi="Times New Roman"/>
          <w:color w:val="000000"/>
          <w:kern w:val="0"/>
          <w:sz w:val="24"/>
        </w:rPr>
        <w:t xml:space="preserve"> </w:t>
      </w:r>
      <m:oMath>
        <m:r>
          <w:rPr>
            <w:rFonts w:ascii="Cambria Math" w:hAnsi="Cambria Math"/>
            <w:color w:val="000000"/>
            <w:kern w:val="0"/>
            <w:sz w:val="24"/>
          </w:rPr>
          <m:t>q</m:t>
        </m:r>
      </m:oMath>
      <w:r w:rsidR="00002BC9">
        <w:rPr>
          <w:rFonts w:ascii="Times New Roman" w:hAnsi="Times New Roman" w:hint="eastAsia"/>
          <w:color w:val="000000"/>
          <w:kern w:val="0"/>
          <w:sz w:val="24"/>
        </w:rPr>
        <w:t>-</w:t>
      </w:r>
      <w:r w:rsidR="00002BC9">
        <w:rPr>
          <w:rFonts w:ascii="Times New Roman" w:hAnsi="Times New Roman"/>
          <w:color w:val="000000"/>
          <w:kern w:val="0"/>
          <w:sz w:val="24"/>
        </w:rPr>
        <w:t>values</w:t>
      </w:r>
      <w:r w:rsidR="00002BC9" w:rsidRPr="001C5419">
        <w:rPr>
          <w:rFonts w:ascii="Times New Roman" w:hAnsi="Times New Roman"/>
          <w:color w:val="000000"/>
          <w:kern w:val="0"/>
          <w:sz w:val="24"/>
        </w:rPr>
        <w:t>. The two stars denote the epicenters of the 1964 Niigata (lower) and 2019 Yamagata-Oki (upper) earthquakes.</w:t>
      </w:r>
      <w:r w:rsidR="00002BC9">
        <w:rPr>
          <w:rFonts w:ascii="Times New Roman" w:hAnsi="Times New Roman"/>
          <w:color w:val="000000"/>
          <w:kern w:val="0"/>
          <w:sz w:val="24"/>
        </w:rPr>
        <w:t xml:space="preserve"> Gray lines are </w:t>
      </w:r>
      <w:r w:rsidR="009344E9">
        <w:rPr>
          <w:rFonts w:ascii="Times New Roman" w:hAnsi="Times New Roman"/>
          <w:color w:val="000000"/>
          <w:kern w:val="0"/>
          <w:sz w:val="24"/>
        </w:rPr>
        <w:t xml:space="preserve">the surface traces of </w:t>
      </w:r>
      <w:r w:rsidR="00002BC9">
        <w:rPr>
          <w:rFonts w:ascii="Times New Roman" w:hAnsi="Times New Roman"/>
          <w:color w:val="000000"/>
          <w:kern w:val="0"/>
          <w:sz w:val="24"/>
        </w:rPr>
        <w:t>active Quaternary faults. (f) The Delaunay tessellation used for the smoothing penalties via the HIST-ETAS model. The Delaunay tessellation encompassed the entire study region shown in Fig. 1a and b.</w:t>
      </w:r>
    </w:p>
    <w:p w14:paraId="7128B7FA" w14:textId="77777777" w:rsidR="0084584D" w:rsidRPr="005B6208" w:rsidRDefault="0084584D" w:rsidP="0084584D">
      <w:pPr>
        <w:ind w:firstLineChars="0" w:firstLine="0"/>
      </w:pPr>
    </w:p>
    <w:p w14:paraId="2222DA98" w14:textId="226EBCC9" w:rsidR="00E47532" w:rsidRPr="0084584D" w:rsidRDefault="00E47532" w:rsidP="005B6208">
      <w:pPr>
        <w:ind w:firstLineChars="0" w:firstLine="0"/>
      </w:pPr>
    </w:p>
    <w:sectPr w:rsidR="00E47532" w:rsidRPr="0084584D" w:rsidSect="00E47532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W3NDU3MbA0tjA2MDJW0lEKTi0uzszPAykwrAUAvULguSwAAAA="/>
  </w:docVars>
  <w:rsids>
    <w:rsidRoot w:val="00DB59EC"/>
    <w:rsid w:val="00002BC9"/>
    <w:rsid w:val="00011227"/>
    <w:rsid w:val="00050842"/>
    <w:rsid w:val="00053FAA"/>
    <w:rsid w:val="0006612C"/>
    <w:rsid w:val="000C6B1E"/>
    <w:rsid w:val="000E36C4"/>
    <w:rsid w:val="000F71D5"/>
    <w:rsid w:val="00130310"/>
    <w:rsid w:val="00130734"/>
    <w:rsid w:val="00142696"/>
    <w:rsid w:val="00142EAF"/>
    <w:rsid w:val="00170C31"/>
    <w:rsid w:val="0017410E"/>
    <w:rsid w:val="001A5AB3"/>
    <w:rsid w:val="001B4010"/>
    <w:rsid w:val="001C530E"/>
    <w:rsid w:val="001C5419"/>
    <w:rsid w:val="001D47BD"/>
    <w:rsid w:val="001F333A"/>
    <w:rsid w:val="00243B98"/>
    <w:rsid w:val="00263161"/>
    <w:rsid w:val="00273FB4"/>
    <w:rsid w:val="00285F1B"/>
    <w:rsid w:val="002B04C5"/>
    <w:rsid w:val="002B4CB4"/>
    <w:rsid w:val="002B514E"/>
    <w:rsid w:val="002E716E"/>
    <w:rsid w:val="002F3061"/>
    <w:rsid w:val="00332C40"/>
    <w:rsid w:val="00367466"/>
    <w:rsid w:val="00380EBF"/>
    <w:rsid w:val="003B009C"/>
    <w:rsid w:val="003E69B5"/>
    <w:rsid w:val="003F622D"/>
    <w:rsid w:val="003F6EA8"/>
    <w:rsid w:val="00416C6F"/>
    <w:rsid w:val="004422D1"/>
    <w:rsid w:val="00467950"/>
    <w:rsid w:val="004D2700"/>
    <w:rsid w:val="004D327C"/>
    <w:rsid w:val="004D6FB1"/>
    <w:rsid w:val="00543FF9"/>
    <w:rsid w:val="00547C1C"/>
    <w:rsid w:val="0059158F"/>
    <w:rsid w:val="00594625"/>
    <w:rsid w:val="005A4185"/>
    <w:rsid w:val="005B22AB"/>
    <w:rsid w:val="005B6208"/>
    <w:rsid w:val="005B68AB"/>
    <w:rsid w:val="005C021C"/>
    <w:rsid w:val="005F1D2F"/>
    <w:rsid w:val="005F76FA"/>
    <w:rsid w:val="00636115"/>
    <w:rsid w:val="006A64B2"/>
    <w:rsid w:val="006E382D"/>
    <w:rsid w:val="006F1738"/>
    <w:rsid w:val="0075123A"/>
    <w:rsid w:val="007611D9"/>
    <w:rsid w:val="00772BB6"/>
    <w:rsid w:val="00791588"/>
    <w:rsid w:val="007A0D78"/>
    <w:rsid w:val="007B1E08"/>
    <w:rsid w:val="007E729F"/>
    <w:rsid w:val="00830FE1"/>
    <w:rsid w:val="0083167C"/>
    <w:rsid w:val="0084584D"/>
    <w:rsid w:val="00851882"/>
    <w:rsid w:val="00874229"/>
    <w:rsid w:val="008E1C90"/>
    <w:rsid w:val="008F2F1F"/>
    <w:rsid w:val="009037F9"/>
    <w:rsid w:val="009127D2"/>
    <w:rsid w:val="009230EC"/>
    <w:rsid w:val="009344E9"/>
    <w:rsid w:val="00940B46"/>
    <w:rsid w:val="00961F84"/>
    <w:rsid w:val="009C6E77"/>
    <w:rsid w:val="00A05328"/>
    <w:rsid w:val="00A2371B"/>
    <w:rsid w:val="00A3398B"/>
    <w:rsid w:val="00A52B7A"/>
    <w:rsid w:val="00A8413E"/>
    <w:rsid w:val="00A97612"/>
    <w:rsid w:val="00AE1FC0"/>
    <w:rsid w:val="00B41464"/>
    <w:rsid w:val="00B569AE"/>
    <w:rsid w:val="00B87A76"/>
    <w:rsid w:val="00BD195F"/>
    <w:rsid w:val="00C01D60"/>
    <w:rsid w:val="00C04378"/>
    <w:rsid w:val="00C05902"/>
    <w:rsid w:val="00C0660F"/>
    <w:rsid w:val="00C11B76"/>
    <w:rsid w:val="00C242EF"/>
    <w:rsid w:val="00C31BD4"/>
    <w:rsid w:val="00C51D1E"/>
    <w:rsid w:val="00C74092"/>
    <w:rsid w:val="00C84B71"/>
    <w:rsid w:val="00CB5EA5"/>
    <w:rsid w:val="00CE3EBF"/>
    <w:rsid w:val="00CE3F48"/>
    <w:rsid w:val="00D343DE"/>
    <w:rsid w:val="00D460C7"/>
    <w:rsid w:val="00DB59EC"/>
    <w:rsid w:val="00DE59BB"/>
    <w:rsid w:val="00E259C3"/>
    <w:rsid w:val="00E3379A"/>
    <w:rsid w:val="00E359CD"/>
    <w:rsid w:val="00E35C41"/>
    <w:rsid w:val="00E41E01"/>
    <w:rsid w:val="00E47532"/>
    <w:rsid w:val="00EB5073"/>
    <w:rsid w:val="00EC0B7D"/>
    <w:rsid w:val="00EC217B"/>
    <w:rsid w:val="00EE77A4"/>
    <w:rsid w:val="00F46C1A"/>
    <w:rsid w:val="00FA4C54"/>
    <w:rsid w:val="00FA5F0D"/>
    <w:rsid w:val="00FC27DA"/>
    <w:rsid w:val="00FF111F"/>
    <w:rsid w:val="0AFD7EFD"/>
    <w:rsid w:val="3778350F"/>
    <w:rsid w:val="6760E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54E3519"/>
  <w15:docId w15:val="{B151B8D2-3F49-417B-A8DF-013CC8CAC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MS Mincho" w:hAnsi="Century" w:cs="Times New Roman"/>
        <w:lang w:val="en-US" w:eastAsia="ja-JP" w:bidi="ar-SA"/>
      </w:rPr>
    </w:rPrDefault>
    <w:pPrDefault>
      <w:pPr>
        <w:ind w:hangingChars="108" w:hanging="227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382D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82D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70C3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294F3-35DC-CA43-9DF8-A5774B465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703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dpri</Company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飯尾 能久</dc:creator>
  <cp:lastModifiedBy>Jennifer Yeh</cp:lastModifiedBy>
  <cp:revision>3</cp:revision>
  <cp:lastPrinted>2019-12-21T23:44:00Z</cp:lastPrinted>
  <dcterms:created xsi:type="dcterms:W3CDTF">2020-09-30T12:56:00Z</dcterms:created>
  <dcterms:modified xsi:type="dcterms:W3CDTF">2020-10-15T17:11:00Z</dcterms:modified>
</cp:coreProperties>
</file>