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2F19" w14:textId="77777777" w:rsidR="00AA2C45" w:rsidRDefault="00AA2C45" w:rsidP="00AA2C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4B1EE3" wp14:editId="3DECDCE1">
            <wp:extent cx="5274310" cy="7912735"/>
            <wp:effectExtent l="0" t="0" r="13970" b="1206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C77E" w14:textId="77777777" w:rsidR="00AA2C45" w:rsidRDefault="00AA2C45" w:rsidP="00AA2C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1| </w:t>
      </w:r>
      <w:r>
        <w:rPr>
          <w:rFonts w:ascii="Times New Roman" w:hAnsi="Times New Roman" w:cs="Times New Roman"/>
          <w:sz w:val="24"/>
          <w:szCs w:val="24"/>
        </w:rPr>
        <w:t xml:space="preserve">(A-F) Validation of TIMP1, SLC2A1, TRAF2, LDHA, LATS2, HOXA10 expression levels in TCGA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GTEx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using GEPIA and Kaplan-</w:t>
      </w:r>
      <w:r>
        <w:rPr>
          <w:rFonts w:ascii="Times New Roman" w:hAnsi="Times New Roman" w:cs="Times New Roman"/>
          <w:sz w:val="24"/>
          <w:szCs w:val="24"/>
        </w:rPr>
        <w:lastRenderedPageBreak/>
        <w:t>Meier survival analysis using Kaplan–Meier plotter</w:t>
      </w:r>
    </w:p>
    <w:p w14:paraId="1B87F7C4" w14:textId="77777777" w:rsidR="004E6E59" w:rsidRPr="00AA2C45" w:rsidRDefault="004E6E59"/>
    <w:sectPr w:rsidR="004E6E59" w:rsidRPr="00AA2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45"/>
    <w:rsid w:val="004E6E59"/>
    <w:rsid w:val="00AA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FFA0"/>
  <w15:chartTrackingRefBased/>
  <w15:docId w15:val="{F12B4259-EB99-4A37-876C-DFFD62A7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秀荷 康</dc:creator>
  <cp:keywords/>
  <dc:description/>
  <cp:lastModifiedBy>秀荷 康</cp:lastModifiedBy>
  <cp:revision>1</cp:revision>
  <dcterms:created xsi:type="dcterms:W3CDTF">2023-10-26T14:18:00Z</dcterms:created>
  <dcterms:modified xsi:type="dcterms:W3CDTF">2023-10-26T14:18:00Z</dcterms:modified>
</cp:coreProperties>
</file>