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4BD96" w14:textId="76772DD7" w:rsidR="00923C24" w:rsidRDefault="00923C24" w:rsidP="00923C24">
      <w:pPr>
        <w:rPr>
          <w:rFonts w:ascii="Times New Roman" w:hAnsi="Times New Roman" w:cs="Times New Roman"/>
          <w:b/>
          <w:bCs/>
          <w:sz w:val="24"/>
          <w:szCs w:val="24"/>
        </w:rPr>
      </w:pPr>
      <w:r w:rsidRPr="00923C24">
        <w:rPr>
          <w:rFonts w:ascii="Times New Roman" w:hAnsi="Times New Roman" w:cs="Times New Roman"/>
          <w:b/>
          <w:bCs/>
          <w:sz w:val="24"/>
          <w:szCs w:val="24"/>
        </w:rPr>
        <w:t xml:space="preserve">1. </w:t>
      </w:r>
      <w:r w:rsidR="00224439">
        <w:rPr>
          <w:rFonts w:ascii="Times New Roman" w:hAnsi="Times New Roman" w:cs="Times New Roman"/>
          <w:b/>
          <w:bCs/>
          <w:sz w:val="24"/>
          <w:szCs w:val="24"/>
        </w:rPr>
        <w:t>Chill Hour/Chill Portion Calculation Methods</w:t>
      </w:r>
    </w:p>
    <w:p w14:paraId="23A21354" w14:textId="77777777" w:rsidR="00224439" w:rsidRDefault="00224439" w:rsidP="0022443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“Simple Method” measures chill hours based on hourly temperatures, with values between 0 and 7.2°C receiving one chill hour and temperatures outside of this range receiving no hours (Weinberger, 1950). The Simple Method is only additive and therefore anomalously high or low winter temperatures do not subtract from the cumulative total from the previous days. </w:t>
      </w:r>
    </w:p>
    <w:p w14:paraId="1BCC4DEB" w14:textId="77777777" w:rsidR="00224439" w:rsidRDefault="00224439" w:rsidP="0022443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method is a weighted temperature model known as the “Utah Method” (Richardson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1974; Linvill, 1990), which accounts for both the decreased efficacy of chill accumulation outside of an ideal temperature range and the potential deteriorative effects of anomalously high temperatures to chill accumulation. The Utah Method assigns 1 chill hour to an hourly temperature between 2.5 and 9.1°C, 0.5 chill hour to temperatures between 1.5-2.4°C or between 9.2-12.4°C, and 0 hours to temperatures either less than 1.4°C or between 12.5-15.9°C. We use the modified Utah Method of Linvill (1990), which removes previously accumulated chill hours when hourly air temperature exceeds 16°C, specifically removing 0.5 chill hours when temperatures are between 16-18°C, and 1 chill hour when temperatures exceed 18°C. </w:t>
      </w:r>
    </w:p>
    <w:p w14:paraId="0A2F0EA8" w14:textId="53103CD7" w:rsidR="00923C24" w:rsidRPr="00923C24" w:rsidRDefault="00224439" w:rsidP="00923C24">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The third chill hour model is the “Dynamic Method”, (Erez </w:t>
      </w:r>
      <w:r w:rsidR="00EA66F4">
        <w:rPr>
          <w:rFonts w:ascii="Times New Roman" w:eastAsia="Times New Roman" w:hAnsi="Times New Roman" w:cs="Times New Roman"/>
          <w:iCs/>
          <w:sz w:val="24"/>
          <w:szCs w:val="24"/>
        </w:rPr>
        <w:t>and Fishman, 1997</w:t>
      </w:r>
      <w:r>
        <w:rPr>
          <w:rFonts w:ascii="Times New Roman" w:eastAsia="Times New Roman" w:hAnsi="Times New Roman" w:cs="Times New Roman"/>
          <w:sz w:val="24"/>
          <w:szCs w:val="24"/>
        </w:rPr>
        <w:t>), which accumulates chill portions instead of hours in a two-step process. The method assumes the creation of an intermediate product by cold temperatures, and the product can either be destroyed by subsequent warmer temperatures or deposited as a chill portion if a certain amount of the product has been created. The Dynamic Method is sensitive to parameter selection, including the threshold temperature at which product is created or destroyed, and the time over which product accumulates before it is deposited as a chill portion (D</w:t>
      </w:r>
      <w:r w:rsidR="00EA66F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rbyshire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2011). </w:t>
      </w:r>
      <w:r w:rsidR="00923C24" w:rsidRPr="00923C24">
        <w:rPr>
          <w:rFonts w:ascii="Times New Roman" w:eastAsia="Times New Roman" w:hAnsi="Times New Roman" w:cs="Times New Roman"/>
          <w:sz w:val="24"/>
          <w:szCs w:val="24"/>
        </w:rPr>
        <w:t xml:space="preserve">We adopt the Dynamic Method parameter values from </w:t>
      </w:r>
      <w:proofErr w:type="spellStart"/>
      <w:r w:rsidR="00923C24" w:rsidRPr="00923C24">
        <w:rPr>
          <w:rFonts w:ascii="Times New Roman" w:eastAsia="Times New Roman" w:hAnsi="Times New Roman" w:cs="Times New Roman"/>
          <w:sz w:val="24"/>
          <w:szCs w:val="24"/>
        </w:rPr>
        <w:t>Luedling</w:t>
      </w:r>
      <w:proofErr w:type="spellEnd"/>
      <w:r w:rsidR="00923C24" w:rsidRPr="00923C24">
        <w:rPr>
          <w:rFonts w:ascii="Times New Roman" w:eastAsia="Times New Roman" w:hAnsi="Times New Roman" w:cs="Times New Roman"/>
          <w:sz w:val="24"/>
          <w:szCs w:val="24"/>
        </w:rPr>
        <w:t xml:space="preserve"> </w:t>
      </w:r>
      <w:r w:rsidR="00923C24" w:rsidRPr="00923C24">
        <w:rPr>
          <w:rFonts w:ascii="Times New Roman" w:eastAsia="Times New Roman" w:hAnsi="Times New Roman" w:cs="Times New Roman"/>
          <w:i/>
          <w:sz w:val="24"/>
          <w:szCs w:val="24"/>
        </w:rPr>
        <w:t xml:space="preserve">et al. </w:t>
      </w:r>
      <w:r w:rsidR="00923C24" w:rsidRPr="00923C24">
        <w:rPr>
          <w:rFonts w:ascii="Times New Roman" w:eastAsia="Times New Roman" w:hAnsi="Times New Roman" w:cs="Times New Roman"/>
          <w:sz w:val="24"/>
          <w:szCs w:val="24"/>
        </w:rPr>
        <w:t xml:space="preserve">(2009) to calculate the number of chill portions at time </w:t>
      </w:r>
      <m:oMath>
        <m:r>
          <w:rPr>
            <w:rFonts w:ascii="Cambria Math" w:eastAsia="Cambria Math" w:hAnsi="Cambria Math" w:cs="Times New Roman"/>
            <w:sz w:val="24"/>
            <w:szCs w:val="24"/>
          </w:rPr>
          <m:t>t</m:t>
        </m:r>
      </m:oMath>
      <w:r w:rsidR="00923C24" w:rsidRPr="00923C24">
        <w:rPr>
          <w:rFonts w:ascii="Times New Roman" w:eastAsia="Times New Roman" w:hAnsi="Times New Roman" w:cs="Times New Roman"/>
          <w:sz w:val="24"/>
          <w:szCs w:val="24"/>
        </w:rPr>
        <w:t xml:space="preserve"> such that: </w:t>
      </w:r>
    </w:p>
    <w:p w14:paraId="4A520425" w14:textId="77777777" w:rsidR="00923C24" w:rsidRPr="00EF321C" w:rsidRDefault="00000000" w:rsidP="00923C24">
      <w:pPr>
        <w:spacing w:line="360" w:lineRule="auto"/>
        <w:jc w:val="cente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slp∙tetmlt∙</m:t>
                  </m:r>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-tetmlt</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den>
                      </m:f>
                    </m:e>
                  </m:d>
                </m:sup>
              </m:sSup>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slp∙tetmlt∙</m:t>
                  </m:r>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-tetmlt</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den>
                      </m:f>
                    </m:e>
                  </m:d>
                </m:sup>
              </m:sSup>
            </m:den>
          </m:f>
        </m:oMath>
      </m:oMathPara>
    </w:p>
    <w:p w14:paraId="4775D35C" w14:textId="77777777" w:rsidR="00923C24" w:rsidRPr="00EF321C" w:rsidRDefault="00000000" w:rsidP="00923C24">
      <w:pPr>
        <w:spacing w:line="360" w:lineRule="auto"/>
        <w:jc w:val="cente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sup>
          </m:sSup>
        </m:oMath>
      </m:oMathPara>
    </w:p>
    <w:p w14:paraId="0E3A5B0C" w14:textId="77777777" w:rsidR="00923C24" w:rsidRPr="008D4FB4" w:rsidRDefault="00000000" w:rsidP="00923C24">
      <w:pPr>
        <w:spacing w:line="360" w:lineRule="auto"/>
        <w:jc w:val="cente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ak</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den>
                  </m:f>
                </m:e>
              </m:d>
            </m:sup>
          </m:sSup>
        </m:oMath>
      </m:oMathPara>
    </w:p>
    <w:p w14:paraId="6FC3A10A" w14:textId="77777777" w:rsidR="00923C24" w:rsidRPr="008D4FB4" w:rsidRDefault="00000000" w:rsidP="00923C24">
      <w:pPr>
        <w:spacing w:line="360" w:lineRule="auto"/>
        <w:jc w:val="cente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inter</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inter</m:t>
                  </m:r>
                </m:e>
                <m:sub>
                  <m:r>
                    <w:rPr>
                      <w:rFonts w:ascii="Cambria Math" w:hAnsi="Cambria Math" w:cs="Times New Roman"/>
                      <w:sz w:val="24"/>
                      <w:szCs w:val="24"/>
                    </w:rPr>
                    <m:t>S</m:t>
                  </m:r>
                </m:sub>
              </m:sSub>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ak</m:t>
                  </m:r>
                </m:e>
                <m:sub>
                  <m:r>
                    <w:rPr>
                      <w:rFonts w:ascii="Cambria Math" w:hAnsi="Cambria Math" w:cs="Times New Roman"/>
                      <w:sz w:val="24"/>
                      <w:szCs w:val="24"/>
                    </w:rPr>
                    <m:t>1</m:t>
                  </m:r>
                </m:sub>
              </m:sSub>
            </m:sup>
          </m:sSup>
        </m:oMath>
      </m:oMathPara>
    </w:p>
    <w:p w14:paraId="3F05F9FD" w14:textId="77777777" w:rsidR="00923C24" w:rsidRDefault="00000000" w:rsidP="00923C24">
      <w:pPr>
        <w:spacing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inter</m:t>
              </m:r>
            </m:e>
            <m:sub>
              <m:r>
                <w:rPr>
                  <w:rFonts w:ascii="Cambria Math" w:hAnsi="Cambria Math" w:cs="Times New Roman"/>
                  <w:sz w:val="24"/>
                  <w:szCs w:val="24"/>
                </w:rPr>
                <m:t>St</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m:rPr>
                  <m:sty m:val="b"/>
                </m:rPr>
                <w:rPr>
                  <w:rFonts w:ascii="Cambria Math" w:hAnsi="Cambria Math" w:cs="Times New Roman"/>
                  <w:sz w:val="24"/>
                  <w:szCs w:val="24"/>
                </w:rPr>
                <m:t xml:space="preserve">if </m:t>
              </m:r>
              <m:eqArr>
                <m:eqArrPr>
                  <m:ctrlPr>
                    <w:rPr>
                      <w:rFonts w:ascii="Cambria Math" w:hAnsi="Cambria Math" w:cs="Times New Roman"/>
                      <w:i/>
                      <w:sz w:val="24"/>
                      <w:szCs w:val="24"/>
                    </w:rPr>
                  </m:ctrlPr>
                </m:eqArrPr>
                <m:e>
                  <m:r>
                    <w:rPr>
                      <w:rFonts w:ascii="Cambria Math" w:hAnsi="Cambria Math" w:cs="Times New Roman"/>
                      <w:sz w:val="24"/>
                      <w:szCs w:val="24"/>
                    </w:rPr>
                    <m:t xml:space="preserve">       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0</m:t>
                  </m:r>
                </m:e>
                <m:e>
                  <m:r>
                    <w:rPr>
                      <w:rFonts w:ascii="Cambria Math" w:hAnsi="Cambria Math" w:cs="Times New Roman"/>
                      <w:sz w:val="24"/>
                      <w:szCs w:val="24"/>
                    </w:rPr>
                    <m:t xml:space="preserve">    t&gt;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&amp; </m:t>
                  </m:r>
                  <m:r>
                    <m:rPr>
                      <m:sty m:val="p"/>
                    </m:rPr>
                    <w:rPr>
                      <w:rFonts w:ascii="Cambria Math" w:hAnsi="Cambria Math" w:cs="Cambria Math"/>
                    </w:rPr>
                    <m:t>∧</m:t>
                  </m:r>
                  <m:sSub>
                    <m:sSubPr>
                      <m:ctrlPr>
                        <w:rPr>
                          <w:rFonts w:ascii="Cambria Math" w:hAnsi="Cambria Math" w:cs="Times New Roman"/>
                          <w:i/>
                          <w:sz w:val="24"/>
                          <w:szCs w:val="24"/>
                        </w:rPr>
                      </m:ctrlPr>
                    </m:sSubPr>
                    <m:e>
                      <m:r>
                        <w:rPr>
                          <w:rFonts w:ascii="Cambria Math" w:hAnsi="Cambria Math" w:cs="Times New Roman"/>
                          <w:sz w:val="24"/>
                          <w:szCs w:val="24"/>
                        </w:rPr>
                        <m:t xml:space="preserve"> inter</m:t>
                      </m:r>
                    </m:e>
                    <m:sub>
                      <m:r>
                        <w:rPr>
                          <w:rFonts w:ascii="Cambria Math" w:hAnsi="Cambria Math" w:cs="Times New Roman"/>
                          <w:sz w:val="24"/>
                          <w:szCs w:val="24"/>
                        </w:rPr>
                        <m:t>E</m:t>
                      </m:r>
                    </m:sub>
                  </m:sSub>
                  <m:r>
                    <w:rPr>
                      <w:rFonts w:ascii="Cambria Math" w:hAnsi="Cambria Math" w:cs="Times New Roman"/>
                      <w:sz w:val="24"/>
                      <w:szCs w:val="24"/>
                    </w:rPr>
                    <m:t xml:space="preserve">&lt;1,                  </m:t>
                  </m:r>
                  <m:sSub>
                    <m:sSubPr>
                      <m:ctrlPr>
                        <w:rPr>
                          <w:rFonts w:ascii="Cambria Math" w:hAnsi="Cambria Math" w:cs="Times New Roman"/>
                          <w:i/>
                          <w:sz w:val="24"/>
                          <w:szCs w:val="24"/>
                        </w:rPr>
                      </m:ctrlPr>
                    </m:sSubPr>
                    <m:e>
                      <m:r>
                        <w:rPr>
                          <w:rFonts w:ascii="Cambria Math" w:hAnsi="Cambria Math" w:cs="Times New Roman"/>
                          <w:sz w:val="24"/>
                          <w:szCs w:val="24"/>
                        </w:rPr>
                        <m:t>inter</m:t>
                      </m:r>
                    </m:e>
                    <m:sub>
                      <m:r>
                        <w:rPr>
                          <w:rFonts w:ascii="Cambria Math" w:hAnsi="Cambria Math" w:cs="Times New Roman"/>
                          <w:sz w:val="24"/>
                          <w:szCs w:val="24"/>
                        </w:rPr>
                        <m:t>Et-1</m:t>
                      </m:r>
                    </m:sub>
                  </m:sSub>
                  <m:r>
                    <w:rPr>
                      <w:rFonts w:ascii="Cambria Math" w:hAnsi="Cambria Math" w:cs="Times New Roman"/>
                      <w:sz w:val="24"/>
                      <w:szCs w:val="24"/>
                    </w:rPr>
                    <m:t xml:space="preserve"> </m:t>
                  </m:r>
                </m:e>
                <m:e>
                  <m:r>
                    <w:rPr>
                      <w:rFonts w:ascii="Cambria Math" w:hAnsi="Cambria Math" w:cs="Times New Roman"/>
                      <w:sz w:val="24"/>
                      <w:szCs w:val="24"/>
                    </w:rPr>
                    <m:t>t&gt;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&amp; </m:t>
                  </m:r>
                  <m:r>
                    <m:rPr>
                      <m:sty m:val="p"/>
                    </m:rPr>
                    <w:rPr>
                      <w:rFonts w:ascii="Cambria Math" w:hAnsi="Cambria Math" w:cs="Cambria Math"/>
                    </w:rPr>
                    <m:t>∧</m:t>
                  </m:r>
                  <m:sSub>
                    <m:sSubPr>
                      <m:ctrlPr>
                        <w:rPr>
                          <w:rFonts w:ascii="Cambria Math" w:hAnsi="Cambria Math" w:cs="Times New Roman"/>
                          <w:i/>
                          <w:sz w:val="24"/>
                          <w:szCs w:val="24"/>
                        </w:rPr>
                      </m:ctrlPr>
                    </m:sSubPr>
                    <m:e>
                      <m:r>
                        <w:rPr>
                          <w:rFonts w:ascii="Cambria Math" w:hAnsi="Cambria Math" w:cs="Times New Roman"/>
                          <w:sz w:val="24"/>
                          <w:szCs w:val="24"/>
                        </w:rPr>
                        <m:t>inter</m:t>
                      </m:r>
                    </m:e>
                    <m:sub>
                      <m:r>
                        <w:rPr>
                          <w:rFonts w:ascii="Cambria Math" w:hAnsi="Cambria Math" w:cs="Times New Roman"/>
                          <w:sz w:val="24"/>
                          <w:szCs w:val="24"/>
                        </w:rPr>
                        <m:t>E</m:t>
                      </m:r>
                    </m:sub>
                  </m:sSub>
                  <m:r>
                    <w:rPr>
                      <w:rFonts w:ascii="Cambria Math" w:hAnsi="Cambria Math" w:cs="Times New Roman"/>
                      <w:sz w:val="24"/>
                      <w:szCs w:val="24"/>
                    </w:rPr>
                    <m:t xml:space="preserve">≥1,           </m:t>
                  </m:r>
                  <m:sSub>
                    <m:sSubPr>
                      <m:ctrlPr>
                        <w:rPr>
                          <w:rFonts w:ascii="Cambria Math" w:hAnsi="Cambria Math" w:cs="Times New Roman"/>
                          <w:i/>
                          <w:sz w:val="24"/>
                          <w:szCs w:val="24"/>
                        </w:rPr>
                      </m:ctrlPr>
                    </m:sSubPr>
                    <m:e>
                      <m:r>
                        <w:rPr>
                          <w:rFonts w:ascii="Cambria Math" w:hAnsi="Cambria Math" w:cs="Times New Roman"/>
                          <w:sz w:val="24"/>
                          <w:szCs w:val="24"/>
                        </w:rPr>
                        <m:t>inter</m:t>
                      </m:r>
                    </m:e>
                    <m:sub>
                      <m:r>
                        <w:rPr>
                          <w:rFonts w:ascii="Cambria Math" w:hAnsi="Cambria Math" w:cs="Times New Roman"/>
                          <w:sz w:val="24"/>
                          <w:szCs w:val="24"/>
                        </w:rPr>
                        <m:t>Et-1</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d>
                </m:e>
              </m:eqArr>
            </m:e>
          </m:d>
        </m:oMath>
      </m:oMathPara>
    </w:p>
    <w:p w14:paraId="63543467" w14:textId="77777777" w:rsidR="00923C24" w:rsidRPr="00A464E4" w:rsidRDefault="00923C24" w:rsidP="00923C24">
      <w:pPr>
        <w:spacing w:line="36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delt=</m:t>
          </m:r>
          <m:d>
            <m:dPr>
              <m:begChr m:val="{"/>
              <m:endChr m:val=""/>
              <m:ctrlPr>
                <w:rPr>
                  <w:rFonts w:ascii="Cambria Math" w:hAnsi="Cambria Math" w:cs="Times New Roman"/>
                  <w:i/>
                  <w:sz w:val="24"/>
                  <w:szCs w:val="24"/>
                </w:rPr>
              </m:ctrlPr>
            </m:dPr>
            <m:e>
              <m:r>
                <m:rPr>
                  <m:sty m:val="b"/>
                </m:rPr>
                <w:rPr>
                  <w:rFonts w:ascii="Cambria Math" w:hAnsi="Cambria Math" w:cs="Times New Roman"/>
                  <w:sz w:val="24"/>
                  <w:szCs w:val="24"/>
                </w:rPr>
                <m:t xml:space="preserve">if </m:t>
              </m:r>
              <m:eqArr>
                <m:eqArrPr>
                  <m:ctrlPr>
                    <w:rPr>
                      <w:rFonts w:ascii="Cambria Math" w:hAnsi="Cambria Math" w:cs="Times New Roman"/>
                      <w:i/>
                      <w:sz w:val="24"/>
                      <w:szCs w:val="24"/>
                    </w:rPr>
                  </m:ctrlPr>
                </m:eqArrPr>
                <m:e>
                  <m:r>
                    <w:rPr>
                      <w:rFonts w:ascii="Cambria Math" w:hAnsi="Cambria Math" w:cs="Times New Roman"/>
                      <w:sz w:val="24"/>
                      <w:szCs w:val="24"/>
                    </w:rPr>
                    <m:t xml:space="preserve">       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0</m:t>
                  </m:r>
                </m:e>
                <m:e>
                  <m:r>
                    <w:rPr>
                      <w:rFonts w:ascii="Cambria Math" w:hAnsi="Cambria Math" w:cs="Times New Roman"/>
                      <w:sz w:val="24"/>
                      <w:szCs w:val="24"/>
                    </w:rPr>
                    <m:t xml:space="preserve">    t&gt;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&amp; </m:t>
                  </m:r>
                  <m:r>
                    <m:rPr>
                      <m:sty m:val="p"/>
                    </m:rPr>
                    <w:rPr>
                      <w:rFonts w:ascii="Cambria Math" w:hAnsi="Cambria Math" w:cs="Cambria Math"/>
                    </w:rPr>
                    <m:t>∧</m:t>
                  </m:r>
                  <m:sSub>
                    <m:sSubPr>
                      <m:ctrlPr>
                        <w:rPr>
                          <w:rFonts w:ascii="Cambria Math" w:hAnsi="Cambria Math" w:cs="Times New Roman"/>
                          <w:i/>
                          <w:sz w:val="24"/>
                          <w:szCs w:val="24"/>
                        </w:rPr>
                      </m:ctrlPr>
                    </m:sSubPr>
                    <m:e>
                      <m:r>
                        <w:rPr>
                          <w:rFonts w:ascii="Cambria Math" w:hAnsi="Cambria Math" w:cs="Times New Roman"/>
                          <w:sz w:val="24"/>
                          <w:szCs w:val="24"/>
                        </w:rPr>
                        <m:t xml:space="preserve"> inter</m:t>
                      </m:r>
                    </m:e>
                    <m:sub>
                      <m:r>
                        <w:rPr>
                          <w:rFonts w:ascii="Cambria Math" w:hAnsi="Cambria Math" w:cs="Times New Roman"/>
                          <w:sz w:val="24"/>
                          <w:szCs w:val="24"/>
                        </w:rPr>
                        <m:t>E</m:t>
                      </m:r>
                    </m:sub>
                  </m:sSub>
                  <m:r>
                    <w:rPr>
                      <w:rFonts w:ascii="Cambria Math" w:hAnsi="Cambria Math" w:cs="Times New Roman"/>
                      <w:sz w:val="24"/>
                      <w:szCs w:val="24"/>
                    </w:rPr>
                    <m:t xml:space="preserve">&lt;1,                 0 </m:t>
                  </m:r>
                </m:e>
                <m:e>
                  <m:r>
                    <w:rPr>
                      <w:rFonts w:ascii="Cambria Math" w:hAnsi="Cambria Math" w:cs="Times New Roman"/>
                      <w:sz w:val="24"/>
                      <w:szCs w:val="24"/>
                    </w:rPr>
                    <m:t>t&gt;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&amp; </m:t>
                  </m:r>
                  <m:r>
                    <m:rPr>
                      <m:sty m:val="p"/>
                    </m:rPr>
                    <w:rPr>
                      <w:rFonts w:ascii="Cambria Math" w:hAnsi="Cambria Math" w:cs="Cambria Math"/>
                    </w:rPr>
                    <m:t>∧</m:t>
                  </m:r>
                  <m:sSub>
                    <m:sSubPr>
                      <m:ctrlPr>
                        <w:rPr>
                          <w:rFonts w:ascii="Cambria Math" w:hAnsi="Cambria Math" w:cs="Times New Roman"/>
                          <w:i/>
                          <w:sz w:val="24"/>
                          <w:szCs w:val="24"/>
                        </w:rPr>
                      </m:ctrlPr>
                    </m:sSubPr>
                    <m:e>
                      <m:r>
                        <w:rPr>
                          <w:rFonts w:ascii="Cambria Math" w:hAnsi="Cambria Math" w:cs="Times New Roman"/>
                          <w:sz w:val="24"/>
                          <w:szCs w:val="24"/>
                        </w:rPr>
                        <m:t>inter</m:t>
                      </m:r>
                    </m:e>
                    <m:sub>
                      <m:r>
                        <w:rPr>
                          <w:rFonts w:ascii="Cambria Math" w:hAnsi="Cambria Math" w:cs="Times New Roman"/>
                          <w:sz w:val="24"/>
                          <w:szCs w:val="24"/>
                        </w:rPr>
                        <m:t>E</m:t>
                      </m:r>
                    </m:sub>
                  </m:sSub>
                  <m:r>
                    <w:rPr>
                      <w:rFonts w:ascii="Cambria Math" w:hAnsi="Cambria Math" w:cs="Times New Roman"/>
                      <w:sz w:val="24"/>
                      <w:szCs w:val="24"/>
                    </w:rPr>
                    <m:t xml:space="preserve">≥1,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inter</m:t>
                      </m:r>
                    </m:e>
                    <m:sub>
                      <m:r>
                        <w:rPr>
                          <w:rFonts w:ascii="Cambria Math" w:hAnsi="Cambria Math" w:cs="Times New Roman"/>
                          <w:sz w:val="24"/>
                          <w:szCs w:val="24"/>
                        </w:rPr>
                        <m:t>E</m:t>
                      </m:r>
                    </m:sub>
                  </m:sSub>
                </m:e>
              </m:eqArr>
            </m:e>
          </m:d>
        </m:oMath>
      </m:oMathPara>
    </w:p>
    <w:p w14:paraId="306B36ED" w14:textId="77777777" w:rsidR="00923C24" w:rsidRDefault="00923C24" w:rsidP="00923C24">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chill portions = </w:t>
      </w:r>
      <m:oMath>
        <m:d>
          <m:dPr>
            <m:begChr m:val="{"/>
            <m:endChr m:val=""/>
            <m:ctrlPr>
              <w:rPr>
                <w:rFonts w:ascii="Cambria Math" w:eastAsiaTheme="minorEastAsia" w:hAnsi="Cambria Math" w:cs="Times New Roman"/>
                <w:i/>
                <w:sz w:val="24"/>
                <w:szCs w:val="24"/>
              </w:rPr>
            </m:ctrlPr>
          </m:dPr>
          <m:e>
            <m:r>
              <m:rPr>
                <m:sty m:val="b"/>
              </m:rPr>
              <w:rPr>
                <w:rFonts w:ascii="Cambria Math" w:eastAsiaTheme="minorEastAsia" w:hAnsi="Cambria Math" w:cs="Times New Roman"/>
                <w:sz w:val="24"/>
                <w:szCs w:val="24"/>
              </w:rPr>
              <m:t xml:space="preserve">if     </m:t>
            </m:r>
            <m:eqArr>
              <m:eqArrPr>
                <m:ctrlPr>
                  <w:rPr>
                    <w:rFonts w:ascii="Cambria Math" w:eastAsiaTheme="minorEastAsia" w:hAnsi="Cambria Math" w:cs="Times New Roman"/>
                    <w:i/>
                    <w:sz w:val="24"/>
                    <w:szCs w:val="24"/>
                  </w:rPr>
                </m:ctrlPr>
              </m:eqArr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delt</m:t>
                </m:r>
              </m:e>
              <m:e>
                <m:r>
                  <w:rPr>
                    <w:rFonts w:ascii="Cambria Math" w:eastAsiaTheme="minorEastAsia"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delt+</m:t>
                </m:r>
                <m:sSub>
                  <m:sSubPr>
                    <m:ctrlPr>
                      <w:rPr>
                        <w:rFonts w:ascii="Cambria Math" w:hAnsi="Cambria Math" w:cs="Times New Roman"/>
                        <w:i/>
                        <w:sz w:val="24"/>
                        <w:szCs w:val="24"/>
                      </w:rPr>
                    </m:ctrlPr>
                  </m:sSubPr>
                  <m:e>
                    <m:r>
                      <w:rPr>
                        <w:rFonts w:ascii="Cambria Math" w:hAnsi="Cambria Math" w:cs="Times New Roman"/>
                        <w:sz w:val="24"/>
                        <w:szCs w:val="24"/>
                      </w:rPr>
                      <m:t>chill portions</m:t>
                    </m:r>
                  </m:e>
                  <m:sub>
                    <m:r>
                      <w:rPr>
                        <w:rFonts w:ascii="Cambria Math" w:hAnsi="Cambria Math" w:cs="Times New Roman"/>
                        <w:sz w:val="24"/>
                        <w:szCs w:val="24"/>
                      </w:rPr>
                      <m:t>t-1</m:t>
                    </m:r>
                  </m:sub>
                </m:sSub>
              </m:e>
            </m:eqArr>
          </m:e>
        </m:d>
      </m:oMath>
    </w:p>
    <w:p w14:paraId="1C26DDF8" w14:textId="77777777" w:rsidR="00923C24" w:rsidRDefault="00923C24" w:rsidP="00923C24">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derived constants took the following values:</w:t>
      </w:r>
    </w:p>
    <w:p w14:paraId="1A1E2B98" w14:textId="77777777" w:rsidR="00923C24" w:rsidRDefault="00923C24" w:rsidP="00923C24">
      <w:pPr>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slp=1.6</m:t>
        </m:r>
      </m:oMath>
      <w:r>
        <w:rPr>
          <w:rFonts w:ascii="Times New Roman" w:eastAsiaTheme="minorEastAsia" w:hAnsi="Times New Roman" w:cs="Times New Roman"/>
          <w:sz w:val="24"/>
          <w:szCs w:val="24"/>
        </w:rPr>
        <w:t xml:space="preserve">, </w:t>
      </w:r>
      <m:oMath>
        <m:r>
          <w:rPr>
            <w:rFonts w:ascii="Cambria Math" w:hAnsi="Cambria Math" w:cs="Times New Roman"/>
            <w:sz w:val="24"/>
            <w:szCs w:val="24"/>
          </w:rPr>
          <m:t>tetmlt</m:t>
        </m:r>
      </m:oMath>
      <w:r>
        <w:rPr>
          <w:rFonts w:ascii="Times New Roman" w:eastAsiaTheme="minorEastAsia" w:hAnsi="Times New Roman" w:cs="Times New Roman"/>
          <w:sz w:val="24"/>
          <w:szCs w:val="24"/>
        </w:rPr>
        <w:t xml:space="preserve"> = 277,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=139500</m:t>
        </m:r>
      </m:oMath>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r>
          <w:rPr>
            <w:rFonts w:ascii="Cambria Math" w:eastAsiaTheme="minorEastAsia" w:hAnsi="Cambria Math" w:cs="Times New Roman"/>
            <w:sz w:val="24"/>
            <w:szCs w:val="24"/>
          </w:rPr>
          <m:t>2.567×</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18</m:t>
            </m:r>
          </m:sup>
        </m:sSup>
      </m:oMath>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r>
          <w:rPr>
            <w:rFonts w:ascii="Cambria Math" w:hAnsi="Cambria Math" w:cs="Times New Roman"/>
            <w:sz w:val="24"/>
            <w:szCs w:val="24"/>
          </w:rPr>
          <m:t>=</m:t>
        </m:r>
        <m:r>
          <w:rPr>
            <w:rFonts w:ascii="Cambria Math" w:eastAsiaTheme="minorEastAsia" w:hAnsi="Cambria Math" w:cs="Times New Roman"/>
            <w:sz w:val="24"/>
            <w:szCs w:val="24"/>
          </w:rPr>
          <m:t>12888.8</m:t>
        </m:r>
      </m:oMath>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oMath>
      <w:r>
        <w:rPr>
          <w:rFonts w:ascii="Times New Roman" w:eastAsiaTheme="minorEastAsia" w:hAnsi="Times New Roman" w:cs="Times New Roman"/>
          <w:sz w:val="24"/>
          <w:szCs w:val="24"/>
        </w:rPr>
        <w:t xml:space="preserve">4153.5,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Pr>
          <w:rFonts w:ascii="Times New Roman" w:eastAsiaTheme="minorEastAsia" w:hAnsi="Times New Roman" w:cs="Times New Roman"/>
          <w:sz w:val="24"/>
          <w:szCs w:val="24"/>
        </w:rPr>
        <w:t xml:space="preserve"> is the hourly temperature (Kelvin), and </w:t>
      </w:r>
      <m:oMath>
        <m:r>
          <w:rPr>
            <w:rFonts w:ascii="Cambria Math" w:hAnsi="Cambria Math" w:cs="Times New Roman"/>
            <w:sz w:val="24"/>
            <w:szCs w:val="24"/>
          </w:rPr>
          <m:t>t</m:t>
        </m:r>
      </m:oMath>
      <w:r>
        <w:rPr>
          <w:rFonts w:ascii="Times New Roman" w:eastAsiaTheme="minorEastAsia" w:hAnsi="Times New Roman" w:cs="Times New Roman"/>
          <w:sz w:val="24"/>
          <w:szCs w:val="24"/>
        </w:rPr>
        <w:t xml:space="preserve"> is the time during the season in hours with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representing the start of the chill accumulation in the season. </w:t>
      </w:r>
    </w:p>
    <w:p w14:paraId="31B5AAB6" w14:textId="11EDA63B" w:rsidR="00301C43" w:rsidRDefault="00301C43" w:rsidP="00923C24">
      <w:pPr>
        <w:spacing w:line="360" w:lineRule="auto"/>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 NEX-GDDP-CMIP6 Projections</w:t>
      </w:r>
    </w:p>
    <w:p w14:paraId="07EE99F0" w14:textId="67944282" w:rsidR="00301C43" w:rsidRPr="00301C43" w:rsidRDefault="00301C43" w:rsidP="00923C24">
      <w:pPr>
        <w:spacing w:line="360" w:lineRule="auto"/>
        <w:rPr>
          <w:rFonts w:ascii="Times New Roman" w:eastAsiaTheme="minorEastAsia" w:hAnsi="Times New Roman" w:cs="Times New Roman"/>
          <w:b/>
          <w:bCs/>
          <w:sz w:val="24"/>
          <w:szCs w:val="24"/>
        </w:rPr>
      </w:pPr>
      <w:r>
        <w:rPr>
          <w:rFonts w:ascii="Times New Roman" w:eastAsia="Times New Roman" w:hAnsi="Times New Roman" w:cs="Times New Roman"/>
          <w:sz w:val="24"/>
          <w:szCs w:val="24"/>
        </w:rPr>
        <w:t xml:space="preserve">The NEX-GDDP-CMIP6 dataset is a collection of global, high-resolution (~25 km) statistically downscaled climate scenarios derived from global climate simulations in the Coupled Model Intercomparison Project Phase 6 (CMIP6, O’Neill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2016; Thrasher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2022). Studies have used the NEX-GDDP-CMIP6 datasets to quantify projected changes in temperature and temperature impacts in various global regions (Tang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2022; Murali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2023; Colelli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2023). In this study, we use daily surface air temperature from historical simulations (1951-2014) and future projections (2015-2100) based on 24 climate models that are part of the NEX-GDDP-CMIP6 dataset. The SSP245 and SSP585 future scenarios are used to represent moderate and high emissions pathways, respectively, which produce 4.5 and 8.5 Wm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of </w:t>
      </w:r>
      <w:proofErr w:type="gramStart"/>
      <w:r>
        <w:rPr>
          <w:rFonts w:ascii="Times New Roman" w:eastAsia="Times New Roman" w:hAnsi="Times New Roman" w:cs="Times New Roman"/>
          <w:sz w:val="24"/>
          <w:szCs w:val="24"/>
        </w:rPr>
        <w:t>radiative</w:t>
      </w:r>
      <w:proofErr w:type="gramEnd"/>
      <w:r>
        <w:rPr>
          <w:rFonts w:ascii="Times New Roman" w:eastAsia="Times New Roman" w:hAnsi="Times New Roman" w:cs="Times New Roman"/>
          <w:sz w:val="24"/>
          <w:szCs w:val="24"/>
        </w:rPr>
        <w:t xml:space="preserve"> forcing by 2100.</w:t>
      </w:r>
    </w:p>
    <w:p w14:paraId="49A81893" w14:textId="7B27E33E" w:rsidR="00EC033E" w:rsidRDefault="00EC033E" w:rsidP="00923C24">
      <w:pPr>
        <w:spacing w:line="360" w:lineRule="auto"/>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 Chill Hour Time Series Comparison</w:t>
      </w:r>
    </w:p>
    <w:p w14:paraId="1C2A9F93" w14:textId="364F5009" w:rsidR="00EC033E" w:rsidRDefault="00EC033E" w:rsidP="00EC033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use the idealized temperature curve from Linvill (1990) to estimate an hourly temperature time series from daily maximum and minimum values. The method uses a sine curve for daytime temperatures and a logarithmic decline curve for nighttime temperatures. We followed the method of Darbyshire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(2011) to set the daily high temperature two hours after solar noon </w:t>
      </w:r>
      <w:r>
        <w:rPr>
          <w:rFonts w:ascii="Times New Roman" w:eastAsia="Times New Roman" w:hAnsi="Times New Roman" w:cs="Times New Roman"/>
          <w:sz w:val="24"/>
          <w:szCs w:val="24"/>
        </w:rPr>
        <w:lastRenderedPageBreak/>
        <w:t xml:space="preserve">and the daily minimum temperature set to occur at sunrise each day. This method has shown good results when applied to chill hour studies (e.g., </w:t>
      </w:r>
      <w:proofErr w:type="spellStart"/>
      <w:r>
        <w:rPr>
          <w:rFonts w:ascii="Times New Roman" w:eastAsia="Times New Roman" w:hAnsi="Times New Roman" w:cs="Times New Roman"/>
          <w:sz w:val="24"/>
          <w:szCs w:val="24"/>
        </w:rPr>
        <w:t>Luedeling</w:t>
      </w:r>
      <w:proofErr w:type="spellEnd"/>
      <w:r>
        <w:rPr>
          <w:rFonts w:ascii="Times New Roman" w:eastAsia="Times New Roman" w:hAnsi="Times New Roman" w:cs="Times New Roman"/>
          <w:sz w:val="24"/>
          <w:szCs w:val="24"/>
        </w:rPr>
        <w:t xml:space="preserve"> and Brown, 2011; </w:t>
      </w:r>
      <w:proofErr w:type="spellStart"/>
      <w:r>
        <w:rPr>
          <w:rFonts w:ascii="Times New Roman" w:eastAsia="Times New Roman" w:hAnsi="Times New Roman" w:cs="Times New Roman"/>
          <w:sz w:val="24"/>
          <w:szCs w:val="24"/>
        </w:rPr>
        <w:t>Ghrab</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2014). To test the method’s performance in the Midwest, we calculated season-total chill hours using the Modified Utah Method between 1951 and 2022. Chill hours were calculated using both daily maximum and minimum temperatures and hourly temperatures from the same Automated Surface Observing System (ASOS) stations in three Midwest locations: (1) Columbus, Ohio, (2) Chicago, Illinois, and (3) Fargo, North Dakota. We then compared the distributions of season-total chill hours at each station based on the hourly observed and hourly estimated temperature series (Figure S2). The 10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percentile, median, and 90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percentile of each distribution </w:t>
      </w:r>
      <w:proofErr w:type="gramStart"/>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shown in Figure S2 as well. Chill hours derived from the estimated hourly temperature time series match well with those derived from direct hourly observations. The largest differences are in the extreme high chill hour seasons, for which the estimated hourly series tends to underestimate the season total chill hours in Chicago and Fargo and overestimate total chill hours in Columbus. The maximum difference of season total chill hours between estimated and observed hourly temperature series was 15% in Fargo, 11% in Chicago, and 8% in Columbus, with no systematic bias. </w:t>
      </w:r>
    </w:p>
    <w:p w14:paraId="2C0BCBCD" w14:textId="59427E13" w:rsidR="00660925" w:rsidRPr="00660925" w:rsidRDefault="00660925" w:rsidP="00EC033E">
      <w:pPr>
        <w:spacing w:line="360" w:lineRule="auto"/>
        <w:rPr>
          <w:rFonts w:ascii="Times New Roman" w:eastAsia="Times New Roman" w:hAnsi="Times New Roman" w:cs="Times New Roman"/>
          <w:b/>
          <w:bCs/>
          <w:sz w:val="24"/>
          <w:szCs w:val="24"/>
        </w:rPr>
      </w:pPr>
      <w:r w:rsidRPr="00660925">
        <w:rPr>
          <w:rFonts w:ascii="Times New Roman" w:eastAsia="Times New Roman" w:hAnsi="Times New Roman" w:cs="Times New Roman"/>
          <w:b/>
          <w:bCs/>
          <w:sz w:val="24"/>
          <w:szCs w:val="24"/>
        </w:rPr>
        <w:t>3. Sequential Model for Spring Freeze Risk</w:t>
      </w:r>
    </w:p>
    <w:p w14:paraId="732A9B31" w14:textId="2D6E50CF" w:rsidR="00660925" w:rsidRPr="000F1AE2" w:rsidRDefault="00660925" w:rsidP="00EC033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Chill hour accumulation is only one component of the risk of spring freeze injury to perennial crops. Spring freeze risk is also dependent on the air temperature following the fulfillment of the plant’s chill requirement and the likelihood of temperatures that can cause injury at various phenological stages. Following the methods of DeGaetano (2018), chill hours were first accumulated using the Utah Method until the requisite 800 chill hours were accumulated. The threshold of 800 hours was selected to represent the best estimate of chill hour requirements for both Gala and Fuji apple varieties, based on Illinois Extension and Illinois apple grower input. Once the 800-hour threshold was reached, we used accumulated base 6.1°C development growth units to estimate spring phenology. Specifically, the first day that development growth units exceeded 235.6 was marked as the full bloom stage in apple. Spring freeze injury can occur in earlier phenological stages than full bloom; however, we focus solely on full bloom in this study to reduce the potentially compounding effects of uncertainty in (1) development growth units needed to advance to each phenological stage and (2) the air temperature at which injury occurs </w:t>
      </w:r>
      <w:r>
        <w:rPr>
          <w:rFonts w:ascii="Times New Roman" w:eastAsia="Times New Roman" w:hAnsi="Times New Roman" w:cs="Times New Roman"/>
          <w:sz w:val="24"/>
          <w:szCs w:val="24"/>
        </w:rPr>
        <w:lastRenderedPageBreak/>
        <w:t xml:space="preserve">in each phenological stage. Potential spring freeze injury was noted in any year, historical or future, in which the daily low temperature fell below 3.9°C after the estimated date of full bloom. It is estimated that temperatures lower than the 3.9°C threshold often cause 90% or </w:t>
      </w:r>
      <w:r w:rsidRPr="000F1AE2">
        <w:rPr>
          <w:rFonts w:ascii="Times New Roman" w:eastAsia="Times New Roman" w:hAnsi="Times New Roman" w:cs="Times New Roman"/>
          <w:sz w:val="24"/>
          <w:szCs w:val="24"/>
        </w:rPr>
        <w:t xml:space="preserve">greater kill in many apple varieties (Michigan State University Extension, 2014). </w:t>
      </w:r>
    </w:p>
    <w:p w14:paraId="31004297" w14:textId="188ADBE2" w:rsidR="002C345A" w:rsidRPr="000F1AE2" w:rsidRDefault="00660925" w:rsidP="002C345A">
      <w:pPr>
        <w:rPr>
          <w:rFonts w:ascii="Times New Roman" w:hAnsi="Times New Roman" w:cs="Times New Roman"/>
          <w:b/>
          <w:bCs/>
          <w:sz w:val="24"/>
          <w:szCs w:val="24"/>
        </w:rPr>
      </w:pPr>
      <w:r w:rsidRPr="000F1AE2">
        <w:rPr>
          <w:rFonts w:ascii="Times New Roman" w:hAnsi="Times New Roman" w:cs="Times New Roman"/>
          <w:b/>
          <w:bCs/>
          <w:sz w:val="24"/>
          <w:szCs w:val="24"/>
        </w:rPr>
        <w:t>4</w:t>
      </w:r>
      <w:r w:rsidR="002C345A" w:rsidRPr="000F1AE2">
        <w:rPr>
          <w:rFonts w:ascii="Times New Roman" w:hAnsi="Times New Roman" w:cs="Times New Roman"/>
          <w:b/>
          <w:bCs/>
          <w:sz w:val="24"/>
          <w:szCs w:val="24"/>
        </w:rPr>
        <w:t>. CMIP6 Model Comparison with Observations</w:t>
      </w:r>
    </w:p>
    <w:p w14:paraId="72076EEC" w14:textId="77777777" w:rsidR="002C345A" w:rsidRPr="000F1AE2" w:rsidRDefault="002C345A" w:rsidP="002C345A">
      <w:pPr>
        <w:spacing w:line="360" w:lineRule="auto"/>
        <w:rPr>
          <w:rFonts w:ascii="Times New Roman" w:eastAsia="Times New Roman" w:hAnsi="Times New Roman" w:cs="Times New Roman"/>
          <w:sz w:val="24"/>
          <w:szCs w:val="24"/>
        </w:rPr>
      </w:pPr>
      <w:r w:rsidRPr="000F1AE2">
        <w:rPr>
          <w:rFonts w:ascii="Times New Roman" w:eastAsia="Times New Roman" w:hAnsi="Times New Roman" w:cs="Times New Roman"/>
          <w:sz w:val="24"/>
          <w:szCs w:val="24"/>
        </w:rPr>
        <w:t xml:space="preserve">We compare CMIP6 estimated season-total chill hours to the </w:t>
      </w:r>
      <w:proofErr w:type="spellStart"/>
      <w:r w:rsidRPr="000F1AE2">
        <w:rPr>
          <w:rFonts w:ascii="Times New Roman" w:eastAsia="Times New Roman" w:hAnsi="Times New Roman" w:cs="Times New Roman"/>
          <w:sz w:val="24"/>
          <w:szCs w:val="24"/>
        </w:rPr>
        <w:t>nClimGrid</w:t>
      </w:r>
      <w:proofErr w:type="spellEnd"/>
      <w:r w:rsidRPr="000F1AE2">
        <w:rPr>
          <w:rFonts w:ascii="Times New Roman" w:eastAsia="Times New Roman" w:hAnsi="Times New Roman" w:cs="Times New Roman"/>
          <w:sz w:val="24"/>
          <w:szCs w:val="24"/>
        </w:rPr>
        <w:t xml:space="preserve"> observations over the mutual historical period 1984-2014 (Figure S3). The multi-model ensemble mean of season-total chill hour accumulation has a similar spatial pattern as the observations, with relative maxima in the eastern and central Midwest and relative minima in the far southern and northwest Midwest. More CMIP6 ensemble comparison details are in the Supplemental Material.  </w:t>
      </w:r>
    </w:p>
    <w:p w14:paraId="22374C4C" w14:textId="77777777" w:rsidR="002C345A" w:rsidRDefault="002C345A" w:rsidP="002C345A">
      <w:pPr>
        <w:spacing w:line="360" w:lineRule="auto"/>
        <w:rPr>
          <w:rFonts w:ascii="Times New Roman" w:eastAsia="Times New Roman" w:hAnsi="Times New Roman" w:cs="Times New Roman"/>
          <w:sz w:val="24"/>
          <w:szCs w:val="24"/>
        </w:rPr>
      </w:pPr>
      <w:r w:rsidRPr="000F1AE2">
        <w:rPr>
          <w:rFonts w:ascii="Times New Roman" w:eastAsia="Times New Roman" w:hAnsi="Times New Roman" w:cs="Times New Roman"/>
          <w:sz w:val="24"/>
          <w:szCs w:val="24"/>
        </w:rPr>
        <w:t xml:space="preserve">The model ensemble </w:t>
      </w:r>
      <w:proofErr w:type="gramStart"/>
      <w:r w:rsidRPr="000F1AE2">
        <w:rPr>
          <w:rFonts w:ascii="Times New Roman" w:eastAsia="Times New Roman" w:hAnsi="Times New Roman" w:cs="Times New Roman"/>
          <w:sz w:val="24"/>
          <w:szCs w:val="24"/>
        </w:rPr>
        <w:t>mean</w:t>
      </w:r>
      <w:proofErr w:type="gramEnd"/>
      <w:r w:rsidRPr="000F1AE2">
        <w:rPr>
          <w:rFonts w:ascii="Times New Roman" w:eastAsia="Times New Roman" w:hAnsi="Times New Roman" w:cs="Times New Roman"/>
          <w:sz w:val="24"/>
          <w:szCs w:val="24"/>
        </w:rPr>
        <w:t xml:space="preserve"> underestimates chill hour accumulation in the southern Midwest and slightly overestimates accumulation in parts of the upper Midwest. The Taylor Diagram in Figure S3 based on the 30-year average season-total chill hour accumulation shows most of the </w:t>
      </w:r>
      <w:proofErr w:type="gramStart"/>
      <w:r w:rsidRPr="000F1AE2">
        <w:rPr>
          <w:rFonts w:ascii="Times New Roman" w:eastAsia="Times New Roman" w:hAnsi="Times New Roman" w:cs="Times New Roman"/>
          <w:sz w:val="24"/>
          <w:szCs w:val="24"/>
        </w:rPr>
        <w:t>models</w:t>
      </w:r>
      <w:proofErr w:type="gramEnd"/>
      <w:r w:rsidRPr="000F1AE2">
        <w:rPr>
          <w:rFonts w:ascii="Times New Roman" w:eastAsia="Times New Roman" w:hAnsi="Times New Roman" w:cs="Times New Roman"/>
          <w:sz w:val="24"/>
          <w:szCs w:val="24"/>
        </w:rPr>
        <w:t xml:space="preserve"> cluster in error space, with no models substantially over- or under-performing relative to the others. The models have a spatial correlation with the observations ranging from 0.58 to 0.81, and a root mean square difference ranging from 110 to 175 hours (i.e., 8-13% difference, relative to the observation mean). The models generally span the standard deviation of season-total chill</w:t>
      </w:r>
      <w:r>
        <w:rPr>
          <w:rFonts w:ascii="Times New Roman" w:eastAsia="Times New Roman" w:hAnsi="Times New Roman" w:cs="Times New Roman"/>
          <w:sz w:val="24"/>
          <w:szCs w:val="24"/>
        </w:rPr>
        <w:t xml:space="preserve"> hour accumulation across the region, between 140 and 180 hours. As much as can be inferred from model performance during the historical period, we are confident using the entire 24-model ensemble to assess potential future changes in Midwest chill hour accumulation. </w:t>
      </w:r>
    </w:p>
    <w:p w14:paraId="6FAB2726" w14:textId="01F8557E" w:rsidR="002C345A" w:rsidRDefault="002C345A"/>
    <w:p w14:paraId="742F9DFF" w14:textId="77777777" w:rsidR="000F1AE2" w:rsidRDefault="000F1AE2"/>
    <w:p w14:paraId="56BBA6B7" w14:textId="3C83A830" w:rsidR="00EC033E" w:rsidRPr="000F1AE2" w:rsidRDefault="00EC033E">
      <w:pPr>
        <w:rPr>
          <w:rFonts w:ascii="Times New Roman" w:hAnsi="Times New Roman" w:cs="Times New Roman"/>
          <w:b/>
          <w:bCs/>
          <w:sz w:val="24"/>
          <w:szCs w:val="24"/>
        </w:rPr>
      </w:pPr>
      <w:r w:rsidRPr="000F1AE2">
        <w:rPr>
          <w:rFonts w:ascii="Times New Roman" w:hAnsi="Times New Roman" w:cs="Times New Roman"/>
          <w:b/>
          <w:bCs/>
          <w:sz w:val="24"/>
          <w:szCs w:val="24"/>
        </w:rPr>
        <w:t>Figures</w:t>
      </w:r>
    </w:p>
    <w:p w14:paraId="07169CD7" w14:textId="77777777" w:rsidR="00EC033E" w:rsidRDefault="00EC033E" w:rsidP="00EC033E">
      <w:pPr>
        <w:keepNext/>
        <w:spacing w:line="360" w:lineRule="auto"/>
        <w:jc w:val="center"/>
      </w:pPr>
      <w:r>
        <w:rPr>
          <w:rFonts w:ascii="Times New Roman" w:eastAsia="Times New Roman" w:hAnsi="Times New Roman" w:cs="Times New Roman"/>
          <w:noProof/>
          <w:sz w:val="24"/>
          <w:szCs w:val="24"/>
        </w:rPr>
        <w:lastRenderedPageBreak/>
        <w:drawing>
          <wp:inline distT="0" distB="0" distL="0" distR="0" wp14:anchorId="4A90C8D2" wp14:editId="2F74ECA4">
            <wp:extent cx="5943600" cy="2430145"/>
            <wp:effectExtent l="0" t="0" r="0" b="0"/>
            <wp:docPr id="1" name="image3.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histogram&#10;&#10;Description automatically generated"/>
                    <pic:cNvPicPr preferRelativeResize="0"/>
                  </pic:nvPicPr>
                  <pic:blipFill>
                    <a:blip r:embed="rId5"/>
                    <a:srcRect t="10618" r="4453" b="16987"/>
                    <a:stretch>
                      <a:fillRect/>
                    </a:stretch>
                  </pic:blipFill>
                  <pic:spPr>
                    <a:xfrm>
                      <a:off x="0" y="0"/>
                      <a:ext cx="5943600" cy="2430145"/>
                    </a:xfrm>
                    <a:prstGeom prst="rect">
                      <a:avLst/>
                    </a:prstGeom>
                    <a:ln/>
                  </pic:spPr>
                </pic:pic>
              </a:graphicData>
            </a:graphic>
          </wp:inline>
        </w:drawing>
      </w:r>
    </w:p>
    <w:p w14:paraId="098B92F0" w14:textId="495ACC9E" w:rsidR="00EC033E" w:rsidRDefault="00EC033E" w:rsidP="00EC033E">
      <w:pPr>
        <w:pBdr>
          <w:top w:val="nil"/>
          <w:left w:val="nil"/>
          <w:bottom w:val="nil"/>
          <w:right w:val="nil"/>
          <w:between w:val="nil"/>
        </w:pBdr>
        <w:spacing w:after="20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Figure S</w:t>
      </w:r>
      <w:r w:rsidR="004B229F">
        <w:rPr>
          <w:rFonts w:ascii="Times New Roman" w:eastAsia="Times New Roman" w:hAnsi="Times New Roman" w:cs="Times New Roman"/>
          <w:b/>
          <w:color w:val="000000"/>
          <w:sz w:val="18"/>
          <w:szCs w:val="18"/>
        </w:rPr>
        <w:t>1</w:t>
      </w:r>
      <w:r>
        <w:rPr>
          <w:rFonts w:ascii="Times New Roman" w:eastAsia="Times New Roman" w:hAnsi="Times New Roman" w:cs="Times New Roman"/>
          <w:b/>
          <w:color w:val="000000"/>
          <w:sz w:val="18"/>
          <w:szCs w:val="18"/>
        </w:rPr>
        <w:t>.</w:t>
      </w:r>
      <w:r>
        <w:rPr>
          <w:rFonts w:ascii="Times New Roman" w:eastAsia="Times New Roman" w:hAnsi="Times New Roman" w:cs="Times New Roman"/>
          <w:color w:val="000000"/>
          <w:sz w:val="18"/>
          <w:szCs w:val="18"/>
        </w:rPr>
        <w:t xml:space="preserve"> Distributions of season total chill hours in Columbus, Ohio, Chicago, Illinois, and Fargo, North Dakota. The red and blue distributions show winter chill hour totals from estimated and observed hourly temperature time series, respectively. The solid lines and dashed lines show the 10</w:t>
      </w:r>
      <w:r>
        <w:rPr>
          <w:rFonts w:ascii="Times New Roman" w:eastAsia="Times New Roman" w:hAnsi="Times New Roman" w:cs="Times New Roman"/>
          <w:color w:val="000000"/>
          <w:sz w:val="18"/>
          <w:szCs w:val="18"/>
          <w:vertAlign w:val="superscript"/>
        </w:rPr>
        <w:t>th</w:t>
      </w:r>
      <w:r>
        <w:rPr>
          <w:rFonts w:ascii="Times New Roman" w:eastAsia="Times New Roman" w:hAnsi="Times New Roman" w:cs="Times New Roman"/>
          <w:color w:val="000000"/>
          <w:sz w:val="18"/>
          <w:szCs w:val="18"/>
        </w:rPr>
        <w:t xml:space="preserve"> percentile, 90</w:t>
      </w:r>
      <w:r>
        <w:rPr>
          <w:rFonts w:ascii="Times New Roman" w:eastAsia="Times New Roman" w:hAnsi="Times New Roman" w:cs="Times New Roman"/>
          <w:color w:val="000000"/>
          <w:sz w:val="18"/>
          <w:szCs w:val="18"/>
          <w:vertAlign w:val="superscript"/>
        </w:rPr>
        <w:t>th</w:t>
      </w:r>
      <w:r>
        <w:rPr>
          <w:rFonts w:ascii="Times New Roman" w:eastAsia="Times New Roman" w:hAnsi="Times New Roman" w:cs="Times New Roman"/>
          <w:color w:val="000000"/>
          <w:sz w:val="18"/>
          <w:szCs w:val="18"/>
        </w:rPr>
        <w:t xml:space="preserve"> percentile, and median chill hour total values based on observed and estimated hourly temperature series, respectively. </w:t>
      </w:r>
    </w:p>
    <w:p w14:paraId="71945957" w14:textId="77777777" w:rsidR="00AB1D8E" w:rsidRDefault="00AB1D8E" w:rsidP="00EC033E">
      <w:pPr>
        <w:pBdr>
          <w:top w:val="nil"/>
          <w:left w:val="nil"/>
          <w:bottom w:val="nil"/>
          <w:right w:val="nil"/>
          <w:between w:val="nil"/>
        </w:pBdr>
        <w:spacing w:after="200" w:line="240" w:lineRule="auto"/>
        <w:rPr>
          <w:rFonts w:ascii="Times New Roman" w:eastAsia="Times New Roman" w:hAnsi="Times New Roman" w:cs="Times New Roman"/>
          <w:color w:val="000000"/>
          <w:sz w:val="18"/>
          <w:szCs w:val="18"/>
        </w:rPr>
      </w:pPr>
    </w:p>
    <w:p w14:paraId="104A4958" w14:textId="77777777" w:rsidR="00AB1D8E" w:rsidRDefault="00AB1D8E" w:rsidP="00AB1D8E">
      <w:pPr>
        <w:keepNext/>
        <w:spacing w:line="360" w:lineRule="auto"/>
        <w:jc w:val="center"/>
      </w:pPr>
      <w:r>
        <w:rPr>
          <w:rFonts w:ascii="Times New Roman" w:eastAsia="Times New Roman" w:hAnsi="Times New Roman" w:cs="Times New Roman"/>
          <w:sz w:val="24"/>
          <w:szCs w:val="24"/>
        </w:rPr>
        <w:lastRenderedPageBreak/>
        <w:t>a.</w:t>
      </w:r>
      <w:r>
        <w:rPr>
          <w:rFonts w:ascii="Times New Roman" w:eastAsia="Times New Roman" w:hAnsi="Times New Roman" w:cs="Times New Roman"/>
          <w:noProof/>
          <w:sz w:val="24"/>
          <w:szCs w:val="24"/>
        </w:rPr>
        <w:drawing>
          <wp:inline distT="0" distB="0" distL="0" distR="0" wp14:anchorId="64D44A8F" wp14:editId="3F3D328E">
            <wp:extent cx="5683337" cy="2201760"/>
            <wp:effectExtent l="0" t="0" r="0" b="0"/>
            <wp:docPr id="4" name="image12.png" descr="A blue and white map of different weather condition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2.png" descr="A blue and white map of different weather conditions&#10;&#10;Description automatically generated with medium confidence"/>
                    <pic:cNvPicPr preferRelativeResize="0"/>
                  </pic:nvPicPr>
                  <pic:blipFill>
                    <a:blip r:embed="rId6"/>
                    <a:srcRect l="2366" t="14035" r="2012" b="17318"/>
                    <a:stretch>
                      <a:fillRect/>
                    </a:stretch>
                  </pic:blipFill>
                  <pic:spPr>
                    <a:xfrm>
                      <a:off x="0" y="0"/>
                      <a:ext cx="5683337" cy="2201760"/>
                    </a:xfrm>
                    <a:prstGeom prst="rect">
                      <a:avLst/>
                    </a:prstGeom>
                    <a:ln/>
                  </pic:spPr>
                </pic:pic>
              </a:graphicData>
            </a:graphic>
          </wp:inline>
        </w:drawing>
      </w:r>
      <w:r>
        <w:rPr>
          <w:rFonts w:ascii="Times New Roman" w:eastAsia="Times New Roman" w:hAnsi="Times New Roman" w:cs="Times New Roman"/>
          <w:sz w:val="24"/>
          <w:szCs w:val="24"/>
        </w:rPr>
        <w:t xml:space="preserve">  b.</w:t>
      </w:r>
      <w:r>
        <w:rPr>
          <w:rFonts w:ascii="Times New Roman" w:eastAsia="Times New Roman" w:hAnsi="Times New Roman" w:cs="Times New Roman"/>
          <w:noProof/>
          <w:sz w:val="24"/>
          <w:szCs w:val="24"/>
        </w:rPr>
        <w:drawing>
          <wp:inline distT="0" distB="0" distL="0" distR="0" wp14:anchorId="29C94CED" wp14:editId="2A98E3AF">
            <wp:extent cx="4207991" cy="2358732"/>
            <wp:effectExtent l="0" t="0" r="0" b="0"/>
            <wp:docPr id="7" name="image10.png" descr="A comparison of heat and cold weath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0.png" descr="A comparison of heat and cold weather&#10;&#10;Description automatically generated with medium confidence"/>
                    <pic:cNvPicPr preferRelativeResize="0"/>
                  </pic:nvPicPr>
                  <pic:blipFill>
                    <a:blip r:embed="rId7"/>
                    <a:srcRect l="13256" t="6578" r="11361" b="15118"/>
                    <a:stretch>
                      <a:fillRect/>
                    </a:stretch>
                  </pic:blipFill>
                  <pic:spPr>
                    <a:xfrm>
                      <a:off x="0" y="0"/>
                      <a:ext cx="4207991" cy="2358732"/>
                    </a:xfrm>
                    <a:prstGeom prst="rect">
                      <a:avLst/>
                    </a:prstGeom>
                    <a:ln/>
                  </pic:spPr>
                </pic:pic>
              </a:graphicData>
            </a:graphic>
          </wp:inline>
        </w:drawing>
      </w:r>
    </w:p>
    <w:p w14:paraId="0CEC6B12" w14:textId="36E99CBD" w:rsidR="00AB1D8E" w:rsidRDefault="00AB1D8E" w:rsidP="00AB1D8E">
      <w:p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18"/>
          <w:szCs w:val="18"/>
        </w:rPr>
        <w:t>Figure S</w:t>
      </w:r>
      <w:r w:rsidR="004B229F">
        <w:rPr>
          <w:rFonts w:ascii="Times New Roman" w:eastAsia="Times New Roman" w:hAnsi="Times New Roman" w:cs="Times New Roman"/>
          <w:b/>
          <w:color w:val="000000"/>
          <w:sz w:val="18"/>
          <w:szCs w:val="18"/>
        </w:rPr>
        <w:t>2</w:t>
      </w:r>
      <w:r>
        <w:rPr>
          <w:rFonts w:ascii="Times New Roman" w:eastAsia="Times New Roman" w:hAnsi="Times New Roman" w:cs="Times New Roman"/>
          <w:color w:val="000000"/>
          <w:sz w:val="18"/>
          <w:szCs w:val="18"/>
        </w:rPr>
        <w:t>. (</w:t>
      </w:r>
      <w:r>
        <w:rPr>
          <w:rFonts w:ascii="Times New Roman" w:eastAsia="Times New Roman" w:hAnsi="Times New Roman" w:cs="Times New Roman"/>
          <w:sz w:val="18"/>
          <w:szCs w:val="18"/>
        </w:rPr>
        <w:t>a</w:t>
      </w:r>
      <w:r>
        <w:rPr>
          <w:rFonts w:ascii="Times New Roman" w:eastAsia="Times New Roman" w:hAnsi="Times New Roman" w:cs="Times New Roman"/>
          <w:color w:val="000000"/>
          <w:sz w:val="18"/>
          <w:szCs w:val="18"/>
        </w:rPr>
        <w:t>) Trends in the (left) 10th percentile, (middle) median, and (right) 90th percentile of daily average October-April minimum temperatures between 1951 and 2021. (</w:t>
      </w:r>
      <w:r>
        <w:rPr>
          <w:rFonts w:ascii="Times New Roman" w:eastAsia="Times New Roman" w:hAnsi="Times New Roman" w:cs="Times New Roman"/>
          <w:sz w:val="18"/>
          <w:szCs w:val="18"/>
        </w:rPr>
        <w:t>b</w:t>
      </w:r>
      <w:r>
        <w:rPr>
          <w:rFonts w:ascii="Times New Roman" w:eastAsia="Times New Roman" w:hAnsi="Times New Roman" w:cs="Times New Roman"/>
          <w:color w:val="000000"/>
          <w:sz w:val="18"/>
          <w:szCs w:val="18"/>
        </w:rPr>
        <w:t xml:space="preserve">) trends in (left) annual number of days with positive chill accumulation and (right) average number of hours per day during the chill accumulation season, calculated between 1951 and 2021. The black contour in trend maps indicate statistical significance (p-value &gt; 0.95). </w:t>
      </w:r>
    </w:p>
    <w:p w14:paraId="6A5CC5FF" w14:textId="77777777" w:rsidR="00AB1D8E" w:rsidRDefault="00AB1D8E" w:rsidP="00EC033E">
      <w:p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p>
    <w:p w14:paraId="7AC14CF1" w14:textId="77777777" w:rsidR="00EC033E" w:rsidRDefault="00EC033E" w:rsidP="00EC033E"/>
    <w:p w14:paraId="52B5DED8" w14:textId="3AB9CC1C" w:rsidR="00EC033E" w:rsidRPr="00EC033E" w:rsidRDefault="00EC033E" w:rsidP="00EC033E">
      <w:pPr>
        <w:rPr>
          <w:b/>
          <w:bCs/>
        </w:rPr>
      </w:pPr>
    </w:p>
    <w:p w14:paraId="666ABE30" w14:textId="77777777" w:rsidR="00C70D04" w:rsidRDefault="00C70D04" w:rsidP="00C70D04">
      <w:pPr>
        <w:keepNext/>
        <w:spacing w:line="360" w:lineRule="auto"/>
      </w:pPr>
      <w:r>
        <w:rPr>
          <w:noProof/>
        </w:rPr>
        <w:lastRenderedPageBreak/>
        <w:drawing>
          <wp:anchor distT="0" distB="0" distL="114300" distR="114300" simplePos="0" relativeHeight="251659264" behindDoc="0" locked="0" layoutInCell="1" allowOverlap="1" wp14:anchorId="6533612B" wp14:editId="7F23AB86">
            <wp:simplePos x="0" y="0"/>
            <wp:positionH relativeFrom="margin">
              <wp:align>right</wp:align>
            </wp:positionH>
            <wp:positionV relativeFrom="paragraph">
              <wp:posOffset>4939753</wp:posOffset>
            </wp:positionV>
            <wp:extent cx="1807535" cy="1499717"/>
            <wp:effectExtent l="0" t="0" r="2540" b="5715"/>
            <wp:wrapNone/>
            <wp:docPr id="260411640" name="Picture 1" descr="A black tex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11640" name="Picture 1" descr="A black text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7535" cy="149971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w:t>
      </w:r>
      <w:r>
        <w:rPr>
          <w:rFonts w:ascii="Times New Roman" w:hAnsi="Times New Roman" w:cs="Times New Roman"/>
          <w:noProof/>
          <w:sz w:val="24"/>
          <w:szCs w:val="24"/>
        </w:rPr>
        <w:drawing>
          <wp:inline distT="0" distB="0" distL="0" distR="0" wp14:anchorId="16782C04" wp14:editId="1B3D6481">
            <wp:extent cx="5677786" cy="3010332"/>
            <wp:effectExtent l="0" t="0" r="0" b="0"/>
            <wp:docPr id="886053463" name="Picture 7" descr="A comparison of blue and white m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53463" name="Picture 7" descr="A comparison of blue and white maps&#10;&#10;Description automatically generated"/>
                    <pic:cNvPicPr/>
                  </pic:nvPicPr>
                  <pic:blipFill rotWithShape="1">
                    <a:blip r:embed="rId9">
                      <a:extLst>
                        <a:ext uri="{28A0092B-C50C-407E-A947-70E740481C1C}">
                          <a14:useLocalDpi xmlns:a14="http://schemas.microsoft.com/office/drawing/2010/main" val="0"/>
                        </a:ext>
                      </a:extLst>
                    </a:blip>
                    <a:srcRect l="15625" t="12989" r="15086" b="11522"/>
                    <a:stretch/>
                  </pic:blipFill>
                  <pic:spPr bwMode="auto">
                    <a:xfrm>
                      <a:off x="0" y="0"/>
                      <a:ext cx="5694375" cy="301912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b.</w:t>
      </w:r>
      <w:r w:rsidRPr="00CF1D30">
        <w:rPr>
          <w:noProof/>
        </w:rPr>
        <w:t xml:space="preserve"> </w:t>
      </w:r>
      <w:r w:rsidRPr="00CF1D30">
        <w:rPr>
          <w:rFonts w:ascii="Times New Roman" w:hAnsi="Times New Roman" w:cs="Times New Roman"/>
          <w:noProof/>
          <w:sz w:val="24"/>
          <w:szCs w:val="24"/>
        </w:rPr>
        <w:drawing>
          <wp:inline distT="0" distB="0" distL="0" distR="0" wp14:anchorId="1D45748B" wp14:editId="0C94BD82">
            <wp:extent cx="3979784" cy="3404501"/>
            <wp:effectExtent l="0" t="0" r="1905" b="5715"/>
            <wp:docPr id="16" name="Picture 15" descr="A picture containing text, diagram, map, line&#10;&#10;Description automatically generated">
              <a:extLst xmlns:a="http://schemas.openxmlformats.org/drawingml/2006/main">
                <a:ext uri="{FF2B5EF4-FFF2-40B4-BE49-F238E27FC236}">
                  <a16:creationId xmlns:a16="http://schemas.microsoft.com/office/drawing/2014/main" id="{D91172B3-D886-E55B-3E5D-F387BB8827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icture containing text, diagram, map, line&#10;&#10;Description automatically generated">
                      <a:extLst>
                        <a:ext uri="{FF2B5EF4-FFF2-40B4-BE49-F238E27FC236}">
                          <a16:creationId xmlns:a16="http://schemas.microsoft.com/office/drawing/2014/main" id="{D91172B3-D886-E55B-3E5D-F387BB882702}"/>
                        </a:ext>
                      </a:extLst>
                    </pic:cNvPr>
                    <pic:cNvPicPr>
                      <a:picLocks noChangeAspect="1"/>
                    </pic:cNvPicPr>
                  </pic:nvPicPr>
                  <pic:blipFill rotWithShape="1">
                    <a:blip r:embed="rId10">
                      <a:extLst>
                        <a:ext uri="{28A0092B-C50C-407E-A947-70E740481C1C}">
                          <a14:useLocalDpi xmlns:a14="http://schemas.microsoft.com/office/drawing/2010/main" val="0"/>
                        </a:ext>
                      </a:extLst>
                    </a:blip>
                    <a:srcRect l="27083" t="11043" r="31417" b="8199"/>
                    <a:stretch/>
                  </pic:blipFill>
                  <pic:spPr>
                    <a:xfrm>
                      <a:off x="0" y="0"/>
                      <a:ext cx="3986755" cy="3410464"/>
                    </a:xfrm>
                    <a:prstGeom prst="rect">
                      <a:avLst/>
                    </a:prstGeom>
                  </pic:spPr>
                </pic:pic>
              </a:graphicData>
            </a:graphic>
          </wp:inline>
        </w:drawing>
      </w:r>
    </w:p>
    <w:p w14:paraId="280F1207" w14:textId="5C6FBAFC" w:rsidR="00C70D04" w:rsidRDefault="00C70D04" w:rsidP="00C70D04">
      <w:pPr>
        <w:pStyle w:val="Caption"/>
        <w:rPr>
          <w:rFonts w:ascii="Times New Roman" w:hAnsi="Times New Roman" w:cs="Times New Roman"/>
          <w:i w:val="0"/>
          <w:iCs w:val="0"/>
          <w:color w:val="auto"/>
        </w:rPr>
      </w:pPr>
      <w:r w:rsidRPr="00CF1D30">
        <w:rPr>
          <w:rFonts w:ascii="Times New Roman" w:hAnsi="Times New Roman" w:cs="Times New Roman"/>
          <w:b/>
          <w:bCs/>
          <w:i w:val="0"/>
          <w:iCs w:val="0"/>
          <w:color w:val="auto"/>
        </w:rPr>
        <w:t xml:space="preserve">Figure </w:t>
      </w:r>
      <w:r>
        <w:rPr>
          <w:rFonts w:ascii="Times New Roman" w:hAnsi="Times New Roman" w:cs="Times New Roman"/>
          <w:b/>
          <w:bCs/>
          <w:i w:val="0"/>
          <w:iCs w:val="0"/>
          <w:color w:val="auto"/>
        </w:rPr>
        <w:t>S</w:t>
      </w:r>
      <w:r w:rsidR="004B229F">
        <w:rPr>
          <w:rFonts w:ascii="Times New Roman" w:hAnsi="Times New Roman" w:cs="Times New Roman"/>
          <w:b/>
          <w:bCs/>
          <w:i w:val="0"/>
          <w:iCs w:val="0"/>
          <w:color w:val="auto"/>
        </w:rPr>
        <w:t>3</w:t>
      </w:r>
      <w:r w:rsidRPr="00CF1D30">
        <w:rPr>
          <w:rFonts w:ascii="Times New Roman" w:hAnsi="Times New Roman" w:cs="Times New Roman"/>
          <w:b/>
          <w:bCs/>
          <w:i w:val="0"/>
          <w:iCs w:val="0"/>
          <w:color w:val="auto"/>
        </w:rPr>
        <w:t>.</w:t>
      </w:r>
      <w:r w:rsidRPr="00CF1D30">
        <w:rPr>
          <w:rFonts w:ascii="Times New Roman" w:hAnsi="Times New Roman" w:cs="Times New Roman"/>
          <w:i w:val="0"/>
          <w:iCs w:val="0"/>
          <w:color w:val="auto"/>
        </w:rPr>
        <w:t xml:space="preserve"> (Top) Average season-total chill hour accumulation from (left) observations and (right) the CMIP6 model ensemble mean, calculated over the period 1984-2014. (Bottom) Taylor Diagram from comparison of average season-total chill hour accumulation from each model with observations. </w:t>
      </w:r>
    </w:p>
    <w:p w14:paraId="5C042E36" w14:textId="77777777" w:rsidR="00A87600" w:rsidRDefault="00A87600" w:rsidP="00A87600"/>
    <w:p w14:paraId="45653634" w14:textId="77777777" w:rsidR="004B229F" w:rsidRDefault="004B229F" w:rsidP="004B229F">
      <w:pPr>
        <w:keepNext/>
        <w:jc w:val="center"/>
      </w:pPr>
      <w:r>
        <w:rPr>
          <w:noProof/>
        </w:rPr>
        <w:lastRenderedPageBreak/>
        <w:drawing>
          <wp:inline distT="0" distB="0" distL="0" distR="0" wp14:anchorId="03277CA9" wp14:editId="1CE602FD">
            <wp:extent cx="5641675" cy="4722492"/>
            <wp:effectExtent l="0" t="0" r="0" b="2540"/>
            <wp:docPr id="785799707"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99707" name="Picture 1" descr="A map of the united states&#10;&#10;Description automatically generated"/>
                    <pic:cNvPicPr/>
                  </pic:nvPicPr>
                  <pic:blipFill rotWithShape="1">
                    <a:blip r:embed="rId11" cstate="print">
                      <a:extLst>
                        <a:ext uri="{28A0092B-C50C-407E-A947-70E740481C1C}">
                          <a14:useLocalDpi xmlns:a14="http://schemas.microsoft.com/office/drawing/2010/main" val="0"/>
                        </a:ext>
                      </a:extLst>
                    </a:blip>
                    <a:srcRect l="13498" r="19303"/>
                    <a:stretch/>
                  </pic:blipFill>
                  <pic:spPr bwMode="auto">
                    <a:xfrm>
                      <a:off x="0" y="0"/>
                      <a:ext cx="5654844" cy="4733515"/>
                    </a:xfrm>
                    <a:prstGeom prst="rect">
                      <a:avLst/>
                    </a:prstGeom>
                    <a:ln>
                      <a:noFill/>
                    </a:ln>
                    <a:extLst>
                      <a:ext uri="{53640926-AAD7-44D8-BBD7-CCE9431645EC}">
                        <a14:shadowObscured xmlns:a14="http://schemas.microsoft.com/office/drawing/2010/main"/>
                      </a:ext>
                    </a:extLst>
                  </pic:spPr>
                </pic:pic>
              </a:graphicData>
            </a:graphic>
          </wp:inline>
        </w:drawing>
      </w:r>
    </w:p>
    <w:p w14:paraId="56DD4EDE" w14:textId="7F796724" w:rsidR="004B229F" w:rsidRDefault="004B229F" w:rsidP="004B229F">
      <w:pPr>
        <w:pStyle w:val="Caption"/>
        <w:rPr>
          <w:rFonts w:ascii="Times New Roman" w:hAnsi="Times New Roman" w:cs="Times New Roman"/>
          <w:i w:val="0"/>
          <w:iCs w:val="0"/>
          <w:color w:val="auto"/>
        </w:rPr>
      </w:pPr>
      <w:r w:rsidRPr="00A87600">
        <w:rPr>
          <w:rFonts w:ascii="Times New Roman" w:hAnsi="Times New Roman" w:cs="Times New Roman"/>
          <w:b/>
          <w:bCs/>
          <w:i w:val="0"/>
          <w:iCs w:val="0"/>
          <w:color w:val="auto"/>
        </w:rPr>
        <w:t xml:space="preserve">Figure </w:t>
      </w:r>
      <w:r>
        <w:rPr>
          <w:rFonts w:ascii="Times New Roman" w:hAnsi="Times New Roman" w:cs="Times New Roman"/>
          <w:b/>
          <w:bCs/>
          <w:i w:val="0"/>
          <w:iCs w:val="0"/>
          <w:color w:val="auto"/>
        </w:rPr>
        <w:t>S4</w:t>
      </w:r>
      <w:r w:rsidRPr="00A87600">
        <w:rPr>
          <w:rFonts w:ascii="Times New Roman" w:hAnsi="Times New Roman" w:cs="Times New Roman"/>
          <w:i w:val="0"/>
          <w:iCs w:val="0"/>
          <w:color w:val="auto"/>
        </w:rPr>
        <w:t xml:space="preserve">. Map shows the 1991-2020 average growing season length (days) by county across the Midwest United States. Growing season length is the number of days elapsed between the first and last 0C freeze observed in each county. The growing season length graphic is taken from the Midwestern Regional Climate Center’s Freeze Date Tool: </w:t>
      </w:r>
      <w:hyperlink r:id="rId12" w:history="1">
        <w:r w:rsidRPr="00A87600">
          <w:rPr>
            <w:rStyle w:val="Hyperlink"/>
            <w:rFonts w:ascii="Times New Roman" w:hAnsi="Times New Roman" w:cs="Times New Roman"/>
            <w:i w:val="0"/>
            <w:iCs w:val="0"/>
            <w:color w:val="auto"/>
          </w:rPr>
          <w:t>https://mrcc.purdue.edu/freeze/freezedatetool</w:t>
        </w:r>
      </w:hyperlink>
      <w:r w:rsidRPr="00A87600">
        <w:rPr>
          <w:rFonts w:ascii="Times New Roman" w:hAnsi="Times New Roman" w:cs="Times New Roman"/>
          <w:i w:val="0"/>
          <w:iCs w:val="0"/>
          <w:color w:val="auto"/>
        </w:rPr>
        <w:t xml:space="preserve">.  </w:t>
      </w:r>
    </w:p>
    <w:p w14:paraId="39920D91" w14:textId="77777777" w:rsidR="00A87600" w:rsidRDefault="00A87600" w:rsidP="00A87600"/>
    <w:p w14:paraId="51C2A013" w14:textId="77777777" w:rsidR="00A87600" w:rsidRDefault="00A87600" w:rsidP="00A87600"/>
    <w:p w14:paraId="54E4E547" w14:textId="77777777" w:rsidR="00A87600" w:rsidRDefault="00A87600" w:rsidP="00A87600">
      <w:pPr>
        <w:keepNext/>
        <w:jc w:val="center"/>
      </w:pPr>
      <w:r>
        <w:rPr>
          <w:noProof/>
        </w:rPr>
        <w:lastRenderedPageBreak/>
        <w:drawing>
          <wp:inline distT="0" distB="0" distL="0" distR="0" wp14:anchorId="0E02CA13" wp14:editId="67D02338">
            <wp:extent cx="4771985" cy="4925683"/>
            <wp:effectExtent l="0" t="0" r="0" b="8890"/>
            <wp:docPr id="1702246605" name="Picture 2"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46605" name="Picture 2" descr="A screenshot of a map&#10;&#10;Description automatically generated"/>
                    <pic:cNvPicPr/>
                  </pic:nvPicPr>
                  <pic:blipFill rotWithShape="1">
                    <a:blip r:embed="rId13">
                      <a:extLst>
                        <a:ext uri="{28A0092B-C50C-407E-A947-70E740481C1C}">
                          <a14:useLocalDpi xmlns:a14="http://schemas.microsoft.com/office/drawing/2010/main" val="0"/>
                        </a:ext>
                      </a:extLst>
                    </a:blip>
                    <a:srcRect l="22353" t="4055" r="14514" b="13182"/>
                    <a:stretch/>
                  </pic:blipFill>
                  <pic:spPr bwMode="auto">
                    <a:xfrm>
                      <a:off x="0" y="0"/>
                      <a:ext cx="4778820" cy="4932738"/>
                    </a:xfrm>
                    <a:prstGeom prst="rect">
                      <a:avLst/>
                    </a:prstGeom>
                    <a:ln>
                      <a:noFill/>
                    </a:ln>
                    <a:extLst>
                      <a:ext uri="{53640926-AAD7-44D8-BBD7-CCE9431645EC}">
                        <a14:shadowObscured xmlns:a14="http://schemas.microsoft.com/office/drawing/2010/main"/>
                      </a:ext>
                    </a:extLst>
                  </pic:spPr>
                </pic:pic>
              </a:graphicData>
            </a:graphic>
          </wp:inline>
        </w:drawing>
      </w:r>
    </w:p>
    <w:p w14:paraId="07244A18" w14:textId="5608498D" w:rsidR="00A87600" w:rsidRPr="00A87600" w:rsidRDefault="00A87600" w:rsidP="00A87600">
      <w:pPr>
        <w:pStyle w:val="Caption"/>
        <w:rPr>
          <w:rFonts w:ascii="Times New Roman" w:hAnsi="Times New Roman" w:cs="Times New Roman"/>
          <w:i w:val="0"/>
          <w:iCs w:val="0"/>
          <w:color w:val="auto"/>
        </w:rPr>
      </w:pPr>
      <w:r w:rsidRPr="00A87600">
        <w:rPr>
          <w:rFonts w:ascii="Times New Roman" w:hAnsi="Times New Roman" w:cs="Times New Roman"/>
          <w:b/>
          <w:bCs/>
          <w:i w:val="0"/>
          <w:iCs w:val="0"/>
          <w:color w:val="auto"/>
        </w:rPr>
        <w:t xml:space="preserve">Figure </w:t>
      </w:r>
      <w:r>
        <w:rPr>
          <w:rFonts w:ascii="Times New Roman" w:hAnsi="Times New Roman" w:cs="Times New Roman"/>
          <w:b/>
          <w:bCs/>
          <w:i w:val="0"/>
          <w:iCs w:val="0"/>
          <w:color w:val="auto"/>
        </w:rPr>
        <w:t>S</w:t>
      </w:r>
      <w:r w:rsidR="00AB1D8E">
        <w:rPr>
          <w:rFonts w:ascii="Times New Roman" w:hAnsi="Times New Roman" w:cs="Times New Roman"/>
          <w:b/>
          <w:bCs/>
          <w:i w:val="0"/>
          <w:iCs w:val="0"/>
          <w:color w:val="auto"/>
        </w:rPr>
        <w:t>5</w:t>
      </w:r>
      <w:r w:rsidRPr="00A87600">
        <w:rPr>
          <w:rFonts w:ascii="Times New Roman" w:hAnsi="Times New Roman" w:cs="Times New Roman"/>
          <w:i w:val="0"/>
          <w:iCs w:val="0"/>
          <w:color w:val="auto"/>
        </w:rPr>
        <w:t xml:space="preserve">. Maps show the projected change in total chill hour interannual variability, relative to the model historical period. </w:t>
      </w:r>
      <w:proofErr w:type="gramStart"/>
      <w:r w:rsidRPr="00A87600">
        <w:rPr>
          <w:rFonts w:ascii="Times New Roman" w:hAnsi="Times New Roman" w:cs="Times New Roman"/>
          <w:i w:val="0"/>
          <w:iCs w:val="0"/>
          <w:color w:val="auto"/>
        </w:rPr>
        <w:t>Hatching</w:t>
      </w:r>
      <w:proofErr w:type="gramEnd"/>
      <w:r w:rsidRPr="00A87600">
        <w:rPr>
          <w:rFonts w:ascii="Times New Roman" w:hAnsi="Times New Roman" w:cs="Times New Roman"/>
          <w:i w:val="0"/>
          <w:iCs w:val="0"/>
          <w:color w:val="auto"/>
        </w:rPr>
        <w:t xml:space="preserve"> indicates at least 75% of the models agree on the sign of projected </w:t>
      </w:r>
      <w:r w:rsidR="005E22D1" w:rsidRPr="00A87600">
        <w:rPr>
          <w:rFonts w:ascii="Times New Roman" w:hAnsi="Times New Roman" w:cs="Times New Roman"/>
          <w:i w:val="0"/>
          <w:iCs w:val="0"/>
          <w:color w:val="auto"/>
        </w:rPr>
        <w:t>change</w:t>
      </w:r>
      <w:r w:rsidRPr="00A87600">
        <w:rPr>
          <w:rFonts w:ascii="Times New Roman" w:hAnsi="Times New Roman" w:cs="Times New Roman"/>
          <w:i w:val="0"/>
          <w:iCs w:val="0"/>
          <w:color w:val="auto"/>
        </w:rPr>
        <w:t>.</w:t>
      </w:r>
    </w:p>
    <w:p w14:paraId="14B45D44" w14:textId="0A39D751" w:rsidR="005C1D9E" w:rsidRDefault="005C1D9E">
      <w:r>
        <w:br w:type="page"/>
      </w:r>
    </w:p>
    <w:p w14:paraId="6805E204" w14:textId="5BF5A1B9" w:rsidR="00C70D04" w:rsidRDefault="005C1D9E">
      <w:r>
        <w:lastRenderedPageBreak/>
        <w:t>a.</w:t>
      </w:r>
      <w:r>
        <w:rPr>
          <w:noProof/>
        </w:rPr>
        <w:drawing>
          <wp:inline distT="0" distB="0" distL="0" distR="0" wp14:anchorId="7D7A021F" wp14:editId="71D28446">
            <wp:extent cx="5503653" cy="2801185"/>
            <wp:effectExtent l="0" t="0" r="1905" b="0"/>
            <wp:docPr id="900569612" name="Picture 3" descr="A blue and white map of different seas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69612" name="Picture 3" descr="A blue and white map of different seasons&#10;&#10;Description automatically generated with medium confidence"/>
                    <pic:cNvPicPr/>
                  </pic:nvPicPr>
                  <pic:blipFill rotWithShape="1">
                    <a:blip r:embed="rId14" cstate="print">
                      <a:extLst>
                        <a:ext uri="{28A0092B-C50C-407E-A947-70E740481C1C}">
                          <a14:useLocalDpi xmlns:a14="http://schemas.microsoft.com/office/drawing/2010/main" val="0"/>
                        </a:ext>
                      </a:extLst>
                    </a:blip>
                    <a:srcRect r="13643"/>
                    <a:stretch/>
                  </pic:blipFill>
                  <pic:spPr bwMode="auto">
                    <a:xfrm>
                      <a:off x="0" y="0"/>
                      <a:ext cx="5509499" cy="2804160"/>
                    </a:xfrm>
                    <a:prstGeom prst="rect">
                      <a:avLst/>
                    </a:prstGeom>
                    <a:ln>
                      <a:noFill/>
                    </a:ln>
                    <a:extLst>
                      <a:ext uri="{53640926-AAD7-44D8-BBD7-CCE9431645EC}">
                        <a14:shadowObscured xmlns:a14="http://schemas.microsoft.com/office/drawing/2010/main"/>
                      </a:ext>
                    </a:extLst>
                  </pic:spPr>
                </pic:pic>
              </a:graphicData>
            </a:graphic>
          </wp:inline>
        </w:drawing>
      </w:r>
    </w:p>
    <w:p w14:paraId="2F9D1B71" w14:textId="77777777" w:rsidR="005C1D9E" w:rsidRDefault="005C1D9E" w:rsidP="005C1D9E">
      <w:pPr>
        <w:keepNext/>
      </w:pPr>
      <w:r>
        <w:t>b.</w:t>
      </w:r>
      <w:r>
        <w:rPr>
          <w:noProof/>
        </w:rPr>
        <w:drawing>
          <wp:inline distT="0" distB="0" distL="0" distR="0" wp14:anchorId="0F269AAC" wp14:editId="3993AFF8">
            <wp:extent cx="5504688" cy="2924593"/>
            <wp:effectExtent l="0" t="0" r="1270" b="9525"/>
            <wp:docPr id="736229735" name="Picture 4" descr="A green map of canad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29735" name="Picture 4" descr="A green map of canada&#10;&#10;Description automatically generated"/>
                    <pic:cNvPicPr/>
                  </pic:nvPicPr>
                  <pic:blipFill rotWithShape="1">
                    <a:blip r:embed="rId15" cstate="print">
                      <a:extLst>
                        <a:ext uri="{28A0092B-C50C-407E-A947-70E740481C1C}">
                          <a14:useLocalDpi xmlns:a14="http://schemas.microsoft.com/office/drawing/2010/main" val="0"/>
                        </a:ext>
                      </a:extLst>
                    </a:blip>
                    <a:srcRect r="17272"/>
                    <a:stretch/>
                  </pic:blipFill>
                  <pic:spPr bwMode="auto">
                    <a:xfrm>
                      <a:off x="0" y="0"/>
                      <a:ext cx="5504688" cy="2924593"/>
                    </a:xfrm>
                    <a:prstGeom prst="rect">
                      <a:avLst/>
                    </a:prstGeom>
                    <a:ln>
                      <a:noFill/>
                    </a:ln>
                    <a:extLst>
                      <a:ext uri="{53640926-AAD7-44D8-BBD7-CCE9431645EC}">
                        <a14:shadowObscured xmlns:a14="http://schemas.microsoft.com/office/drawing/2010/main"/>
                      </a:ext>
                    </a:extLst>
                  </pic:spPr>
                </pic:pic>
              </a:graphicData>
            </a:graphic>
          </wp:inline>
        </w:drawing>
      </w:r>
    </w:p>
    <w:p w14:paraId="453D52A4" w14:textId="258AFAE8" w:rsidR="005C1D9E" w:rsidRDefault="005C1D9E" w:rsidP="005C1D9E">
      <w:pPr>
        <w:pStyle w:val="Caption"/>
        <w:rPr>
          <w:rFonts w:ascii="Times New Roman" w:hAnsi="Times New Roman" w:cs="Times New Roman"/>
          <w:i w:val="0"/>
          <w:iCs w:val="0"/>
          <w:color w:val="auto"/>
        </w:rPr>
      </w:pPr>
      <w:r w:rsidRPr="006C77D1">
        <w:rPr>
          <w:rFonts w:ascii="Times New Roman" w:hAnsi="Times New Roman" w:cs="Times New Roman"/>
          <w:b/>
          <w:bCs/>
          <w:i w:val="0"/>
          <w:iCs w:val="0"/>
          <w:color w:val="auto"/>
        </w:rPr>
        <w:t xml:space="preserve">Figure </w:t>
      </w:r>
      <w:r>
        <w:rPr>
          <w:rFonts w:ascii="Times New Roman" w:hAnsi="Times New Roman" w:cs="Times New Roman"/>
          <w:b/>
          <w:bCs/>
          <w:i w:val="0"/>
          <w:iCs w:val="0"/>
          <w:color w:val="auto"/>
        </w:rPr>
        <w:t>S</w:t>
      </w:r>
      <w:r w:rsidR="00AB1D8E">
        <w:rPr>
          <w:rFonts w:ascii="Times New Roman" w:hAnsi="Times New Roman" w:cs="Times New Roman"/>
          <w:b/>
          <w:bCs/>
          <w:i w:val="0"/>
          <w:iCs w:val="0"/>
          <w:color w:val="auto"/>
        </w:rPr>
        <w:t>6</w:t>
      </w:r>
      <w:r w:rsidRPr="006C77D1">
        <w:rPr>
          <w:rFonts w:ascii="Times New Roman" w:hAnsi="Times New Roman" w:cs="Times New Roman"/>
          <w:i w:val="0"/>
          <w:iCs w:val="0"/>
          <w:color w:val="auto"/>
        </w:rPr>
        <w:t xml:space="preserve">. Maps in panel (a) show the historical and projected first day reaching the </w:t>
      </w:r>
      <w:r>
        <w:rPr>
          <w:rFonts w:ascii="Times New Roman" w:hAnsi="Times New Roman" w:cs="Times New Roman"/>
          <w:i w:val="0"/>
          <w:iCs w:val="0"/>
          <w:color w:val="auto"/>
        </w:rPr>
        <w:t>Gala Apple</w:t>
      </w:r>
      <w:r w:rsidRPr="006C77D1">
        <w:rPr>
          <w:rFonts w:ascii="Times New Roman" w:hAnsi="Times New Roman" w:cs="Times New Roman"/>
          <w:i w:val="0"/>
          <w:iCs w:val="0"/>
          <w:color w:val="auto"/>
        </w:rPr>
        <w:t xml:space="preserve"> requirement of </w:t>
      </w:r>
      <w:r>
        <w:rPr>
          <w:rFonts w:ascii="Times New Roman" w:hAnsi="Times New Roman" w:cs="Times New Roman"/>
          <w:i w:val="0"/>
          <w:iCs w:val="0"/>
          <w:color w:val="auto"/>
        </w:rPr>
        <w:t>900</w:t>
      </w:r>
      <w:r w:rsidRPr="006C77D1">
        <w:rPr>
          <w:rFonts w:ascii="Times New Roman" w:hAnsi="Times New Roman" w:cs="Times New Roman"/>
          <w:i w:val="0"/>
          <w:iCs w:val="0"/>
          <w:color w:val="auto"/>
        </w:rPr>
        <w:t xml:space="preserve"> chill hours. Maps show the 30-year average over the historical period and projected periods by mid- and late-century under SSP245 and SSP585 pathways. Maps in panel (b) show the historical and projected </w:t>
      </w:r>
      <w:proofErr w:type="gramStart"/>
      <w:r w:rsidRPr="006C77D1">
        <w:rPr>
          <w:rFonts w:ascii="Times New Roman" w:hAnsi="Times New Roman" w:cs="Times New Roman"/>
          <w:i w:val="0"/>
          <w:iCs w:val="0"/>
          <w:color w:val="auto"/>
        </w:rPr>
        <w:t>percent</w:t>
      </w:r>
      <w:proofErr w:type="gramEnd"/>
      <w:r w:rsidRPr="006C77D1">
        <w:rPr>
          <w:rFonts w:ascii="Times New Roman" w:hAnsi="Times New Roman" w:cs="Times New Roman"/>
          <w:i w:val="0"/>
          <w:iCs w:val="0"/>
          <w:color w:val="auto"/>
        </w:rPr>
        <w:t xml:space="preserve"> of years in the 30-year historical and projected periods that meet the </w:t>
      </w:r>
      <w:r>
        <w:rPr>
          <w:rFonts w:ascii="Times New Roman" w:hAnsi="Times New Roman" w:cs="Times New Roman"/>
          <w:i w:val="0"/>
          <w:iCs w:val="0"/>
          <w:color w:val="auto"/>
        </w:rPr>
        <w:t>Gala Apple</w:t>
      </w:r>
      <w:r w:rsidRPr="006C77D1">
        <w:rPr>
          <w:rFonts w:ascii="Times New Roman" w:hAnsi="Times New Roman" w:cs="Times New Roman"/>
          <w:i w:val="0"/>
          <w:iCs w:val="0"/>
          <w:color w:val="auto"/>
        </w:rPr>
        <w:t xml:space="preserve"> requirement of </w:t>
      </w:r>
      <w:r>
        <w:rPr>
          <w:rFonts w:ascii="Times New Roman" w:hAnsi="Times New Roman" w:cs="Times New Roman"/>
          <w:i w:val="0"/>
          <w:iCs w:val="0"/>
          <w:color w:val="auto"/>
        </w:rPr>
        <w:t>900</w:t>
      </w:r>
      <w:r w:rsidRPr="006C77D1">
        <w:rPr>
          <w:rFonts w:ascii="Times New Roman" w:hAnsi="Times New Roman" w:cs="Times New Roman"/>
          <w:i w:val="0"/>
          <w:iCs w:val="0"/>
          <w:color w:val="auto"/>
        </w:rPr>
        <w:t xml:space="preserve"> chill hours by May 1</w:t>
      </w:r>
      <w:r w:rsidRPr="006C77D1">
        <w:rPr>
          <w:rFonts w:ascii="Times New Roman" w:hAnsi="Times New Roman" w:cs="Times New Roman"/>
          <w:i w:val="0"/>
          <w:iCs w:val="0"/>
          <w:color w:val="auto"/>
          <w:vertAlign w:val="superscript"/>
        </w:rPr>
        <w:t>st</w:t>
      </w:r>
      <w:r w:rsidRPr="006C77D1">
        <w:rPr>
          <w:rFonts w:ascii="Times New Roman" w:hAnsi="Times New Roman" w:cs="Times New Roman"/>
          <w:i w:val="0"/>
          <w:iCs w:val="0"/>
          <w:color w:val="auto"/>
        </w:rPr>
        <w:t xml:space="preserve">. The black contour denotes areas meeting that requirement in at least 90% of years. </w:t>
      </w:r>
    </w:p>
    <w:p w14:paraId="2F02095F" w14:textId="77777777" w:rsidR="0009161D" w:rsidRDefault="0009161D" w:rsidP="0009161D"/>
    <w:p w14:paraId="17A1B252" w14:textId="77777777" w:rsidR="0009161D" w:rsidRDefault="0009161D" w:rsidP="0009161D"/>
    <w:p w14:paraId="67569382" w14:textId="77777777" w:rsidR="0009161D" w:rsidRDefault="0009161D" w:rsidP="0009161D"/>
    <w:p w14:paraId="7FD2487A" w14:textId="77777777" w:rsidR="0009161D" w:rsidRDefault="0009161D" w:rsidP="0009161D"/>
    <w:p w14:paraId="6F030451" w14:textId="77777777" w:rsidR="0009161D" w:rsidRDefault="0009161D" w:rsidP="0009161D"/>
    <w:p w14:paraId="6D285F4B" w14:textId="77777777" w:rsidR="0009161D" w:rsidRDefault="0009161D" w:rsidP="0009161D">
      <w:pPr>
        <w:keepNext/>
        <w:jc w:val="center"/>
      </w:pPr>
      <w:r>
        <w:rPr>
          <w:noProof/>
        </w:rPr>
        <w:lastRenderedPageBreak/>
        <w:drawing>
          <wp:inline distT="0" distB="0" distL="0" distR="0" wp14:anchorId="313BDE45" wp14:editId="48F6A7E4">
            <wp:extent cx="5702060" cy="2935175"/>
            <wp:effectExtent l="0" t="0" r="0" b="0"/>
            <wp:docPr id="1754641653" name="Picture 5" descr="A graph with blue dot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41653" name="Picture 5" descr="A graph with blue dots and numbers&#10;&#10;Description automatically generated"/>
                    <pic:cNvPicPr/>
                  </pic:nvPicPr>
                  <pic:blipFill rotWithShape="1">
                    <a:blip r:embed="rId16" cstate="print">
                      <a:extLst>
                        <a:ext uri="{28A0092B-C50C-407E-A947-70E740481C1C}">
                          <a14:useLocalDpi xmlns:a14="http://schemas.microsoft.com/office/drawing/2010/main" val="0"/>
                        </a:ext>
                      </a:extLst>
                    </a:blip>
                    <a:srcRect l="8564" r="7112" b="1242"/>
                    <a:stretch/>
                  </pic:blipFill>
                  <pic:spPr bwMode="auto">
                    <a:xfrm>
                      <a:off x="0" y="0"/>
                      <a:ext cx="5711914" cy="2940247"/>
                    </a:xfrm>
                    <a:prstGeom prst="rect">
                      <a:avLst/>
                    </a:prstGeom>
                    <a:ln>
                      <a:noFill/>
                    </a:ln>
                    <a:extLst>
                      <a:ext uri="{53640926-AAD7-44D8-BBD7-CCE9431645EC}">
                        <a14:shadowObscured xmlns:a14="http://schemas.microsoft.com/office/drawing/2010/main"/>
                      </a:ext>
                    </a:extLst>
                  </pic:spPr>
                </pic:pic>
              </a:graphicData>
            </a:graphic>
          </wp:inline>
        </w:drawing>
      </w:r>
    </w:p>
    <w:p w14:paraId="0E8B64A6" w14:textId="232F78BA" w:rsidR="0009161D" w:rsidRPr="0009161D" w:rsidRDefault="0009161D" w:rsidP="0009161D">
      <w:pPr>
        <w:pStyle w:val="Caption"/>
        <w:rPr>
          <w:rFonts w:ascii="Times New Roman" w:hAnsi="Times New Roman" w:cs="Times New Roman"/>
          <w:i w:val="0"/>
          <w:iCs w:val="0"/>
          <w:color w:val="auto"/>
        </w:rPr>
      </w:pPr>
      <w:r w:rsidRPr="0009161D">
        <w:rPr>
          <w:rFonts w:ascii="Times New Roman" w:hAnsi="Times New Roman" w:cs="Times New Roman"/>
          <w:b/>
          <w:bCs/>
          <w:i w:val="0"/>
          <w:iCs w:val="0"/>
          <w:color w:val="auto"/>
        </w:rPr>
        <w:t>Figure</w:t>
      </w:r>
      <w:r>
        <w:rPr>
          <w:rFonts w:ascii="Times New Roman" w:hAnsi="Times New Roman" w:cs="Times New Roman"/>
          <w:b/>
          <w:bCs/>
          <w:i w:val="0"/>
          <w:iCs w:val="0"/>
          <w:color w:val="auto"/>
        </w:rPr>
        <w:t xml:space="preserve"> S</w:t>
      </w:r>
      <w:r w:rsidR="00AB1D8E">
        <w:rPr>
          <w:rFonts w:ascii="Times New Roman" w:hAnsi="Times New Roman" w:cs="Times New Roman"/>
          <w:b/>
          <w:bCs/>
          <w:i w:val="0"/>
          <w:iCs w:val="0"/>
          <w:color w:val="auto"/>
        </w:rPr>
        <w:t>7</w:t>
      </w:r>
      <w:r w:rsidRPr="0009161D">
        <w:rPr>
          <w:rFonts w:ascii="Times New Roman" w:hAnsi="Times New Roman" w:cs="Times New Roman"/>
          <w:i w:val="0"/>
          <w:iCs w:val="0"/>
          <w:color w:val="auto"/>
        </w:rPr>
        <w:t>. Scatter plot of observed and estimated date of apple full bloom in southern Illinois between 1991 and 2022. Bloom observations were made by a commercial grower in southern Illinois.</w:t>
      </w:r>
    </w:p>
    <w:p w14:paraId="7A02B4CD" w14:textId="5C98329F" w:rsidR="005C1D9E" w:rsidRDefault="005C1D9E" w:rsidP="00DA5A2B">
      <w:pPr>
        <w:pStyle w:val="Caption"/>
        <w:jc w:val="center"/>
        <w:rPr>
          <w:i w:val="0"/>
          <w:iCs w:val="0"/>
        </w:rPr>
      </w:pPr>
    </w:p>
    <w:p w14:paraId="35E41DBA" w14:textId="77777777" w:rsidR="00DA5A2B" w:rsidRDefault="00DA5A2B" w:rsidP="00DA5A2B">
      <w:pPr>
        <w:keepNext/>
        <w:jc w:val="center"/>
      </w:pPr>
      <w:r>
        <w:rPr>
          <w:noProof/>
        </w:rPr>
        <w:drawing>
          <wp:inline distT="0" distB="0" distL="0" distR="0" wp14:anchorId="5C82FAF2" wp14:editId="7996F42A">
            <wp:extent cx="4981625" cy="3943350"/>
            <wp:effectExtent l="0" t="0" r="9525" b="0"/>
            <wp:docPr id="1061769109" name="Picture 1" descr="A four different seasons of the st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69109" name="Picture 1" descr="A four different seasons of the state&#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28526" r="10576"/>
                    <a:stretch/>
                  </pic:blipFill>
                  <pic:spPr bwMode="auto">
                    <a:xfrm>
                      <a:off x="0" y="0"/>
                      <a:ext cx="4998748" cy="3956904"/>
                    </a:xfrm>
                    <a:prstGeom prst="rect">
                      <a:avLst/>
                    </a:prstGeom>
                    <a:ln>
                      <a:noFill/>
                    </a:ln>
                    <a:extLst>
                      <a:ext uri="{53640926-AAD7-44D8-BBD7-CCE9431645EC}">
                        <a14:shadowObscured xmlns:a14="http://schemas.microsoft.com/office/drawing/2010/main"/>
                      </a:ext>
                    </a:extLst>
                  </pic:spPr>
                </pic:pic>
              </a:graphicData>
            </a:graphic>
          </wp:inline>
        </w:drawing>
      </w:r>
    </w:p>
    <w:p w14:paraId="0BE97E5D" w14:textId="34780624" w:rsidR="00DA5A2B" w:rsidRDefault="00DA5A2B" w:rsidP="00DA5A2B">
      <w:pPr>
        <w:pStyle w:val="Caption"/>
        <w:rPr>
          <w:rFonts w:ascii="Times New Roman" w:hAnsi="Times New Roman" w:cs="Times New Roman"/>
          <w:i w:val="0"/>
          <w:iCs w:val="0"/>
          <w:color w:val="auto"/>
        </w:rPr>
      </w:pPr>
      <w:r w:rsidRPr="00DA5A2B">
        <w:rPr>
          <w:rFonts w:ascii="Times New Roman" w:hAnsi="Times New Roman" w:cs="Times New Roman"/>
          <w:b/>
          <w:bCs/>
          <w:i w:val="0"/>
          <w:iCs w:val="0"/>
          <w:color w:val="auto"/>
        </w:rPr>
        <w:t>Figure</w:t>
      </w:r>
      <w:r>
        <w:rPr>
          <w:rFonts w:ascii="Times New Roman" w:hAnsi="Times New Roman" w:cs="Times New Roman"/>
          <w:b/>
          <w:bCs/>
          <w:i w:val="0"/>
          <w:iCs w:val="0"/>
          <w:color w:val="auto"/>
        </w:rPr>
        <w:t xml:space="preserve"> S</w:t>
      </w:r>
      <w:r w:rsidR="00AB1D8E">
        <w:rPr>
          <w:rFonts w:ascii="Times New Roman" w:hAnsi="Times New Roman" w:cs="Times New Roman"/>
          <w:b/>
          <w:bCs/>
          <w:i w:val="0"/>
          <w:iCs w:val="0"/>
          <w:color w:val="auto"/>
        </w:rPr>
        <w:t>8</w:t>
      </w:r>
      <w:r w:rsidRPr="00DA5A2B">
        <w:rPr>
          <w:rFonts w:ascii="Times New Roman" w:hAnsi="Times New Roman" w:cs="Times New Roman"/>
          <w:b/>
          <w:bCs/>
          <w:i w:val="0"/>
          <w:iCs w:val="0"/>
          <w:color w:val="auto"/>
        </w:rPr>
        <w:t>.</w:t>
      </w:r>
      <w:r w:rsidRPr="00DA5A2B">
        <w:rPr>
          <w:rFonts w:ascii="Times New Roman" w:hAnsi="Times New Roman" w:cs="Times New Roman"/>
          <w:i w:val="0"/>
          <w:iCs w:val="0"/>
          <w:color w:val="auto"/>
        </w:rPr>
        <w:t xml:space="preserve"> Left panels show the historical average and variability of estimated date of full bloom in Gala and Fuji apple varieties between 1951 and 2021. </w:t>
      </w:r>
      <w:proofErr w:type="gramStart"/>
      <w:r w:rsidRPr="00DA5A2B">
        <w:rPr>
          <w:rFonts w:ascii="Times New Roman" w:hAnsi="Times New Roman" w:cs="Times New Roman"/>
          <w:i w:val="0"/>
          <w:iCs w:val="0"/>
          <w:color w:val="auto"/>
        </w:rPr>
        <w:t>Right</w:t>
      </w:r>
      <w:proofErr w:type="gramEnd"/>
      <w:r w:rsidRPr="00DA5A2B">
        <w:rPr>
          <w:rFonts w:ascii="Times New Roman" w:hAnsi="Times New Roman" w:cs="Times New Roman"/>
          <w:i w:val="0"/>
          <w:iCs w:val="0"/>
          <w:color w:val="auto"/>
        </w:rPr>
        <w:t xml:space="preserve"> panels show the average and variability of the last spring (</w:t>
      </w:r>
      <w:r>
        <w:rPr>
          <w:rFonts w:ascii="Times New Roman" w:hAnsi="Times New Roman" w:cs="Times New Roman"/>
          <w:i w:val="0"/>
          <w:iCs w:val="0"/>
          <w:color w:val="auto"/>
        </w:rPr>
        <w:t>-3.9</w:t>
      </w:r>
      <w:r>
        <w:rPr>
          <w:rFonts w:ascii="Times New Roman" w:hAnsi="Times New Roman" w:cs="Times New Roman"/>
          <w:sz w:val="24"/>
          <w:szCs w:val="24"/>
        </w:rPr>
        <w:t>°</w:t>
      </w:r>
      <w:r w:rsidRPr="00DA5A2B">
        <w:rPr>
          <w:rFonts w:ascii="Times New Roman" w:hAnsi="Times New Roman" w:cs="Times New Roman"/>
          <w:i w:val="0"/>
          <w:iCs w:val="0"/>
          <w:color w:val="auto"/>
        </w:rPr>
        <w:t>C) freeze date over the same 1951-2021 period</w:t>
      </w:r>
      <w:r>
        <w:rPr>
          <w:rFonts w:ascii="Times New Roman" w:hAnsi="Times New Roman" w:cs="Times New Roman"/>
          <w:i w:val="0"/>
          <w:iCs w:val="0"/>
          <w:color w:val="auto"/>
        </w:rPr>
        <w:t>.</w:t>
      </w:r>
    </w:p>
    <w:p w14:paraId="623EE7CF" w14:textId="77777777" w:rsidR="0007077E" w:rsidRDefault="0007077E" w:rsidP="0007077E">
      <w:pPr>
        <w:keepNext/>
        <w:spacing w:line="360" w:lineRule="auto"/>
        <w:jc w:val="center"/>
      </w:pPr>
      <w:r>
        <w:rPr>
          <w:rFonts w:ascii="Times New Roman" w:eastAsia="Times New Roman" w:hAnsi="Times New Roman" w:cs="Times New Roman"/>
          <w:noProof/>
          <w:sz w:val="24"/>
          <w:szCs w:val="24"/>
        </w:rPr>
        <w:lastRenderedPageBreak/>
        <w:drawing>
          <wp:inline distT="0" distB="0" distL="0" distR="0" wp14:anchorId="6EC97C78" wp14:editId="42B8F25E">
            <wp:extent cx="5805776" cy="3008572"/>
            <wp:effectExtent l="0" t="0" r="0" b="0"/>
            <wp:docPr id="13" name="image9.png" descr="A group of images of different colo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group of images of different colors&#10;&#10;Description automatically generated"/>
                    <pic:cNvPicPr preferRelativeResize="0"/>
                  </pic:nvPicPr>
                  <pic:blipFill>
                    <a:blip r:embed="rId18"/>
                    <a:srcRect l="2274" t="14983" r="35249" b="27460"/>
                    <a:stretch>
                      <a:fillRect/>
                    </a:stretch>
                  </pic:blipFill>
                  <pic:spPr>
                    <a:xfrm>
                      <a:off x="0" y="0"/>
                      <a:ext cx="5805776" cy="3008572"/>
                    </a:xfrm>
                    <a:prstGeom prst="rect">
                      <a:avLst/>
                    </a:prstGeom>
                    <a:ln/>
                  </pic:spPr>
                </pic:pic>
              </a:graphicData>
            </a:graphic>
          </wp:inline>
        </w:drawing>
      </w:r>
      <w:r>
        <w:rPr>
          <w:rFonts w:ascii="Times New Roman" w:eastAsia="Times New Roman" w:hAnsi="Times New Roman" w:cs="Times New Roman"/>
          <w:noProof/>
          <w:sz w:val="24"/>
          <w:szCs w:val="24"/>
        </w:rPr>
        <w:drawing>
          <wp:inline distT="0" distB="0" distL="0" distR="0" wp14:anchorId="4C36D3D8" wp14:editId="6E69DB2F">
            <wp:extent cx="2832223" cy="3008572"/>
            <wp:effectExtent l="0" t="0" r="0" b="0"/>
            <wp:docPr id="14" name="image9.png" descr="A group of images of different colo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group of images of different colors&#10;&#10;Description automatically generated"/>
                    <pic:cNvPicPr preferRelativeResize="0"/>
                  </pic:nvPicPr>
                  <pic:blipFill>
                    <a:blip r:embed="rId18"/>
                    <a:srcRect l="65363" t="14829" r="4159" b="27613"/>
                    <a:stretch>
                      <a:fillRect/>
                    </a:stretch>
                  </pic:blipFill>
                  <pic:spPr>
                    <a:xfrm>
                      <a:off x="0" y="0"/>
                      <a:ext cx="2832223" cy="3008572"/>
                    </a:xfrm>
                    <a:prstGeom prst="rect">
                      <a:avLst/>
                    </a:prstGeom>
                    <a:ln/>
                  </pic:spPr>
                </pic:pic>
              </a:graphicData>
            </a:graphic>
          </wp:inline>
        </w:drawing>
      </w:r>
    </w:p>
    <w:p w14:paraId="224FE9CF" w14:textId="6E8CC698" w:rsidR="0007077E" w:rsidRDefault="0007077E" w:rsidP="0007077E">
      <w:p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18"/>
          <w:szCs w:val="18"/>
        </w:rPr>
        <w:t>Figure S</w:t>
      </w:r>
      <w:r w:rsidR="00AB1D8E">
        <w:rPr>
          <w:rFonts w:ascii="Times New Roman" w:eastAsia="Times New Roman" w:hAnsi="Times New Roman" w:cs="Times New Roman"/>
          <w:b/>
          <w:color w:val="000000"/>
          <w:sz w:val="18"/>
          <w:szCs w:val="18"/>
        </w:rPr>
        <w:t>9</w:t>
      </w:r>
      <w:r>
        <w:rPr>
          <w:rFonts w:ascii="Times New Roman" w:eastAsia="Times New Roman" w:hAnsi="Times New Roman" w:cs="Times New Roman"/>
          <w:color w:val="000000"/>
          <w:sz w:val="18"/>
          <w:szCs w:val="18"/>
        </w:rPr>
        <w:t xml:space="preserve">. Top maps show the projected change in interannual variability in (left) apple full bloom dates and (right) last spring freeze dates, relative to historical. Bottom maps show the coefficient of variability of spring freeze injury risk between individual CMIP6 models relative to the multi-model ensemble mean. </w:t>
      </w:r>
    </w:p>
    <w:p w14:paraId="3E4117E8" w14:textId="1336F746" w:rsidR="004C2D0C" w:rsidRDefault="004C2D0C">
      <w:r>
        <w:br w:type="page"/>
      </w:r>
    </w:p>
    <w:p w14:paraId="42D0EA16" w14:textId="77777777" w:rsidR="00EA66F4" w:rsidRPr="00062423" w:rsidRDefault="00EA66F4" w:rsidP="00EA66F4">
      <w:pPr>
        <w:rPr>
          <w:rFonts w:ascii="Times New Roman" w:hAnsi="Times New Roman" w:cs="Times New Roman"/>
          <w:b/>
          <w:bCs/>
          <w:sz w:val="24"/>
          <w:szCs w:val="24"/>
        </w:rPr>
      </w:pPr>
      <w:r w:rsidRPr="00062423">
        <w:rPr>
          <w:rFonts w:ascii="Times New Roman" w:hAnsi="Times New Roman" w:cs="Times New Roman"/>
          <w:b/>
          <w:bCs/>
          <w:sz w:val="24"/>
          <w:szCs w:val="24"/>
        </w:rPr>
        <w:lastRenderedPageBreak/>
        <w:t>References</w:t>
      </w:r>
    </w:p>
    <w:p w14:paraId="63B12D13"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 xml:space="preserve">Colelli, F.P., Wing, I.S., and Cian, E.D. 2023. Air-conditioning adoption and electricity demand highlight climate change mitigation – adaptation tradeoffs. </w:t>
      </w:r>
      <w:r w:rsidRPr="00EA66F4">
        <w:rPr>
          <w:rFonts w:ascii="Times New Roman" w:hAnsi="Times New Roman" w:cs="Times New Roman"/>
          <w:i/>
          <w:iCs/>
          <w:sz w:val="24"/>
          <w:szCs w:val="24"/>
        </w:rPr>
        <w:t>Sci. Report.</w:t>
      </w:r>
      <w:r w:rsidRPr="00EA66F4">
        <w:rPr>
          <w:rFonts w:ascii="Times New Roman" w:hAnsi="Times New Roman" w:cs="Times New Roman"/>
          <w:sz w:val="24"/>
          <w:szCs w:val="24"/>
        </w:rPr>
        <w:t xml:space="preserve">, 13, 4413. </w:t>
      </w:r>
    </w:p>
    <w:p w14:paraId="1F1B1F00"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 xml:space="preserve">Darbyshire, R., Webb, L., Goodwin, I., et al. 2011. Winter chilling trends for deciduous fruit trees in Australia. </w:t>
      </w:r>
      <w:r w:rsidRPr="00EA66F4">
        <w:rPr>
          <w:rFonts w:ascii="Times New Roman" w:hAnsi="Times New Roman" w:cs="Times New Roman"/>
          <w:i/>
          <w:iCs/>
          <w:sz w:val="24"/>
          <w:szCs w:val="24"/>
        </w:rPr>
        <w:t xml:space="preserve">Ag. Forest </w:t>
      </w:r>
      <w:proofErr w:type="spellStart"/>
      <w:r w:rsidRPr="00EA66F4">
        <w:rPr>
          <w:rFonts w:ascii="Times New Roman" w:hAnsi="Times New Roman" w:cs="Times New Roman"/>
          <w:i/>
          <w:iCs/>
          <w:sz w:val="24"/>
          <w:szCs w:val="24"/>
        </w:rPr>
        <w:t>Meteorol</w:t>
      </w:r>
      <w:proofErr w:type="spellEnd"/>
      <w:r w:rsidRPr="00EA66F4">
        <w:rPr>
          <w:rFonts w:ascii="Times New Roman" w:hAnsi="Times New Roman" w:cs="Times New Roman"/>
          <w:i/>
          <w:iCs/>
          <w:sz w:val="24"/>
          <w:szCs w:val="24"/>
        </w:rPr>
        <w:t>.</w:t>
      </w:r>
      <w:r w:rsidRPr="00EA66F4">
        <w:rPr>
          <w:rFonts w:ascii="Times New Roman" w:hAnsi="Times New Roman" w:cs="Times New Roman"/>
          <w:sz w:val="24"/>
          <w:szCs w:val="24"/>
        </w:rPr>
        <w:t xml:space="preserve">, 151, 1074-1085. </w:t>
      </w:r>
    </w:p>
    <w:p w14:paraId="6E810875"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 xml:space="preserve">DeGaetano, A.T. 2018. Regional influences of mean temperature and variance changes in freeze risk in apples. </w:t>
      </w:r>
      <w:proofErr w:type="spellStart"/>
      <w:r w:rsidRPr="00EA66F4">
        <w:rPr>
          <w:rFonts w:ascii="Times New Roman" w:hAnsi="Times New Roman" w:cs="Times New Roman"/>
          <w:i/>
          <w:iCs/>
          <w:sz w:val="24"/>
          <w:szCs w:val="24"/>
        </w:rPr>
        <w:t>HortScience</w:t>
      </w:r>
      <w:proofErr w:type="spellEnd"/>
      <w:r w:rsidRPr="00EA66F4">
        <w:rPr>
          <w:rFonts w:ascii="Times New Roman" w:hAnsi="Times New Roman" w:cs="Times New Roman"/>
          <w:sz w:val="24"/>
          <w:szCs w:val="24"/>
        </w:rPr>
        <w:t xml:space="preserve">, 53, 90-96. </w:t>
      </w:r>
    </w:p>
    <w:p w14:paraId="672E58F4"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 xml:space="preserve">Erez, A., and Fishman, S. 1997. The dynamic model for chilling evaluation in peach buds. </w:t>
      </w:r>
      <w:r w:rsidRPr="00EA66F4">
        <w:rPr>
          <w:rFonts w:ascii="Times New Roman" w:hAnsi="Times New Roman" w:cs="Times New Roman"/>
          <w:i/>
          <w:iCs/>
          <w:sz w:val="24"/>
          <w:szCs w:val="24"/>
        </w:rPr>
        <w:t>IV International Peach Symposium</w:t>
      </w:r>
      <w:r w:rsidRPr="00EA66F4">
        <w:rPr>
          <w:rFonts w:ascii="Times New Roman" w:hAnsi="Times New Roman" w:cs="Times New Roman"/>
          <w:sz w:val="24"/>
          <w:szCs w:val="24"/>
        </w:rPr>
        <w:t xml:space="preserve">, 465. </w:t>
      </w:r>
    </w:p>
    <w:p w14:paraId="78176A92" w14:textId="77777777" w:rsidR="00EA66F4" w:rsidRPr="00EA66F4" w:rsidRDefault="00EA66F4" w:rsidP="00EA66F4">
      <w:pPr>
        <w:rPr>
          <w:rFonts w:ascii="Times New Roman" w:hAnsi="Times New Roman" w:cs="Times New Roman"/>
          <w:sz w:val="24"/>
          <w:szCs w:val="24"/>
        </w:rPr>
      </w:pPr>
      <w:proofErr w:type="spellStart"/>
      <w:r w:rsidRPr="00EA66F4">
        <w:rPr>
          <w:rFonts w:ascii="Times New Roman" w:hAnsi="Times New Roman" w:cs="Times New Roman"/>
          <w:sz w:val="24"/>
          <w:szCs w:val="24"/>
        </w:rPr>
        <w:t>Ghrab</w:t>
      </w:r>
      <w:proofErr w:type="spellEnd"/>
      <w:r w:rsidRPr="00EA66F4">
        <w:rPr>
          <w:rFonts w:ascii="Times New Roman" w:hAnsi="Times New Roman" w:cs="Times New Roman"/>
          <w:sz w:val="24"/>
          <w:szCs w:val="24"/>
        </w:rPr>
        <w:t xml:space="preserve">, M., Mimoun, M.B., Masmoudi, M.M., et al. 2014. Chilling trends in a warm production area and their impact on flowering and fruiting of peach trees. </w:t>
      </w:r>
      <w:r w:rsidRPr="00EA66F4">
        <w:rPr>
          <w:rFonts w:ascii="Times New Roman" w:hAnsi="Times New Roman" w:cs="Times New Roman"/>
          <w:i/>
          <w:iCs/>
          <w:sz w:val="24"/>
          <w:szCs w:val="24"/>
        </w:rPr>
        <w:t>Sci. Hort.</w:t>
      </w:r>
      <w:r w:rsidRPr="00EA66F4">
        <w:rPr>
          <w:rFonts w:ascii="Times New Roman" w:hAnsi="Times New Roman" w:cs="Times New Roman"/>
          <w:sz w:val="24"/>
          <w:szCs w:val="24"/>
        </w:rPr>
        <w:t xml:space="preserve">, 178, 87-94. </w:t>
      </w:r>
    </w:p>
    <w:p w14:paraId="35604C64"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 xml:space="preserve">Linvill, D.E. 1990. Calculating chilling hours and chill units from daily maximum and minimum temperature observations. </w:t>
      </w:r>
      <w:proofErr w:type="spellStart"/>
      <w:r w:rsidRPr="00EA66F4">
        <w:rPr>
          <w:rFonts w:ascii="Times New Roman" w:hAnsi="Times New Roman" w:cs="Times New Roman"/>
          <w:i/>
          <w:iCs/>
          <w:sz w:val="24"/>
          <w:szCs w:val="24"/>
        </w:rPr>
        <w:t>HortSci</w:t>
      </w:r>
      <w:proofErr w:type="spellEnd"/>
      <w:r w:rsidRPr="00EA66F4">
        <w:rPr>
          <w:rFonts w:ascii="Times New Roman" w:hAnsi="Times New Roman" w:cs="Times New Roman"/>
          <w:i/>
          <w:iCs/>
          <w:sz w:val="24"/>
          <w:szCs w:val="24"/>
        </w:rPr>
        <w:t>.</w:t>
      </w:r>
      <w:r w:rsidRPr="00EA66F4">
        <w:rPr>
          <w:rFonts w:ascii="Times New Roman" w:hAnsi="Times New Roman" w:cs="Times New Roman"/>
          <w:sz w:val="24"/>
          <w:szCs w:val="24"/>
        </w:rPr>
        <w:t xml:space="preserve">, 25, 14-16. </w:t>
      </w:r>
    </w:p>
    <w:p w14:paraId="4A5F5ACA" w14:textId="77777777" w:rsidR="00EA66F4" w:rsidRPr="00EA66F4" w:rsidRDefault="00EA66F4" w:rsidP="00EA66F4">
      <w:pPr>
        <w:rPr>
          <w:rFonts w:ascii="Times New Roman" w:hAnsi="Times New Roman" w:cs="Times New Roman"/>
          <w:sz w:val="24"/>
          <w:szCs w:val="24"/>
        </w:rPr>
      </w:pPr>
      <w:proofErr w:type="spellStart"/>
      <w:r w:rsidRPr="00EA66F4">
        <w:rPr>
          <w:rFonts w:ascii="Times New Roman" w:hAnsi="Times New Roman" w:cs="Times New Roman"/>
          <w:sz w:val="24"/>
          <w:szCs w:val="24"/>
        </w:rPr>
        <w:t>Luedeling</w:t>
      </w:r>
      <w:proofErr w:type="spellEnd"/>
      <w:r w:rsidRPr="00EA66F4">
        <w:rPr>
          <w:rFonts w:ascii="Times New Roman" w:hAnsi="Times New Roman" w:cs="Times New Roman"/>
          <w:sz w:val="24"/>
          <w:szCs w:val="24"/>
        </w:rPr>
        <w:t xml:space="preserve">, E., Zhang, M., McGranahan, G., et al. 2009. Validation of winter chill models using historic records of walnut phenology. </w:t>
      </w:r>
      <w:r w:rsidRPr="00EA66F4">
        <w:rPr>
          <w:rFonts w:ascii="Times New Roman" w:hAnsi="Times New Roman" w:cs="Times New Roman"/>
          <w:i/>
          <w:iCs/>
          <w:sz w:val="24"/>
          <w:szCs w:val="24"/>
        </w:rPr>
        <w:t xml:space="preserve">Ag. Forest </w:t>
      </w:r>
      <w:proofErr w:type="spellStart"/>
      <w:r w:rsidRPr="00EA66F4">
        <w:rPr>
          <w:rFonts w:ascii="Times New Roman" w:hAnsi="Times New Roman" w:cs="Times New Roman"/>
          <w:i/>
          <w:iCs/>
          <w:sz w:val="24"/>
          <w:szCs w:val="24"/>
        </w:rPr>
        <w:t>Meteorol</w:t>
      </w:r>
      <w:proofErr w:type="spellEnd"/>
      <w:r w:rsidRPr="00EA66F4">
        <w:rPr>
          <w:rFonts w:ascii="Times New Roman" w:hAnsi="Times New Roman" w:cs="Times New Roman"/>
          <w:i/>
          <w:iCs/>
          <w:sz w:val="24"/>
          <w:szCs w:val="24"/>
        </w:rPr>
        <w:t>.</w:t>
      </w:r>
      <w:r w:rsidRPr="00EA66F4">
        <w:rPr>
          <w:rFonts w:ascii="Times New Roman" w:hAnsi="Times New Roman" w:cs="Times New Roman"/>
          <w:sz w:val="24"/>
          <w:szCs w:val="24"/>
        </w:rPr>
        <w:t xml:space="preserve">, 149, 1854-1864. </w:t>
      </w:r>
    </w:p>
    <w:p w14:paraId="472AD5A4" w14:textId="77777777" w:rsidR="00EA66F4" w:rsidRPr="00EA66F4" w:rsidRDefault="00EA66F4" w:rsidP="00EA66F4">
      <w:pPr>
        <w:rPr>
          <w:rFonts w:ascii="Times New Roman" w:hAnsi="Times New Roman" w:cs="Times New Roman"/>
          <w:sz w:val="24"/>
          <w:szCs w:val="24"/>
        </w:rPr>
      </w:pPr>
      <w:proofErr w:type="spellStart"/>
      <w:r w:rsidRPr="00EA66F4">
        <w:rPr>
          <w:rFonts w:ascii="Times New Roman" w:hAnsi="Times New Roman" w:cs="Times New Roman"/>
          <w:sz w:val="24"/>
          <w:szCs w:val="24"/>
        </w:rPr>
        <w:t>Luedeling</w:t>
      </w:r>
      <w:proofErr w:type="spellEnd"/>
      <w:r w:rsidRPr="00EA66F4">
        <w:rPr>
          <w:rFonts w:ascii="Times New Roman" w:hAnsi="Times New Roman" w:cs="Times New Roman"/>
          <w:sz w:val="24"/>
          <w:szCs w:val="24"/>
        </w:rPr>
        <w:t xml:space="preserve">, E., and Brown, P.H. 2011. A global analysis of the comparability of winter chill models for fruit and nut trees. </w:t>
      </w:r>
      <w:r w:rsidRPr="00EA66F4">
        <w:rPr>
          <w:rFonts w:ascii="Times New Roman" w:hAnsi="Times New Roman" w:cs="Times New Roman"/>
          <w:i/>
          <w:iCs/>
          <w:sz w:val="24"/>
          <w:szCs w:val="24"/>
        </w:rPr>
        <w:t xml:space="preserve">Int. J. </w:t>
      </w:r>
      <w:proofErr w:type="spellStart"/>
      <w:r w:rsidRPr="00EA66F4">
        <w:rPr>
          <w:rFonts w:ascii="Times New Roman" w:hAnsi="Times New Roman" w:cs="Times New Roman"/>
          <w:i/>
          <w:iCs/>
          <w:sz w:val="24"/>
          <w:szCs w:val="24"/>
        </w:rPr>
        <w:t>Biometeorol</w:t>
      </w:r>
      <w:proofErr w:type="spellEnd"/>
      <w:r w:rsidRPr="00EA66F4">
        <w:rPr>
          <w:rFonts w:ascii="Times New Roman" w:hAnsi="Times New Roman" w:cs="Times New Roman"/>
          <w:i/>
          <w:iCs/>
          <w:sz w:val="24"/>
          <w:szCs w:val="24"/>
        </w:rPr>
        <w:t>.</w:t>
      </w:r>
      <w:r w:rsidRPr="00EA66F4">
        <w:rPr>
          <w:rFonts w:ascii="Times New Roman" w:hAnsi="Times New Roman" w:cs="Times New Roman"/>
          <w:sz w:val="24"/>
          <w:szCs w:val="24"/>
        </w:rPr>
        <w:t xml:space="preserve">, 55, 411-421. </w:t>
      </w:r>
    </w:p>
    <w:p w14:paraId="5152E1BF"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 xml:space="preserve">Michigan State University Extension, 2014. “Critical Spring Temperatures”, </w:t>
      </w:r>
      <w:hyperlink r:id="rId19" w:history="1">
        <w:r w:rsidRPr="00EA66F4">
          <w:rPr>
            <w:rStyle w:val="Hyperlink"/>
            <w:rFonts w:ascii="Times New Roman" w:hAnsi="Times New Roman" w:cs="Times New Roman"/>
            <w:sz w:val="24"/>
            <w:szCs w:val="24"/>
          </w:rPr>
          <w:t>https://www.canr.msu.edu/apples/weather/critical-spring-temperatures</w:t>
        </w:r>
      </w:hyperlink>
      <w:r w:rsidRPr="00EA66F4">
        <w:rPr>
          <w:rFonts w:ascii="Times New Roman" w:hAnsi="Times New Roman" w:cs="Times New Roman"/>
          <w:sz w:val="24"/>
          <w:szCs w:val="24"/>
        </w:rPr>
        <w:t xml:space="preserve">, accessed August 1, 2022. </w:t>
      </w:r>
    </w:p>
    <w:p w14:paraId="73AB4F2D"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 xml:space="preserve">Murali, G., Iwamura, T., Meiri, S., et al. 2023. Future temperature extremes threaten land vertebrates. </w:t>
      </w:r>
      <w:r w:rsidRPr="00EA66F4">
        <w:rPr>
          <w:rFonts w:ascii="Times New Roman" w:hAnsi="Times New Roman" w:cs="Times New Roman"/>
          <w:i/>
          <w:iCs/>
          <w:sz w:val="24"/>
          <w:szCs w:val="24"/>
        </w:rPr>
        <w:t>Nature</w:t>
      </w:r>
      <w:r w:rsidRPr="00EA66F4">
        <w:rPr>
          <w:rFonts w:ascii="Times New Roman" w:hAnsi="Times New Roman" w:cs="Times New Roman"/>
          <w:sz w:val="24"/>
          <w:szCs w:val="24"/>
        </w:rPr>
        <w:t xml:space="preserve">, 615, 461-467. </w:t>
      </w:r>
    </w:p>
    <w:p w14:paraId="0E0955AE"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O’Neill, B.C., Tebaldi, C., Van Vuuren, D.P., et al. 2016. The scenario model intercomparison project (</w:t>
      </w:r>
      <w:proofErr w:type="spellStart"/>
      <w:r w:rsidRPr="00EA66F4">
        <w:rPr>
          <w:rFonts w:ascii="Times New Roman" w:hAnsi="Times New Roman" w:cs="Times New Roman"/>
          <w:sz w:val="24"/>
          <w:szCs w:val="24"/>
        </w:rPr>
        <w:t>ScenarioMIP</w:t>
      </w:r>
      <w:proofErr w:type="spellEnd"/>
      <w:r w:rsidRPr="00EA66F4">
        <w:rPr>
          <w:rFonts w:ascii="Times New Roman" w:hAnsi="Times New Roman" w:cs="Times New Roman"/>
          <w:sz w:val="24"/>
          <w:szCs w:val="24"/>
        </w:rPr>
        <w:t xml:space="preserve">) for CMIP6. </w:t>
      </w:r>
      <w:proofErr w:type="spellStart"/>
      <w:r w:rsidRPr="00EA66F4">
        <w:rPr>
          <w:rFonts w:ascii="Times New Roman" w:hAnsi="Times New Roman" w:cs="Times New Roman"/>
          <w:i/>
          <w:iCs/>
          <w:sz w:val="24"/>
          <w:szCs w:val="24"/>
        </w:rPr>
        <w:t>Geosci</w:t>
      </w:r>
      <w:proofErr w:type="spellEnd"/>
      <w:r w:rsidRPr="00EA66F4">
        <w:rPr>
          <w:rFonts w:ascii="Times New Roman" w:hAnsi="Times New Roman" w:cs="Times New Roman"/>
          <w:i/>
          <w:iCs/>
          <w:sz w:val="24"/>
          <w:szCs w:val="24"/>
        </w:rPr>
        <w:t>. Mod. Develop.</w:t>
      </w:r>
      <w:r w:rsidRPr="00EA66F4">
        <w:rPr>
          <w:rFonts w:ascii="Times New Roman" w:hAnsi="Times New Roman" w:cs="Times New Roman"/>
          <w:sz w:val="24"/>
          <w:szCs w:val="24"/>
        </w:rPr>
        <w:t xml:space="preserve">, 9, 3461-3482. </w:t>
      </w:r>
    </w:p>
    <w:p w14:paraId="1728B015"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Richardson, E.A., Seeley, S.D., and Walker, D.R. 1974. A model for estimating the completion of rest for ‘</w:t>
      </w:r>
      <w:proofErr w:type="spellStart"/>
      <w:r w:rsidRPr="00EA66F4">
        <w:rPr>
          <w:rFonts w:ascii="Times New Roman" w:hAnsi="Times New Roman" w:cs="Times New Roman"/>
          <w:sz w:val="24"/>
          <w:szCs w:val="24"/>
        </w:rPr>
        <w:t>Redhaven</w:t>
      </w:r>
      <w:proofErr w:type="spellEnd"/>
      <w:r w:rsidRPr="00EA66F4">
        <w:rPr>
          <w:rFonts w:ascii="Times New Roman" w:hAnsi="Times New Roman" w:cs="Times New Roman"/>
          <w:sz w:val="24"/>
          <w:szCs w:val="24"/>
        </w:rPr>
        <w:t xml:space="preserve">’ and ‘Elberta’ peach trees. </w:t>
      </w:r>
      <w:proofErr w:type="spellStart"/>
      <w:r w:rsidRPr="00EA66F4">
        <w:rPr>
          <w:rFonts w:ascii="Times New Roman" w:hAnsi="Times New Roman" w:cs="Times New Roman"/>
          <w:i/>
          <w:iCs/>
          <w:sz w:val="24"/>
          <w:szCs w:val="24"/>
        </w:rPr>
        <w:t>HortSci</w:t>
      </w:r>
      <w:proofErr w:type="spellEnd"/>
      <w:r w:rsidRPr="00EA66F4">
        <w:rPr>
          <w:rFonts w:ascii="Times New Roman" w:hAnsi="Times New Roman" w:cs="Times New Roman"/>
          <w:i/>
          <w:iCs/>
          <w:sz w:val="24"/>
          <w:szCs w:val="24"/>
        </w:rPr>
        <w:t>.</w:t>
      </w:r>
      <w:r w:rsidRPr="00EA66F4">
        <w:rPr>
          <w:rFonts w:ascii="Times New Roman" w:hAnsi="Times New Roman" w:cs="Times New Roman"/>
          <w:sz w:val="24"/>
          <w:szCs w:val="24"/>
        </w:rPr>
        <w:t xml:space="preserve">, 9, 331-332. </w:t>
      </w:r>
    </w:p>
    <w:p w14:paraId="0EF7CE21"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 xml:space="preserve">Tang, H., Wang, X., Kang, Y., et al. 2022. Long-term impacts of diurnal temperature range on mortality and cardiovascular disease: a nationwide prospective cohort study. </w:t>
      </w:r>
      <w:r w:rsidRPr="00EA66F4">
        <w:rPr>
          <w:rFonts w:ascii="Times New Roman" w:hAnsi="Times New Roman" w:cs="Times New Roman"/>
          <w:i/>
          <w:iCs/>
          <w:sz w:val="24"/>
          <w:szCs w:val="24"/>
        </w:rPr>
        <w:t>Metabolites</w:t>
      </w:r>
      <w:r w:rsidRPr="00EA66F4">
        <w:rPr>
          <w:rFonts w:ascii="Times New Roman" w:hAnsi="Times New Roman" w:cs="Times New Roman"/>
          <w:sz w:val="24"/>
          <w:szCs w:val="24"/>
        </w:rPr>
        <w:t xml:space="preserve">, 12, 1287. </w:t>
      </w:r>
    </w:p>
    <w:p w14:paraId="53AB79D1"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 xml:space="preserve">Thrasher, B., Wang, W., Michaelis, A., et al. 2022. NASA global daily downscaled projections, CMIP6. </w:t>
      </w:r>
      <w:r w:rsidRPr="00EA66F4">
        <w:rPr>
          <w:rFonts w:ascii="Times New Roman" w:hAnsi="Times New Roman" w:cs="Times New Roman"/>
          <w:i/>
          <w:iCs/>
          <w:sz w:val="24"/>
          <w:szCs w:val="24"/>
        </w:rPr>
        <w:t>Sci. data</w:t>
      </w:r>
      <w:r w:rsidRPr="00EA66F4">
        <w:rPr>
          <w:rFonts w:ascii="Times New Roman" w:hAnsi="Times New Roman" w:cs="Times New Roman"/>
          <w:sz w:val="24"/>
          <w:szCs w:val="24"/>
        </w:rPr>
        <w:t xml:space="preserve">, 9, 262. </w:t>
      </w:r>
    </w:p>
    <w:p w14:paraId="746D18BF" w14:textId="77777777" w:rsidR="00EA66F4" w:rsidRPr="00EA66F4" w:rsidRDefault="00EA66F4" w:rsidP="00EA66F4">
      <w:pPr>
        <w:rPr>
          <w:rFonts w:ascii="Times New Roman" w:hAnsi="Times New Roman" w:cs="Times New Roman"/>
          <w:sz w:val="24"/>
          <w:szCs w:val="24"/>
        </w:rPr>
      </w:pPr>
      <w:r w:rsidRPr="00EA66F4">
        <w:rPr>
          <w:rFonts w:ascii="Times New Roman" w:hAnsi="Times New Roman" w:cs="Times New Roman"/>
          <w:sz w:val="24"/>
          <w:szCs w:val="24"/>
        </w:rPr>
        <w:t xml:space="preserve">Weinberger, J.H. 1950. Chilling requirements of peach varieties. </w:t>
      </w:r>
      <w:r w:rsidRPr="00EA66F4">
        <w:rPr>
          <w:rFonts w:ascii="Times New Roman" w:hAnsi="Times New Roman" w:cs="Times New Roman"/>
          <w:i/>
          <w:iCs/>
          <w:sz w:val="24"/>
          <w:szCs w:val="24"/>
        </w:rPr>
        <w:t>Proc. Amer. Soc. Hort. Sci.</w:t>
      </w:r>
      <w:r w:rsidRPr="00EA66F4">
        <w:rPr>
          <w:rFonts w:ascii="Times New Roman" w:hAnsi="Times New Roman" w:cs="Times New Roman"/>
          <w:sz w:val="24"/>
          <w:szCs w:val="24"/>
        </w:rPr>
        <w:t xml:space="preserve">, 56, 122-128. </w:t>
      </w:r>
    </w:p>
    <w:p w14:paraId="3EB8F0A0" w14:textId="77777777" w:rsidR="0007077E" w:rsidRPr="00EA66F4" w:rsidRDefault="0007077E" w:rsidP="0007077E"/>
    <w:sectPr w:rsidR="0007077E" w:rsidRPr="00EA66F4" w:rsidSect="00784C52">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A7E"/>
    <w:multiLevelType w:val="hybridMultilevel"/>
    <w:tmpl w:val="AFAA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C6048"/>
    <w:multiLevelType w:val="hybridMultilevel"/>
    <w:tmpl w:val="8ED64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720BA6"/>
    <w:multiLevelType w:val="hybridMultilevel"/>
    <w:tmpl w:val="D6D42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535452">
    <w:abstractNumId w:val="2"/>
  </w:num>
  <w:num w:numId="2" w16cid:durableId="1741366382">
    <w:abstractNumId w:val="0"/>
  </w:num>
  <w:num w:numId="3" w16cid:durableId="1009210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D04"/>
    <w:rsid w:val="0007077E"/>
    <w:rsid w:val="0009161D"/>
    <w:rsid w:val="000F1AE2"/>
    <w:rsid w:val="001220BE"/>
    <w:rsid w:val="001A2373"/>
    <w:rsid w:val="00224439"/>
    <w:rsid w:val="002C345A"/>
    <w:rsid w:val="002E47BD"/>
    <w:rsid w:val="00301C43"/>
    <w:rsid w:val="004B229F"/>
    <w:rsid w:val="004C2D0C"/>
    <w:rsid w:val="005644EB"/>
    <w:rsid w:val="005C1D9E"/>
    <w:rsid w:val="005E22D1"/>
    <w:rsid w:val="00660925"/>
    <w:rsid w:val="00684973"/>
    <w:rsid w:val="00784C52"/>
    <w:rsid w:val="00807642"/>
    <w:rsid w:val="00923C24"/>
    <w:rsid w:val="009B4BDC"/>
    <w:rsid w:val="009C5BDC"/>
    <w:rsid w:val="00A87600"/>
    <w:rsid w:val="00AB1D8E"/>
    <w:rsid w:val="00AC3FB2"/>
    <w:rsid w:val="00B14CAD"/>
    <w:rsid w:val="00C70D04"/>
    <w:rsid w:val="00D13162"/>
    <w:rsid w:val="00DA5A2B"/>
    <w:rsid w:val="00EA66F4"/>
    <w:rsid w:val="00EC0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8AE52"/>
  <w15:chartTrackingRefBased/>
  <w15:docId w15:val="{03CC48C7-BB6D-46AA-85F2-B73CE389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D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70D04"/>
    <w:pPr>
      <w:spacing w:after="200" w:line="240" w:lineRule="auto"/>
    </w:pPr>
    <w:rPr>
      <w:i/>
      <w:iCs/>
      <w:color w:val="44546A" w:themeColor="text2"/>
      <w:sz w:val="18"/>
      <w:szCs w:val="18"/>
    </w:rPr>
  </w:style>
  <w:style w:type="character" w:styleId="Hyperlink">
    <w:name w:val="Hyperlink"/>
    <w:basedOn w:val="DefaultParagraphFont"/>
    <w:uiPriority w:val="99"/>
    <w:unhideWhenUsed/>
    <w:rsid w:val="00A87600"/>
    <w:rPr>
      <w:color w:val="0563C1" w:themeColor="hyperlink"/>
      <w:u w:val="single"/>
    </w:rPr>
  </w:style>
  <w:style w:type="character" w:styleId="UnresolvedMention">
    <w:name w:val="Unresolved Mention"/>
    <w:basedOn w:val="DefaultParagraphFont"/>
    <w:uiPriority w:val="99"/>
    <w:semiHidden/>
    <w:unhideWhenUsed/>
    <w:rsid w:val="00A87600"/>
    <w:rPr>
      <w:color w:val="605E5C"/>
      <w:shd w:val="clear" w:color="auto" w:fill="E1DFDD"/>
    </w:rPr>
  </w:style>
  <w:style w:type="paragraph" w:styleId="ListParagraph">
    <w:name w:val="List Paragraph"/>
    <w:basedOn w:val="Normal"/>
    <w:uiPriority w:val="34"/>
    <w:qFormat/>
    <w:rsid w:val="00923C24"/>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84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s://mrcc.purdue.edu/freeze/freezedatetool" TargetMode="External"/><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hyperlink" Target="https://www.canr.msu.edu/apples/weather/critical-spring-temperatures"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13</Pages>
  <Words>2177</Words>
  <Characters>12412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Ford, Trenton Wayne</dc:creator>
  <cp:keywords/>
  <dc:description/>
  <cp:lastModifiedBy>Ford, Trenton Wayne</cp:lastModifiedBy>
  <cp:revision>23</cp:revision>
  <dcterms:created xsi:type="dcterms:W3CDTF">2023-09-01T20:51:00Z</dcterms:created>
  <dcterms:modified xsi:type="dcterms:W3CDTF">2023-10-20T13:53:00Z</dcterms:modified>
</cp:coreProperties>
</file>