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4C504" w14:textId="57F641E8" w:rsidR="005A005B" w:rsidRPr="005A005B" w:rsidRDefault="005A005B" w:rsidP="2B920D7E">
      <w:pPr>
        <w:spacing w:line="360" w:lineRule="auto"/>
        <w:jc w:val="both"/>
        <w:rPr>
          <w:b/>
          <w:bCs/>
          <w:i/>
          <w:iCs/>
          <w:lang w:val="en-GB"/>
        </w:rPr>
      </w:pPr>
      <w:r w:rsidRPr="2B920D7E">
        <w:rPr>
          <w:b/>
          <w:bCs/>
          <w:i/>
          <w:iCs/>
          <w:lang w:val="en-GB"/>
        </w:rPr>
        <w:t>Concordant and discordant polygenic scores and their association with time to MACE</w:t>
      </w:r>
      <w:r w:rsidR="00793200" w:rsidRPr="2B920D7E">
        <w:rPr>
          <w:b/>
          <w:bCs/>
          <w:i/>
          <w:iCs/>
          <w:lang w:val="en-GB"/>
        </w:rPr>
        <w:t xml:space="preserve"> in primary and secondary prevention</w:t>
      </w:r>
    </w:p>
    <w:p w14:paraId="72EF6623" w14:textId="3C69F42B" w:rsidR="5169FB93" w:rsidRDefault="5169FB93" w:rsidP="5169FB93">
      <w:pPr>
        <w:spacing w:line="360" w:lineRule="auto"/>
        <w:jc w:val="both"/>
        <w:rPr>
          <w:lang w:val="en-GB"/>
        </w:rPr>
      </w:pPr>
    </w:p>
    <w:p w14:paraId="7A9DA81B" w14:textId="78FEAB75" w:rsidR="00871BD8" w:rsidRDefault="00A7052F" w:rsidP="3D13B6F4">
      <w:pPr>
        <w:spacing w:line="360" w:lineRule="auto"/>
        <w:jc w:val="both"/>
        <w:rPr>
          <w:lang w:val="en-GB"/>
        </w:rPr>
      </w:pPr>
      <w:r>
        <w:rPr>
          <w:lang w:val="en-GB"/>
        </w:rPr>
        <w:t>Due to the greater contribution of the PRSs to prediction performance in individuals at higher risk</w:t>
      </w:r>
      <w:r w:rsidR="00473DE9">
        <w:rPr>
          <w:lang w:val="en-GB"/>
        </w:rPr>
        <w:t xml:space="preserve"> that we observed in the analysis of primary MACE</w:t>
      </w:r>
      <w:r>
        <w:rPr>
          <w:lang w:val="en-GB"/>
        </w:rPr>
        <w:t xml:space="preserve">, </w:t>
      </w:r>
      <w:r w:rsidRPr="00343732">
        <w:rPr>
          <w:lang w:val="en-GB"/>
        </w:rPr>
        <w:t xml:space="preserve">we </w:t>
      </w:r>
      <w:r w:rsidR="00090691">
        <w:rPr>
          <w:lang w:val="en-GB"/>
        </w:rPr>
        <w:t xml:space="preserve">wanted to </w:t>
      </w:r>
      <w:r w:rsidRPr="00343732">
        <w:rPr>
          <w:lang w:val="en-GB"/>
        </w:rPr>
        <w:t xml:space="preserve">investigate </w:t>
      </w:r>
      <w:r>
        <w:rPr>
          <w:lang w:val="en-GB"/>
        </w:rPr>
        <w:t xml:space="preserve">whether the PRSs could also contribute to </w:t>
      </w:r>
      <w:r w:rsidRPr="0BD54F5B">
        <w:rPr>
          <w:lang w:val="en-GB"/>
        </w:rPr>
        <w:t>MACE</w:t>
      </w:r>
      <w:r w:rsidRPr="00D175C4">
        <w:rPr>
          <w:lang w:val="en-GB"/>
        </w:rPr>
        <w:t xml:space="preserve"> </w:t>
      </w:r>
      <w:r>
        <w:rPr>
          <w:lang w:val="en-GB"/>
        </w:rPr>
        <w:t>prediction in individuals with established CVD</w:t>
      </w:r>
      <w:r w:rsidR="00864281">
        <w:rPr>
          <w:lang w:val="en-GB"/>
        </w:rPr>
        <w:t xml:space="preserve">. </w:t>
      </w:r>
      <w:r w:rsidR="00043D33">
        <w:rPr>
          <w:lang w:val="en-GB"/>
        </w:rPr>
        <w:t xml:space="preserve">We first </w:t>
      </w:r>
      <w:r w:rsidR="00E16229">
        <w:rPr>
          <w:lang w:val="en-GB"/>
        </w:rPr>
        <w:t>attempted to achieve this using data from biobank participants who had prior history of CVD</w:t>
      </w:r>
      <w:r w:rsidR="003D158F">
        <w:rPr>
          <w:lang w:val="en-GB"/>
        </w:rPr>
        <w:t xml:space="preserve"> (</w:t>
      </w:r>
      <w:r w:rsidR="003D158F">
        <w:rPr>
          <w:lang w:val="en-GB"/>
        </w:rPr>
        <w:t>N=10,448)</w:t>
      </w:r>
      <w:r w:rsidR="00E16229">
        <w:rPr>
          <w:lang w:val="en-GB"/>
        </w:rPr>
        <w:t xml:space="preserve">. </w:t>
      </w:r>
      <w:r w:rsidR="0047195E">
        <w:rPr>
          <w:lang w:val="en-GB"/>
        </w:rPr>
        <w:t>Compared to individuals without prior MACE, participants with prior MACE were older</w:t>
      </w:r>
      <w:r w:rsidR="00133EE2">
        <w:rPr>
          <w:lang w:val="en-GB"/>
        </w:rPr>
        <w:t xml:space="preserve">, had higher HbA1c and lower </w:t>
      </w:r>
      <w:r w:rsidR="00EA534E">
        <w:rPr>
          <w:lang w:val="en-GB"/>
        </w:rPr>
        <w:t>HDL and eGFR (Figure 1).</w:t>
      </w:r>
    </w:p>
    <w:p w14:paraId="128B0C7B" w14:textId="77777777" w:rsidR="00EA534E" w:rsidRDefault="00EA534E" w:rsidP="3D13B6F4">
      <w:pPr>
        <w:spacing w:line="360" w:lineRule="auto"/>
        <w:jc w:val="both"/>
        <w:rPr>
          <w:lang w:val="en-GB"/>
        </w:rPr>
      </w:pPr>
    </w:p>
    <w:tbl>
      <w:tblPr>
        <w:tblStyle w:val="TableGrid"/>
        <w:tblW w:w="0" w:type="auto"/>
        <w:tblLook w:val="04A0" w:firstRow="1" w:lastRow="0" w:firstColumn="1" w:lastColumn="0" w:noHBand="0" w:noVBand="1"/>
      </w:tblPr>
      <w:tblGrid>
        <w:gridCol w:w="9016"/>
      </w:tblGrid>
      <w:tr w:rsidR="00EA534E" w14:paraId="5B461674" w14:textId="77777777" w:rsidTr="00EA534E">
        <w:tc>
          <w:tcPr>
            <w:tcW w:w="9016" w:type="dxa"/>
          </w:tcPr>
          <w:p w14:paraId="505801B3" w14:textId="63AB4AC9" w:rsidR="00EA534E" w:rsidRDefault="007711A2" w:rsidP="3D13B6F4">
            <w:pPr>
              <w:spacing w:line="360" w:lineRule="auto"/>
              <w:jc w:val="both"/>
              <w:rPr>
                <w:lang w:val="en-GB"/>
              </w:rPr>
            </w:pPr>
            <w:r>
              <w:rPr>
                <w:noProof/>
              </w:rPr>
              <w:drawing>
                <wp:inline distT="0" distB="0" distL="0" distR="0" wp14:anchorId="18353733" wp14:editId="0E1552A9">
                  <wp:extent cx="5731510" cy="1637665"/>
                  <wp:effectExtent l="0" t="0" r="0" b="635"/>
                  <wp:docPr id="2012908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1637665"/>
                          </a:xfrm>
                          <a:prstGeom prst="rect">
                            <a:avLst/>
                          </a:prstGeom>
                          <a:noFill/>
                          <a:ln>
                            <a:noFill/>
                          </a:ln>
                        </pic:spPr>
                      </pic:pic>
                    </a:graphicData>
                  </a:graphic>
                </wp:inline>
              </w:drawing>
            </w:r>
          </w:p>
        </w:tc>
      </w:tr>
      <w:tr w:rsidR="00EA534E" w14:paraId="45F2AFCF" w14:textId="77777777" w:rsidTr="00EA534E">
        <w:tc>
          <w:tcPr>
            <w:tcW w:w="9016" w:type="dxa"/>
          </w:tcPr>
          <w:p w14:paraId="2AD84598" w14:textId="63AE1E75" w:rsidR="00EA534E" w:rsidRDefault="007711A2" w:rsidP="3D13B6F4">
            <w:pPr>
              <w:spacing w:line="360" w:lineRule="auto"/>
              <w:jc w:val="both"/>
              <w:rPr>
                <w:lang w:val="en-GB"/>
              </w:rPr>
            </w:pPr>
            <w:r>
              <w:rPr>
                <w:lang w:val="en-GB"/>
              </w:rPr>
              <w:t xml:space="preserve">Figure 1. </w:t>
            </w:r>
            <w:r w:rsidR="00757BD6">
              <w:rPr>
                <w:lang w:val="en-GB"/>
              </w:rPr>
              <w:t xml:space="preserve">Distribution of SCORE2 predictors among UK </w:t>
            </w:r>
            <w:proofErr w:type="spellStart"/>
            <w:r w:rsidR="00757BD6">
              <w:rPr>
                <w:lang w:val="en-GB"/>
              </w:rPr>
              <w:t>Biobank</w:t>
            </w:r>
            <w:proofErr w:type="spellEnd"/>
            <w:r w:rsidR="00757BD6">
              <w:rPr>
                <w:lang w:val="en-GB"/>
              </w:rPr>
              <w:t xml:space="preserve"> participants with and without prior MACE at baseline.</w:t>
            </w:r>
          </w:p>
        </w:tc>
      </w:tr>
    </w:tbl>
    <w:p w14:paraId="3FDE37E9" w14:textId="77777777" w:rsidR="00EA534E" w:rsidRDefault="00EA534E" w:rsidP="3D13B6F4">
      <w:pPr>
        <w:spacing w:line="360" w:lineRule="auto"/>
        <w:jc w:val="both"/>
        <w:rPr>
          <w:lang w:val="en-GB"/>
        </w:rPr>
      </w:pPr>
    </w:p>
    <w:p w14:paraId="62F0F833" w14:textId="77777777" w:rsidR="00946586" w:rsidRDefault="007C3770" w:rsidP="3D13B6F4">
      <w:pPr>
        <w:spacing w:line="360" w:lineRule="auto"/>
        <w:jc w:val="both"/>
        <w:rPr>
          <w:rFonts w:ascii="Calibri" w:eastAsia="Calibri" w:hAnsi="Calibri" w:cs="Calibri"/>
          <w:lang w:val="en-GB"/>
        </w:rPr>
      </w:pPr>
      <w:r w:rsidRPr="3D13B6F4">
        <w:rPr>
          <w:rFonts w:ascii="Calibri" w:eastAsia="Calibri" w:hAnsi="Calibri" w:cs="Calibri"/>
          <w:lang w:val="en-GB"/>
        </w:rPr>
        <w:t xml:space="preserve">To assess whether the effects of the PRSs change across prior MACE strata, we included individuals regardless of their MACE history and then refitted the Cox models adding interaction terms between each PRS and prior MACE. </w:t>
      </w:r>
      <w:r w:rsidR="00757BD6">
        <w:rPr>
          <w:rFonts w:ascii="Calibri" w:eastAsia="Calibri" w:hAnsi="Calibri" w:cs="Calibri"/>
          <w:lang w:val="en-GB"/>
        </w:rPr>
        <w:t>We found that the</w:t>
      </w:r>
      <w:r w:rsidR="548C04C2" w:rsidRPr="3D13B6F4">
        <w:rPr>
          <w:rFonts w:ascii="Calibri" w:eastAsia="Calibri" w:hAnsi="Calibri" w:cs="Calibri"/>
          <w:lang w:val="en-GB"/>
        </w:rPr>
        <w:t xml:space="preserve"> effect of both concordant and discordant PRSs </w:t>
      </w:r>
      <w:r w:rsidR="00FA38A8">
        <w:rPr>
          <w:rFonts w:ascii="Calibri" w:eastAsia="Calibri" w:hAnsi="Calibri" w:cs="Calibri"/>
          <w:lang w:val="en-GB"/>
        </w:rPr>
        <w:t xml:space="preserve">on the incidence of secondary MACE </w:t>
      </w:r>
      <w:r w:rsidR="548C04C2" w:rsidRPr="3D13B6F4">
        <w:rPr>
          <w:rFonts w:ascii="Calibri" w:eastAsia="Calibri" w:hAnsi="Calibri" w:cs="Calibri"/>
          <w:lang w:val="en-GB"/>
        </w:rPr>
        <w:t>in individuals with prior MACE</w:t>
      </w:r>
      <w:r w:rsidR="0049260E">
        <w:rPr>
          <w:rFonts w:ascii="Calibri" w:eastAsia="Calibri" w:hAnsi="Calibri" w:cs="Calibri"/>
          <w:lang w:val="en-GB"/>
        </w:rPr>
        <w:t xml:space="preserve"> </w:t>
      </w:r>
      <w:r w:rsidR="0049260E" w:rsidRPr="3D13B6F4">
        <w:rPr>
          <w:rFonts w:ascii="Calibri" w:eastAsia="Calibri" w:hAnsi="Calibri" w:cs="Calibri"/>
          <w:lang w:val="en-GB"/>
        </w:rPr>
        <w:t>were attenuated</w:t>
      </w:r>
      <w:r w:rsidR="0049260E">
        <w:rPr>
          <w:rFonts w:ascii="Calibri" w:eastAsia="Calibri" w:hAnsi="Calibri" w:cs="Calibri"/>
          <w:lang w:val="en-GB"/>
        </w:rPr>
        <w:t xml:space="preserve"> with respect to the effect on primary MACE</w:t>
      </w:r>
      <w:r w:rsidR="0067492D">
        <w:rPr>
          <w:rFonts w:ascii="Calibri" w:eastAsia="Calibri" w:hAnsi="Calibri" w:cs="Calibri"/>
          <w:lang w:val="en-GB"/>
        </w:rPr>
        <w:t>. The</w:t>
      </w:r>
      <w:r w:rsidR="548C04C2" w:rsidRPr="3D13B6F4">
        <w:rPr>
          <w:rFonts w:ascii="Calibri" w:eastAsia="Calibri" w:hAnsi="Calibri" w:cs="Calibri"/>
          <w:lang w:val="en-GB"/>
        </w:rPr>
        <w:t xml:space="preserve"> concordant PRS coefficient was </w:t>
      </w:r>
      <w:r w:rsidR="0067492D">
        <w:rPr>
          <w:rFonts w:ascii="Calibri" w:eastAsia="Calibri" w:hAnsi="Calibri" w:cs="Calibri"/>
          <w:lang w:val="en-GB"/>
        </w:rPr>
        <w:t xml:space="preserve">especially </w:t>
      </w:r>
      <w:r w:rsidR="548C04C2" w:rsidRPr="3D13B6F4">
        <w:rPr>
          <w:rFonts w:ascii="Calibri" w:eastAsia="Calibri" w:hAnsi="Calibri" w:cs="Calibri"/>
          <w:lang w:val="en-GB"/>
        </w:rPr>
        <w:t xml:space="preserve">in males with prior MACE </w:t>
      </w:r>
      <w:r w:rsidR="0067492D">
        <w:rPr>
          <w:rFonts w:ascii="Calibri" w:eastAsia="Calibri" w:hAnsi="Calibri" w:cs="Calibri"/>
          <w:lang w:val="en-GB"/>
        </w:rPr>
        <w:t xml:space="preserve">was particularly affected </w:t>
      </w:r>
      <w:r w:rsidR="548C04C2" w:rsidRPr="3D13B6F4">
        <w:rPr>
          <w:rFonts w:ascii="Calibri" w:eastAsia="Calibri" w:hAnsi="Calibri" w:cs="Calibri"/>
          <w:lang w:val="en-GB"/>
        </w:rPr>
        <w:t>(Concordant PRS * prior MACE interaction estimate = -0.013, 95% CI: -0.018, -0.007, p = 7.04·10</w:t>
      </w:r>
      <w:r w:rsidR="548C04C2" w:rsidRPr="3D13B6F4">
        <w:rPr>
          <w:rFonts w:ascii="Calibri" w:eastAsia="Calibri" w:hAnsi="Calibri" w:cs="Calibri"/>
          <w:vertAlign w:val="superscript"/>
          <w:lang w:val="en-GB"/>
        </w:rPr>
        <w:t>-6</w:t>
      </w:r>
      <w:r w:rsidR="548C04C2" w:rsidRPr="3D13B6F4">
        <w:rPr>
          <w:rFonts w:ascii="Calibri" w:eastAsia="Calibri" w:hAnsi="Calibri" w:cs="Calibri"/>
          <w:lang w:val="en-GB"/>
        </w:rPr>
        <w:t>). This attenuation was also seen after adjustment by SCORE2-Diabetes covariates (Supplementary Table 1</w:t>
      </w:r>
      <w:r w:rsidR="00B3001D">
        <w:rPr>
          <w:rFonts w:ascii="Calibri" w:eastAsia="Calibri" w:hAnsi="Calibri" w:cs="Calibri"/>
          <w:lang w:val="en-GB"/>
        </w:rPr>
        <w:t>7</w:t>
      </w:r>
      <w:r w:rsidR="548C04C2" w:rsidRPr="3D13B6F4">
        <w:rPr>
          <w:rFonts w:ascii="Calibri" w:eastAsia="Calibri" w:hAnsi="Calibri" w:cs="Calibri"/>
          <w:lang w:val="en-GB"/>
        </w:rPr>
        <w:t xml:space="preserve">). </w:t>
      </w:r>
    </w:p>
    <w:p w14:paraId="1C31F2D0" w14:textId="77777777" w:rsidR="00946586" w:rsidRDefault="00946586" w:rsidP="3D13B6F4">
      <w:pPr>
        <w:spacing w:line="360" w:lineRule="auto"/>
        <w:jc w:val="both"/>
        <w:rPr>
          <w:rFonts w:ascii="Calibri" w:eastAsia="Calibri" w:hAnsi="Calibri" w:cs="Calibri"/>
          <w:lang w:val="en-GB"/>
        </w:rPr>
      </w:pPr>
    </w:p>
    <w:p w14:paraId="2F606088" w14:textId="49CF8C82" w:rsidR="548C04C2" w:rsidRDefault="00946586" w:rsidP="3D13B6F4">
      <w:pPr>
        <w:spacing w:line="360" w:lineRule="auto"/>
        <w:jc w:val="both"/>
      </w:pPr>
      <w:r w:rsidRPr="3D13B6F4">
        <w:rPr>
          <w:rFonts w:ascii="Calibri" w:eastAsia="Calibri" w:hAnsi="Calibri" w:cs="Calibri"/>
          <w:lang w:val="en-GB"/>
        </w:rPr>
        <w:t xml:space="preserve">We also fitted Cox models only in individuals with prior MACE to test the added value of the PRSs in these </w:t>
      </w:r>
      <w:proofErr w:type="spellStart"/>
      <w:r w:rsidRPr="3D13B6F4">
        <w:rPr>
          <w:rFonts w:ascii="Calibri" w:eastAsia="Calibri" w:hAnsi="Calibri" w:cs="Calibri"/>
          <w:lang w:val="en-GB"/>
        </w:rPr>
        <w:t>subpopulations.</w:t>
      </w:r>
      <w:r w:rsidR="008C738E">
        <w:rPr>
          <w:rFonts w:ascii="Calibri" w:eastAsia="Calibri" w:hAnsi="Calibri" w:cs="Calibri"/>
          <w:lang w:val="en-GB"/>
        </w:rPr>
        <w:t xml:space="preserve"> </w:t>
      </w:r>
      <w:proofErr w:type="spellEnd"/>
      <w:r w:rsidR="008C738E">
        <w:rPr>
          <w:rFonts w:ascii="Calibri" w:eastAsia="Calibri" w:hAnsi="Calibri" w:cs="Calibri"/>
          <w:lang w:val="en-GB"/>
        </w:rPr>
        <w:t>Aside from</w:t>
      </w:r>
      <w:r w:rsidR="00C959CB">
        <w:rPr>
          <w:rFonts w:ascii="Calibri" w:eastAsia="Calibri" w:hAnsi="Calibri" w:cs="Calibri"/>
          <w:lang w:val="en-GB"/>
        </w:rPr>
        <w:t xml:space="preserve"> encountering the</w:t>
      </w:r>
      <w:r w:rsidR="00CB7795">
        <w:rPr>
          <w:rFonts w:ascii="Calibri" w:eastAsia="Calibri" w:hAnsi="Calibri" w:cs="Calibri"/>
          <w:lang w:val="en-GB"/>
        </w:rPr>
        <w:t xml:space="preserve"> same attenuation described in the </w:t>
      </w:r>
      <w:r w:rsidR="00CB7795">
        <w:rPr>
          <w:rFonts w:ascii="Calibri" w:eastAsia="Calibri" w:hAnsi="Calibri" w:cs="Calibri"/>
          <w:lang w:val="en-GB"/>
        </w:rPr>
        <w:lastRenderedPageBreak/>
        <w:t>interaction models</w:t>
      </w:r>
      <w:r w:rsidR="00D429F9">
        <w:rPr>
          <w:rFonts w:ascii="Calibri" w:eastAsia="Calibri" w:hAnsi="Calibri" w:cs="Calibri"/>
          <w:lang w:val="en-GB"/>
        </w:rPr>
        <w:t>, we found that a</w:t>
      </w:r>
      <w:r w:rsidR="548C04C2" w:rsidRPr="3D13B6F4">
        <w:rPr>
          <w:rFonts w:ascii="Calibri" w:eastAsia="Calibri" w:hAnsi="Calibri" w:cs="Calibri"/>
          <w:lang w:val="en-GB"/>
        </w:rPr>
        <w:t xml:space="preserve">dding the PRSs to </w:t>
      </w:r>
      <w:r w:rsidR="00D429F9">
        <w:rPr>
          <w:rFonts w:ascii="Calibri" w:eastAsia="Calibri" w:hAnsi="Calibri" w:cs="Calibri"/>
          <w:lang w:val="en-GB"/>
        </w:rPr>
        <w:t>SCORE2</w:t>
      </w:r>
      <w:r w:rsidR="548C04C2" w:rsidRPr="3D13B6F4">
        <w:rPr>
          <w:rFonts w:ascii="Calibri" w:eastAsia="Calibri" w:hAnsi="Calibri" w:cs="Calibri"/>
          <w:lang w:val="en-GB"/>
        </w:rPr>
        <w:t xml:space="preserve"> did not improve the predictive ability in individuals with prior MACE (likelihood ratio test &gt; 0.05).</w:t>
      </w:r>
    </w:p>
    <w:p w14:paraId="7527DA79" w14:textId="2A38E671" w:rsidR="3D13B6F4" w:rsidRDefault="3D13B6F4" w:rsidP="3D13B6F4">
      <w:pPr>
        <w:spacing w:line="360" w:lineRule="auto"/>
        <w:jc w:val="both"/>
        <w:rPr>
          <w:lang w:val="en-GB"/>
        </w:rPr>
      </w:pPr>
    </w:p>
    <w:p w14:paraId="54F3A51B" w14:textId="4067395F" w:rsidR="3D13B6F4" w:rsidRDefault="548C04C2" w:rsidP="00807892">
      <w:pPr>
        <w:spacing w:after="160" w:line="360" w:lineRule="auto"/>
        <w:jc w:val="both"/>
        <w:rPr>
          <w:rFonts w:ascii="Calibri" w:eastAsia="Calibri" w:hAnsi="Calibri" w:cs="Calibri"/>
          <w:lang w:val="en-GB"/>
        </w:rPr>
      </w:pPr>
      <w:r w:rsidRPr="3D13B6F4">
        <w:rPr>
          <w:rFonts w:ascii="Calibri" w:eastAsia="Calibri" w:hAnsi="Calibri" w:cs="Calibri"/>
          <w:lang w:val="en-GB"/>
        </w:rPr>
        <w:t>Given that UK Biobank participants tend to be healthier, we further explore the association of the PRSs in populations at higher risk using data from ORIGIN, an international multicentre trial that included individuals with dysglycemia and evidence of established CVD (N = 4,147). A considerable proportion of participants already had prior history of MACE at baseline (~38%).</w:t>
      </w:r>
      <w:r w:rsidR="00893332">
        <w:rPr>
          <w:rFonts w:ascii="Calibri" w:eastAsia="Calibri" w:hAnsi="Calibri" w:cs="Calibri"/>
          <w:lang w:val="en-GB"/>
        </w:rPr>
        <w:t xml:space="preserve"> W</w:t>
      </w:r>
      <w:r w:rsidR="014E0336" w:rsidRPr="3D13B6F4">
        <w:rPr>
          <w:rFonts w:ascii="Calibri" w:eastAsia="Calibri" w:hAnsi="Calibri" w:cs="Calibri"/>
          <w:lang w:val="en-GB"/>
        </w:rPr>
        <w:t>e evaluated the association of the PRSs to prevalence of MACE using logistic regression, and to incidence of MACE using Cox regression adjusting for treatment allocation. We analysed each ancestry separately and then combined the estimates using fixed effects meta-analysis.</w:t>
      </w:r>
    </w:p>
    <w:p w14:paraId="471F4450" w14:textId="77777777" w:rsidR="00807892" w:rsidRPr="00807892" w:rsidRDefault="00807892" w:rsidP="00807892">
      <w:pPr>
        <w:spacing w:after="160" w:line="360" w:lineRule="auto"/>
        <w:jc w:val="both"/>
        <w:rPr>
          <w:rFonts w:ascii="Calibri" w:eastAsia="Calibri" w:hAnsi="Calibri" w:cs="Calibri"/>
          <w:lang w:val="en-GB"/>
        </w:rPr>
      </w:pPr>
    </w:p>
    <w:p w14:paraId="0C39D078" w14:textId="0D996087" w:rsidR="76A9C9E7" w:rsidRPr="00807892" w:rsidRDefault="76A9C9E7" w:rsidP="5169FB93">
      <w:pPr>
        <w:spacing w:line="360" w:lineRule="auto"/>
        <w:jc w:val="both"/>
        <w:rPr>
          <w:rFonts w:ascii="Calibri" w:eastAsia="Calibri" w:hAnsi="Calibri" w:cs="Calibri"/>
          <w:color w:val="000000" w:themeColor="text1"/>
          <w:lang w:val="en-GB"/>
        </w:rPr>
      </w:pPr>
      <w:r w:rsidRPr="00807892">
        <w:rPr>
          <w:rFonts w:ascii="Calibri" w:eastAsia="Calibri" w:hAnsi="Calibri" w:cs="Calibri"/>
          <w:color w:val="000000" w:themeColor="text1"/>
          <w:lang w:val="en-GB"/>
        </w:rPr>
        <w:t>As expected, the concordant PRS was significantly associated with higher prevalence of MACE, while the discordant PRS tended to be associated with lower prevalence (OR</w:t>
      </w:r>
      <w:r w:rsidRPr="00807892">
        <w:rPr>
          <w:rFonts w:ascii="Calibri" w:eastAsia="Calibri" w:hAnsi="Calibri" w:cs="Calibri"/>
          <w:color w:val="000000" w:themeColor="text1"/>
          <w:vertAlign w:val="subscript"/>
          <w:lang w:val="en-GB"/>
        </w:rPr>
        <w:t>C</w:t>
      </w:r>
      <w:r w:rsidRPr="00807892">
        <w:rPr>
          <w:rFonts w:ascii="Calibri" w:eastAsia="Calibri" w:hAnsi="Calibri" w:cs="Calibri"/>
          <w:color w:val="000000" w:themeColor="text1"/>
          <w:lang w:val="en-GB"/>
        </w:rPr>
        <w:t xml:space="preserve"> = 1.003 per allele, 95% CI: 1.001, 1.006; OR</w:t>
      </w:r>
      <w:r w:rsidRPr="00807892">
        <w:rPr>
          <w:rFonts w:ascii="Calibri" w:eastAsia="Calibri" w:hAnsi="Calibri" w:cs="Calibri"/>
          <w:color w:val="000000" w:themeColor="text1"/>
          <w:vertAlign w:val="subscript"/>
          <w:lang w:val="en-GB"/>
        </w:rPr>
        <w:t>D</w:t>
      </w:r>
      <w:r w:rsidRPr="00807892">
        <w:rPr>
          <w:rFonts w:ascii="Calibri" w:eastAsia="Calibri" w:hAnsi="Calibri" w:cs="Calibri"/>
          <w:color w:val="000000" w:themeColor="text1"/>
          <w:lang w:val="en-GB"/>
        </w:rPr>
        <w:t xml:space="preserve"> = 0,996 per allele, 95% CI: 0.990, 1.003; p</w:t>
      </w:r>
      <w:r w:rsidRPr="00807892">
        <w:rPr>
          <w:rFonts w:ascii="Calibri" w:eastAsia="Calibri" w:hAnsi="Calibri" w:cs="Calibri"/>
          <w:color w:val="000000" w:themeColor="text1"/>
          <w:vertAlign w:val="subscript"/>
          <w:lang w:val="en-GB"/>
        </w:rPr>
        <w:t>δ</w:t>
      </w:r>
      <w:r w:rsidRPr="00807892">
        <w:rPr>
          <w:rFonts w:ascii="Calibri" w:eastAsia="Calibri" w:hAnsi="Calibri" w:cs="Calibri"/>
          <w:color w:val="000000" w:themeColor="text1"/>
          <w:lang w:val="en-GB"/>
        </w:rPr>
        <w:t> = 0.06). Notably, in ancestry-specific analyses we found that the Native Latin subgroup of ORIGIN (N = 2,216), whose prevalence of MACE was much higher compared to individuals of European ancestry (42% vs. 34%, respectively), there was also a significant association of the concordant PRS with higher MACE prevalence (OR</w:t>
      </w:r>
      <w:r w:rsidRPr="00807892">
        <w:rPr>
          <w:rFonts w:ascii="Calibri" w:eastAsia="Calibri" w:hAnsi="Calibri" w:cs="Calibri"/>
          <w:color w:val="000000" w:themeColor="text1"/>
          <w:vertAlign w:val="subscript"/>
          <w:lang w:val="en-GB"/>
        </w:rPr>
        <w:t>C</w:t>
      </w:r>
      <w:r w:rsidRPr="00807892">
        <w:rPr>
          <w:rFonts w:ascii="Calibri" w:eastAsia="Calibri" w:hAnsi="Calibri" w:cs="Calibri"/>
          <w:color w:val="000000" w:themeColor="text1"/>
          <w:lang w:val="en-GB"/>
        </w:rPr>
        <w:t xml:space="preserve"> = 1.005 per allele, 95% CI: 1.001, 1.008; OR</w:t>
      </w:r>
      <w:r w:rsidRPr="00807892">
        <w:rPr>
          <w:rFonts w:ascii="Calibri" w:eastAsia="Calibri" w:hAnsi="Calibri" w:cs="Calibri"/>
          <w:color w:val="000000" w:themeColor="text1"/>
          <w:vertAlign w:val="subscript"/>
          <w:lang w:val="en-GB"/>
        </w:rPr>
        <w:t>D</w:t>
      </w:r>
      <w:r w:rsidRPr="00807892">
        <w:rPr>
          <w:rFonts w:ascii="Calibri" w:eastAsia="Calibri" w:hAnsi="Calibri" w:cs="Calibri"/>
          <w:color w:val="000000" w:themeColor="text1"/>
          <w:lang w:val="en-GB"/>
        </w:rPr>
        <w:t xml:space="preserve"> = 0.995 per allele, 95% CI: 0.986, 1.005; p</w:t>
      </w:r>
      <w:r w:rsidRPr="00807892">
        <w:rPr>
          <w:rFonts w:ascii="Calibri" w:eastAsia="Calibri" w:hAnsi="Calibri" w:cs="Calibri"/>
          <w:color w:val="000000" w:themeColor="text1"/>
          <w:vertAlign w:val="subscript"/>
          <w:lang w:val="en-GB"/>
        </w:rPr>
        <w:t>δ</w:t>
      </w:r>
      <w:r w:rsidRPr="00807892">
        <w:rPr>
          <w:rFonts w:ascii="Calibri" w:eastAsia="Calibri" w:hAnsi="Calibri" w:cs="Calibri"/>
          <w:color w:val="000000" w:themeColor="text1"/>
          <w:lang w:val="en-GB"/>
        </w:rPr>
        <w:t xml:space="preserve"> = 0.07, Supplementary Table </w:t>
      </w:r>
      <w:r w:rsidR="0050021F">
        <w:rPr>
          <w:rFonts w:ascii="Calibri" w:eastAsia="Calibri" w:hAnsi="Calibri" w:cs="Calibri"/>
          <w:color w:val="000000" w:themeColor="text1"/>
          <w:lang w:val="en-GB"/>
        </w:rPr>
        <w:t>6</w:t>
      </w:r>
      <w:r w:rsidRPr="00807892">
        <w:rPr>
          <w:rFonts w:ascii="Calibri" w:eastAsia="Calibri" w:hAnsi="Calibri" w:cs="Calibri"/>
          <w:color w:val="000000" w:themeColor="text1"/>
          <w:lang w:val="en-GB"/>
        </w:rPr>
        <w:t xml:space="preserve">). </w:t>
      </w:r>
    </w:p>
    <w:p w14:paraId="4FD78362" w14:textId="18AC3ABE" w:rsidR="5169FB93" w:rsidRPr="00807892" w:rsidRDefault="5169FB93" w:rsidP="5169FB93">
      <w:pPr>
        <w:spacing w:line="360" w:lineRule="auto"/>
        <w:jc w:val="both"/>
        <w:rPr>
          <w:rFonts w:ascii="Calibri" w:eastAsia="Calibri" w:hAnsi="Calibri" w:cs="Calibri"/>
          <w:color w:val="000000" w:themeColor="text1"/>
          <w:lang w:val="en-GB"/>
        </w:rPr>
      </w:pPr>
    </w:p>
    <w:p w14:paraId="750AA94F" w14:textId="78AA5126" w:rsidR="76A9C9E7" w:rsidRDefault="76A9C9E7" w:rsidP="5169FB93">
      <w:pPr>
        <w:spacing w:line="360" w:lineRule="auto"/>
        <w:jc w:val="both"/>
        <w:rPr>
          <w:rFonts w:ascii="Calibri" w:eastAsia="Calibri" w:hAnsi="Calibri" w:cs="Calibri"/>
          <w:color w:val="000000" w:themeColor="text1"/>
          <w:lang w:val="en-GB"/>
        </w:rPr>
      </w:pPr>
      <w:r w:rsidRPr="00807892">
        <w:rPr>
          <w:rFonts w:ascii="Calibri" w:eastAsia="Calibri" w:hAnsi="Calibri" w:cs="Calibri"/>
          <w:color w:val="000000" w:themeColor="text1"/>
          <w:lang w:val="en-GB"/>
        </w:rPr>
        <w:t>In contrast to these cross-sectional associations, during follow-up the discordant PRS was significantly associated with higher MACE incidence, exceeding the estimated effect of the concordant PRS (HR</w:t>
      </w:r>
      <w:r w:rsidRPr="00807892">
        <w:rPr>
          <w:rFonts w:ascii="Calibri" w:eastAsia="Calibri" w:hAnsi="Calibri" w:cs="Calibri"/>
          <w:color w:val="000000" w:themeColor="text1"/>
          <w:vertAlign w:val="subscript"/>
          <w:lang w:val="en-GB"/>
        </w:rPr>
        <w:t>C</w:t>
      </w:r>
      <w:r w:rsidRPr="00807892">
        <w:rPr>
          <w:rFonts w:ascii="Calibri" w:eastAsia="Calibri" w:hAnsi="Calibri" w:cs="Calibri"/>
          <w:color w:val="000000" w:themeColor="text1"/>
          <w:lang w:val="en-GB"/>
        </w:rPr>
        <w:t xml:space="preserve"> = 1.003 per allele, 95% CI: 0.989, 1.017; HR</w:t>
      </w:r>
      <w:r w:rsidRPr="00807892">
        <w:rPr>
          <w:rFonts w:ascii="Calibri" w:eastAsia="Calibri" w:hAnsi="Calibri" w:cs="Calibri"/>
          <w:color w:val="000000" w:themeColor="text1"/>
          <w:vertAlign w:val="subscript"/>
          <w:lang w:val="en-GB"/>
        </w:rPr>
        <w:t>D</w:t>
      </w:r>
      <w:r w:rsidRPr="00807892">
        <w:rPr>
          <w:rFonts w:ascii="Calibri" w:eastAsia="Calibri" w:hAnsi="Calibri" w:cs="Calibri"/>
          <w:color w:val="000000" w:themeColor="text1"/>
          <w:lang w:val="en-GB"/>
        </w:rPr>
        <w:t xml:space="preserve"> = 1.040 per allele, 95% CI: 1.006, 1.075; p</w:t>
      </w:r>
      <w:r w:rsidRPr="00807892">
        <w:rPr>
          <w:rFonts w:ascii="Calibri" w:eastAsia="Calibri" w:hAnsi="Calibri" w:cs="Calibri"/>
          <w:color w:val="000000" w:themeColor="text1"/>
          <w:vertAlign w:val="subscript"/>
          <w:lang w:val="en-GB"/>
        </w:rPr>
        <w:t>δ</w:t>
      </w:r>
      <w:r w:rsidRPr="00807892">
        <w:rPr>
          <w:rFonts w:ascii="Calibri" w:eastAsia="Calibri" w:hAnsi="Calibri" w:cs="Calibri"/>
          <w:color w:val="000000" w:themeColor="text1"/>
          <w:lang w:val="en-GB"/>
        </w:rPr>
        <w:t> = 0.04, Supplementary Table 1</w:t>
      </w:r>
      <w:r w:rsidR="0050021F">
        <w:rPr>
          <w:rFonts w:ascii="Calibri" w:eastAsia="Calibri" w:hAnsi="Calibri" w:cs="Calibri"/>
          <w:color w:val="000000" w:themeColor="text1"/>
          <w:lang w:val="en-GB"/>
        </w:rPr>
        <w:t>8</w:t>
      </w:r>
      <w:r w:rsidRPr="00807892">
        <w:rPr>
          <w:rFonts w:ascii="Calibri" w:eastAsia="Calibri" w:hAnsi="Calibri" w:cs="Calibri"/>
          <w:color w:val="000000" w:themeColor="text1"/>
          <w:lang w:val="en-GB"/>
        </w:rPr>
        <w:t>). Ancestry-specific analyses showed that in Native Latin population not only was there a significant association of the discordant PRS with higher incidence of MACE, but also a tendency of the concordant PRS to be associated with lower incidence (HR</w:t>
      </w:r>
      <w:r w:rsidRPr="00807892">
        <w:rPr>
          <w:rFonts w:ascii="Calibri" w:eastAsia="Calibri" w:hAnsi="Calibri" w:cs="Calibri"/>
          <w:color w:val="000000" w:themeColor="text1"/>
          <w:vertAlign w:val="subscript"/>
          <w:lang w:val="en-GB"/>
        </w:rPr>
        <w:t>C</w:t>
      </w:r>
      <w:r w:rsidRPr="00807892">
        <w:rPr>
          <w:rFonts w:ascii="Calibri" w:eastAsia="Calibri" w:hAnsi="Calibri" w:cs="Calibri"/>
          <w:color w:val="000000" w:themeColor="text1"/>
          <w:lang w:val="en-GB"/>
        </w:rPr>
        <w:t xml:space="preserve"> = 0.995 per allele, 95% CI: 0.976, 1.014; HR</w:t>
      </w:r>
      <w:r w:rsidRPr="00807892">
        <w:rPr>
          <w:rFonts w:ascii="Calibri" w:eastAsia="Calibri" w:hAnsi="Calibri" w:cs="Calibri"/>
          <w:color w:val="000000" w:themeColor="text1"/>
          <w:vertAlign w:val="subscript"/>
          <w:lang w:val="en-GB"/>
        </w:rPr>
        <w:t>D</w:t>
      </w:r>
      <w:r w:rsidRPr="00807892">
        <w:rPr>
          <w:rFonts w:ascii="Calibri" w:eastAsia="Calibri" w:hAnsi="Calibri" w:cs="Calibri"/>
          <w:color w:val="000000" w:themeColor="text1"/>
          <w:lang w:val="en-GB"/>
        </w:rPr>
        <w:t xml:space="preserve"> = 1.057 per allele, 95% CI: 1.010, 1.106; p</w:t>
      </w:r>
      <w:r w:rsidRPr="00807892">
        <w:rPr>
          <w:rFonts w:ascii="Calibri" w:eastAsia="Calibri" w:hAnsi="Calibri" w:cs="Calibri"/>
          <w:color w:val="000000" w:themeColor="text1"/>
          <w:vertAlign w:val="subscript"/>
          <w:lang w:val="en-GB"/>
        </w:rPr>
        <w:t>δ</w:t>
      </w:r>
      <w:r w:rsidRPr="00807892">
        <w:rPr>
          <w:rFonts w:ascii="Calibri" w:eastAsia="Calibri" w:hAnsi="Calibri" w:cs="Calibri"/>
          <w:color w:val="000000" w:themeColor="text1"/>
          <w:lang w:val="en-GB"/>
        </w:rPr>
        <w:t> = 0.01). We noted that this finding was driven by individuals with prior history of MACE (HR</w:t>
      </w:r>
      <w:r w:rsidRPr="00807892">
        <w:rPr>
          <w:rFonts w:ascii="Calibri" w:eastAsia="Calibri" w:hAnsi="Calibri" w:cs="Calibri"/>
          <w:color w:val="000000" w:themeColor="text1"/>
          <w:vertAlign w:val="subscript"/>
          <w:lang w:val="en-GB"/>
        </w:rPr>
        <w:t>C</w:t>
      </w:r>
      <w:r w:rsidRPr="00807892">
        <w:rPr>
          <w:rFonts w:ascii="Calibri" w:eastAsia="Calibri" w:hAnsi="Calibri" w:cs="Calibri"/>
          <w:color w:val="000000" w:themeColor="text1"/>
          <w:lang w:val="en-GB"/>
        </w:rPr>
        <w:t xml:space="preserve"> = 0.993 per allele, 95% CI: 0.967, 1.019; HR</w:t>
      </w:r>
      <w:r w:rsidRPr="00807892">
        <w:rPr>
          <w:rFonts w:ascii="Calibri" w:eastAsia="Calibri" w:hAnsi="Calibri" w:cs="Calibri"/>
          <w:color w:val="000000" w:themeColor="text1"/>
          <w:vertAlign w:val="subscript"/>
          <w:lang w:val="en-GB"/>
        </w:rPr>
        <w:t>D</w:t>
      </w:r>
      <w:r w:rsidRPr="00807892">
        <w:rPr>
          <w:rFonts w:ascii="Calibri" w:eastAsia="Calibri" w:hAnsi="Calibri" w:cs="Calibri"/>
          <w:color w:val="000000" w:themeColor="text1"/>
          <w:lang w:val="en-GB"/>
        </w:rPr>
        <w:t xml:space="preserve"> = 1.094 per allele, 95% CI: 1.026, 1.167; p</w:t>
      </w:r>
      <w:r w:rsidRPr="00807892">
        <w:rPr>
          <w:rFonts w:ascii="Calibri" w:eastAsia="Calibri" w:hAnsi="Calibri" w:cs="Calibri"/>
          <w:color w:val="000000" w:themeColor="text1"/>
          <w:vertAlign w:val="subscript"/>
          <w:lang w:val="en-GB"/>
        </w:rPr>
        <w:t>δ</w:t>
      </w:r>
      <w:r w:rsidRPr="00807892">
        <w:rPr>
          <w:rFonts w:ascii="Calibri" w:eastAsia="Calibri" w:hAnsi="Calibri" w:cs="Calibri"/>
          <w:color w:val="000000" w:themeColor="text1"/>
          <w:lang w:val="en-GB"/>
        </w:rPr>
        <w:t xml:space="preserve"> = 0.006). Thus, the observed inverted effects could be a consequence of participant </w:t>
      </w:r>
      <w:r w:rsidRPr="00807892">
        <w:rPr>
          <w:rFonts w:ascii="Calibri" w:eastAsia="Calibri" w:hAnsi="Calibri" w:cs="Calibri"/>
          <w:color w:val="000000" w:themeColor="text1"/>
          <w:lang w:val="en-GB"/>
        </w:rPr>
        <w:lastRenderedPageBreak/>
        <w:t>selection</w:t>
      </w:r>
      <w:r w:rsidR="00224E19">
        <w:rPr>
          <w:rFonts w:ascii="Calibri" w:eastAsia="Calibri" w:hAnsi="Calibri" w:cs="Calibri"/>
          <w:color w:val="000000" w:themeColor="text1"/>
          <w:lang w:val="en-GB"/>
        </w:rPr>
        <w:t xml:space="preserve">, where </w:t>
      </w:r>
      <w:r w:rsidR="00224E19">
        <w:rPr>
          <w:lang w:val="en-GB"/>
        </w:rPr>
        <w:t>individuals with MACE and high discordant PRS offset their genetic protection, while individuals with high concordant PRS counteract their genetic risk</w:t>
      </w:r>
      <w:r w:rsidR="00224E19" w:rsidRPr="00807892">
        <w:rPr>
          <w:rFonts w:ascii="Calibri" w:eastAsia="Calibri" w:hAnsi="Calibri" w:cs="Calibri"/>
          <w:color w:val="000000" w:themeColor="text1"/>
          <w:lang w:val="en-GB"/>
        </w:rPr>
        <w:t xml:space="preserve"> </w:t>
      </w:r>
      <w:r w:rsidR="0080747F">
        <w:rPr>
          <w:rFonts w:ascii="Calibri" w:eastAsia="Calibri" w:hAnsi="Calibri" w:cs="Calibri"/>
          <w:color w:val="000000" w:themeColor="text1"/>
          <w:lang w:val="en-GB"/>
        </w:rPr>
        <w:t xml:space="preserve">through better lifestyles or environment, making them able to survive enough to be part of the study. </w:t>
      </w:r>
      <w:r w:rsidRPr="00807892">
        <w:rPr>
          <w:rFonts w:ascii="Calibri" w:eastAsia="Calibri" w:hAnsi="Calibri" w:cs="Calibri"/>
          <w:color w:val="000000" w:themeColor="text1"/>
          <w:lang w:val="en-GB"/>
        </w:rPr>
        <w:t>Accordingly, the overall association of the discordant PRS with higher incidence was attenuated after adjusting for traditional risk factors (HR</w:t>
      </w:r>
      <w:r w:rsidRPr="00807892">
        <w:rPr>
          <w:rFonts w:ascii="Calibri" w:eastAsia="Calibri" w:hAnsi="Calibri" w:cs="Calibri"/>
          <w:color w:val="000000" w:themeColor="text1"/>
          <w:vertAlign w:val="subscript"/>
          <w:lang w:val="en-GB"/>
        </w:rPr>
        <w:t>C</w:t>
      </w:r>
      <w:r w:rsidRPr="00807892">
        <w:rPr>
          <w:rFonts w:ascii="Calibri" w:eastAsia="Calibri" w:hAnsi="Calibri" w:cs="Calibri"/>
          <w:color w:val="000000" w:themeColor="text1"/>
          <w:lang w:val="en-GB"/>
        </w:rPr>
        <w:t xml:space="preserve"> = 1.003 per allele, 95% CI: 0.989, 1.017; HR</w:t>
      </w:r>
      <w:r w:rsidRPr="00807892">
        <w:rPr>
          <w:rFonts w:ascii="Calibri" w:eastAsia="Calibri" w:hAnsi="Calibri" w:cs="Calibri"/>
          <w:color w:val="000000" w:themeColor="text1"/>
          <w:vertAlign w:val="subscript"/>
          <w:lang w:val="en-GB"/>
        </w:rPr>
        <w:t>D</w:t>
      </w:r>
      <w:r w:rsidRPr="00807892">
        <w:rPr>
          <w:rFonts w:ascii="Calibri" w:eastAsia="Calibri" w:hAnsi="Calibri" w:cs="Calibri"/>
          <w:color w:val="000000" w:themeColor="text1"/>
          <w:lang w:val="en-GB"/>
        </w:rPr>
        <w:t xml:space="preserve"> = 1.028 per allele, 95% CI: 0.994, 1.064; p</w:t>
      </w:r>
      <w:r w:rsidRPr="00807892">
        <w:rPr>
          <w:rFonts w:ascii="Calibri" w:eastAsia="Calibri" w:hAnsi="Calibri" w:cs="Calibri"/>
          <w:color w:val="000000" w:themeColor="text1"/>
          <w:vertAlign w:val="subscript"/>
          <w:lang w:val="en-GB"/>
        </w:rPr>
        <w:t>δ</w:t>
      </w:r>
      <w:r w:rsidRPr="00807892">
        <w:rPr>
          <w:rFonts w:ascii="Calibri" w:eastAsia="Calibri" w:hAnsi="Calibri" w:cs="Calibri"/>
          <w:color w:val="000000" w:themeColor="text1"/>
          <w:lang w:val="en-GB"/>
        </w:rPr>
        <w:t xml:space="preserve"> = 0.18). </w:t>
      </w:r>
      <w:r w:rsidR="00047B78">
        <w:rPr>
          <w:rFonts w:ascii="Calibri" w:eastAsia="Calibri" w:hAnsi="Calibri" w:cs="Calibri"/>
          <w:color w:val="000000" w:themeColor="text1"/>
          <w:lang w:val="en-GB"/>
        </w:rPr>
        <w:t>As</w:t>
      </w:r>
      <w:r w:rsidRPr="00807892">
        <w:rPr>
          <w:rFonts w:ascii="Calibri" w:eastAsia="Calibri" w:hAnsi="Calibri" w:cs="Calibri"/>
          <w:color w:val="000000" w:themeColor="text1"/>
          <w:lang w:val="en-GB"/>
        </w:rPr>
        <w:t xml:space="preserve"> observed in participants with prior MACE in UK Biobank, adding the PRSs did not improve prediction (likelihood ratio test &gt; 0.05).</w:t>
      </w:r>
      <w:r w:rsidR="009A0C2D">
        <w:rPr>
          <w:rFonts w:ascii="Calibri" w:eastAsia="Calibri" w:hAnsi="Calibri" w:cs="Calibri"/>
          <w:color w:val="000000" w:themeColor="text1"/>
          <w:lang w:val="en-GB"/>
        </w:rPr>
        <w:t xml:space="preserve"> Putting together the </w:t>
      </w:r>
      <w:r w:rsidR="00F16E74">
        <w:rPr>
          <w:rFonts w:ascii="Calibri" w:eastAsia="Calibri" w:hAnsi="Calibri" w:cs="Calibri"/>
          <w:color w:val="000000" w:themeColor="text1"/>
          <w:lang w:val="en-GB"/>
        </w:rPr>
        <w:t xml:space="preserve">estimates found for primary and secondary MACE in UK Biobank, with </w:t>
      </w:r>
      <w:r w:rsidR="00715820">
        <w:rPr>
          <w:rFonts w:ascii="Calibri" w:eastAsia="Calibri" w:hAnsi="Calibri" w:cs="Calibri"/>
          <w:color w:val="000000" w:themeColor="text1"/>
          <w:lang w:val="en-GB"/>
        </w:rPr>
        <w:t>those found in the</w:t>
      </w:r>
      <w:r w:rsidR="00F16E74">
        <w:rPr>
          <w:rFonts w:ascii="Calibri" w:eastAsia="Calibri" w:hAnsi="Calibri" w:cs="Calibri"/>
          <w:color w:val="000000" w:themeColor="text1"/>
          <w:lang w:val="en-GB"/>
        </w:rPr>
        <w:t xml:space="preserve"> ORIGIN</w:t>
      </w:r>
      <w:r w:rsidR="00715820">
        <w:rPr>
          <w:rFonts w:ascii="Calibri" w:eastAsia="Calibri" w:hAnsi="Calibri" w:cs="Calibri"/>
          <w:color w:val="000000" w:themeColor="text1"/>
          <w:lang w:val="en-GB"/>
        </w:rPr>
        <w:t xml:space="preserve"> trial, we observe a continuum of shift of concordant and discordant estimates </w:t>
      </w:r>
      <w:r w:rsidR="001D5F35">
        <w:rPr>
          <w:rFonts w:ascii="Calibri" w:eastAsia="Calibri" w:hAnsi="Calibri" w:cs="Calibri"/>
          <w:color w:val="000000" w:themeColor="text1"/>
          <w:lang w:val="en-GB"/>
        </w:rPr>
        <w:t xml:space="preserve">to the opposite direction of what is found in healthier individuals </w:t>
      </w:r>
      <w:r w:rsidR="00047B78">
        <w:rPr>
          <w:rFonts w:ascii="Calibri" w:eastAsia="Calibri" w:hAnsi="Calibri" w:cs="Calibri"/>
          <w:color w:val="000000" w:themeColor="text1"/>
          <w:lang w:val="en-GB"/>
        </w:rPr>
        <w:t xml:space="preserve">as we move to </w:t>
      </w:r>
      <w:r w:rsidR="00AD09FC">
        <w:rPr>
          <w:rFonts w:ascii="Calibri" w:eastAsia="Calibri" w:hAnsi="Calibri" w:cs="Calibri"/>
          <w:color w:val="000000" w:themeColor="text1"/>
          <w:lang w:val="en-GB"/>
        </w:rPr>
        <w:t xml:space="preserve">individuals with higher risk </w:t>
      </w:r>
      <w:r w:rsidR="001D5F35">
        <w:rPr>
          <w:rFonts w:ascii="Calibri" w:eastAsia="Calibri" w:hAnsi="Calibri" w:cs="Calibri"/>
          <w:color w:val="000000" w:themeColor="text1"/>
          <w:lang w:val="en-GB"/>
        </w:rPr>
        <w:t>(Figure 2).</w:t>
      </w:r>
      <w:r w:rsidR="00715820">
        <w:rPr>
          <w:rFonts w:ascii="Calibri" w:eastAsia="Calibri" w:hAnsi="Calibri" w:cs="Calibri"/>
          <w:color w:val="000000" w:themeColor="text1"/>
          <w:lang w:val="en-GB"/>
        </w:rPr>
        <w:t xml:space="preserve"> </w:t>
      </w:r>
    </w:p>
    <w:p w14:paraId="5F77C460" w14:textId="77777777" w:rsidR="00E96420" w:rsidRDefault="00E96420" w:rsidP="00FE0667">
      <w:pPr>
        <w:spacing w:line="360" w:lineRule="auto"/>
        <w:jc w:val="both"/>
        <w:rPr>
          <w:lang w:val="en-GB"/>
        </w:rPr>
      </w:pPr>
    </w:p>
    <w:tbl>
      <w:tblPr>
        <w:tblStyle w:val="TableGrid"/>
        <w:tblW w:w="0" w:type="auto"/>
        <w:tblLook w:val="04A0" w:firstRow="1" w:lastRow="0" w:firstColumn="1" w:lastColumn="0" w:noHBand="0" w:noVBand="1"/>
      </w:tblPr>
      <w:tblGrid>
        <w:gridCol w:w="9016"/>
      </w:tblGrid>
      <w:tr w:rsidR="00801E57" w14:paraId="615470D9" w14:textId="77777777" w:rsidTr="00801E57">
        <w:tc>
          <w:tcPr>
            <w:tcW w:w="9016" w:type="dxa"/>
          </w:tcPr>
          <w:p w14:paraId="6185B3ED" w14:textId="47AFD060" w:rsidR="00801E57" w:rsidRDefault="00801E57" w:rsidP="00FE0667">
            <w:pPr>
              <w:spacing w:line="360" w:lineRule="auto"/>
              <w:jc w:val="both"/>
              <w:rPr>
                <w:lang w:val="en-GB"/>
              </w:rPr>
            </w:pPr>
            <w:r>
              <w:rPr>
                <w:noProof/>
              </w:rPr>
              <w:drawing>
                <wp:inline distT="0" distB="0" distL="0" distR="0" wp14:anchorId="25A098C2" wp14:editId="3D665887">
                  <wp:extent cx="5562600" cy="2781300"/>
                  <wp:effectExtent l="0" t="0" r="0" b="0"/>
                  <wp:docPr id="16888286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70320" cy="2785160"/>
                          </a:xfrm>
                          <a:prstGeom prst="rect">
                            <a:avLst/>
                          </a:prstGeom>
                          <a:noFill/>
                          <a:ln>
                            <a:noFill/>
                          </a:ln>
                        </pic:spPr>
                      </pic:pic>
                    </a:graphicData>
                  </a:graphic>
                </wp:inline>
              </w:drawing>
            </w:r>
          </w:p>
        </w:tc>
      </w:tr>
      <w:tr w:rsidR="00801E57" w14:paraId="0C68C1EE" w14:textId="77777777" w:rsidTr="00801E57">
        <w:tc>
          <w:tcPr>
            <w:tcW w:w="9016" w:type="dxa"/>
          </w:tcPr>
          <w:p w14:paraId="7F7A284B" w14:textId="064E9CEB" w:rsidR="00801E57" w:rsidRDefault="00801E57" w:rsidP="00FE0667">
            <w:pPr>
              <w:spacing w:line="360" w:lineRule="auto"/>
              <w:jc w:val="both"/>
              <w:rPr>
                <w:lang w:val="en-GB"/>
              </w:rPr>
            </w:pPr>
            <w:r>
              <w:rPr>
                <w:lang w:val="en-GB"/>
              </w:rPr>
              <w:t xml:space="preserve">Figure 2. </w:t>
            </w:r>
            <w:r w:rsidR="00630C41">
              <w:rPr>
                <w:lang w:val="en-GB"/>
              </w:rPr>
              <w:t>Shift in direction of effect of concordant and discordant PRSs from individuals without prior MACE in UK Biobank to</w:t>
            </w:r>
            <w:r w:rsidR="00346E03">
              <w:rPr>
                <w:lang w:val="en-GB"/>
              </w:rPr>
              <w:t xml:space="preserve"> individuals of</w:t>
            </w:r>
            <w:r w:rsidR="00630C41">
              <w:rPr>
                <w:lang w:val="en-GB"/>
              </w:rPr>
              <w:t xml:space="preserve"> </w:t>
            </w:r>
            <w:r w:rsidR="00346E03">
              <w:rPr>
                <w:lang w:val="en-GB"/>
              </w:rPr>
              <w:t xml:space="preserve">Latin American ancestry in ORIGIN, who had the highest </w:t>
            </w:r>
            <w:r w:rsidR="001C0C1D">
              <w:rPr>
                <w:lang w:val="en-GB"/>
              </w:rPr>
              <w:t>prior MACE rates.</w:t>
            </w:r>
          </w:p>
        </w:tc>
      </w:tr>
    </w:tbl>
    <w:p w14:paraId="5328F42B" w14:textId="77777777" w:rsidR="00801E57" w:rsidRDefault="00801E57" w:rsidP="00FE0667">
      <w:pPr>
        <w:spacing w:line="360" w:lineRule="auto"/>
        <w:jc w:val="both"/>
        <w:rPr>
          <w:lang w:val="en-GB"/>
        </w:rPr>
      </w:pPr>
    </w:p>
    <w:p w14:paraId="1D6C9A3D" w14:textId="77777777" w:rsidR="00E96420" w:rsidRPr="005A005B" w:rsidRDefault="00E96420" w:rsidP="00FE0667">
      <w:pPr>
        <w:spacing w:line="360" w:lineRule="auto"/>
        <w:jc w:val="both"/>
        <w:rPr>
          <w:lang w:val="en-GB"/>
        </w:rPr>
      </w:pPr>
    </w:p>
    <w:sectPr w:rsidR="00E96420" w:rsidRPr="005A00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0D6ABF"/>
    <w:multiLevelType w:val="hybridMultilevel"/>
    <w:tmpl w:val="0DACFC62"/>
    <w:lvl w:ilvl="0" w:tplc="A83C75F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5E357A4"/>
    <w:multiLevelType w:val="hybridMultilevel"/>
    <w:tmpl w:val="E3302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92F52F6"/>
    <w:multiLevelType w:val="hybridMultilevel"/>
    <w:tmpl w:val="FC5885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0802122">
    <w:abstractNumId w:val="0"/>
  </w:num>
  <w:num w:numId="2" w16cid:durableId="1152058370">
    <w:abstractNumId w:val="2"/>
  </w:num>
  <w:num w:numId="3" w16cid:durableId="16792322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05B"/>
    <w:rsid w:val="00030921"/>
    <w:rsid w:val="00043D33"/>
    <w:rsid w:val="000464D4"/>
    <w:rsid w:val="00047B78"/>
    <w:rsid w:val="00066683"/>
    <w:rsid w:val="000774E6"/>
    <w:rsid w:val="00082F88"/>
    <w:rsid w:val="00090691"/>
    <w:rsid w:val="00091031"/>
    <w:rsid w:val="000F75A9"/>
    <w:rsid w:val="00120F32"/>
    <w:rsid w:val="00133EE2"/>
    <w:rsid w:val="00134B92"/>
    <w:rsid w:val="00142999"/>
    <w:rsid w:val="00162251"/>
    <w:rsid w:val="00171A6E"/>
    <w:rsid w:val="00191316"/>
    <w:rsid w:val="001A351F"/>
    <w:rsid w:val="001B3CF6"/>
    <w:rsid w:val="001C0C1D"/>
    <w:rsid w:val="001C1C88"/>
    <w:rsid w:val="001C7703"/>
    <w:rsid w:val="001D5F35"/>
    <w:rsid w:val="001F7215"/>
    <w:rsid w:val="00202715"/>
    <w:rsid w:val="00215E28"/>
    <w:rsid w:val="00224709"/>
    <w:rsid w:val="00224E19"/>
    <w:rsid w:val="00255041"/>
    <w:rsid w:val="002600F4"/>
    <w:rsid w:val="00265AC5"/>
    <w:rsid w:val="00281A6B"/>
    <w:rsid w:val="00285CE8"/>
    <w:rsid w:val="0029039E"/>
    <w:rsid w:val="002C3B6F"/>
    <w:rsid w:val="002D06C5"/>
    <w:rsid w:val="002E2168"/>
    <w:rsid w:val="003270E3"/>
    <w:rsid w:val="00346E03"/>
    <w:rsid w:val="00371B40"/>
    <w:rsid w:val="003C319E"/>
    <w:rsid w:val="003D158F"/>
    <w:rsid w:val="003D16E1"/>
    <w:rsid w:val="0040724F"/>
    <w:rsid w:val="0047195E"/>
    <w:rsid w:val="00473DE9"/>
    <w:rsid w:val="00475919"/>
    <w:rsid w:val="0049260E"/>
    <w:rsid w:val="00496F13"/>
    <w:rsid w:val="004F63EE"/>
    <w:rsid w:val="0050021F"/>
    <w:rsid w:val="00535A70"/>
    <w:rsid w:val="00541121"/>
    <w:rsid w:val="00570B1C"/>
    <w:rsid w:val="00582B96"/>
    <w:rsid w:val="005A005B"/>
    <w:rsid w:val="005B62FE"/>
    <w:rsid w:val="00606610"/>
    <w:rsid w:val="00624E57"/>
    <w:rsid w:val="00630C41"/>
    <w:rsid w:val="0067492D"/>
    <w:rsid w:val="006E1346"/>
    <w:rsid w:val="006E349E"/>
    <w:rsid w:val="006F7DAB"/>
    <w:rsid w:val="00700DB7"/>
    <w:rsid w:val="00715820"/>
    <w:rsid w:val="00734965"/>
    <w:rsid w:val="00741FB9"/>
    <w:rsid w:val="00757BD6"/>
    <w:rsid w:val="00766BBB"/>
    <w:rsid w:val="007711A2"/>
    <w:rsid w:val="00793200"/>
    <w:rsid w:val="007B3040"/>
    <w:rsid w:val="007C16F3"/>
    <w:rsid w:val="007C3770"/>
    <w:rsid w:val="007C3AF0"/>
    <w:rsid w:val="007C7857"/>
    <w:rsid w:val="00801E57"/>
    <w:rsid w:val="008065E5"/>
    <w:rsid w:val="0080747F"/>
    <w:rsid w:val="00807892"/>
    <w:rsid w:val="008222C2"/>
    <w:rsid w:val="00822905"/>
    <w:rsid w:val="0084397F"/>
    <w:rsid w:val="00864281"/>
    <w:rsid w:val="00871899"/>
    <w:rsid w:val="00871BD8"/>
    <w:rsid w:val="00893332"/>
    <w:rsid w:val="008936CC"/>
    <w:rsid w:val="008B5690"/>
    <w:rsid w:val="008C738E"/>
    <w:rsid w:val="008D5832"/>
    <w:rsid w:val="008F2E36"/>
    <w:rsid w:val="008F733D"/>
    <w:rsid w:val="009375F6"/>
    <w:rsid w:val="009419FE"/>
    <w:rsid w:val="00943427"/>
    <w:rsid w:val="00946586"/>
    <w:rsid w:val="00974AE2"/>
    <w:rsid w:val="009A0C2D"/>
    <w:rsid w:val="009A60BA"/>
    <w:rsid w:val="009C50A6"/>
    <w:rsid w:val="00A2215C"/>
    <w:rsid w:val="00A36EE8"/>
    <w:rsid w:val="00A52065"/>
    <w:rsid w:val="00A554EF"/>
    <w:rsid w:val="00A7052F"/>
    <w:rsid w:val="00A87F11"/>
    <w:rsid w:val="00AD09FC"/>
    <w:rsid w:val="00AD7969"/>
    <w:rsid w:val="00AF3881"/>
    <w:rsid w:val="00B162C7"/>
    <w:rsid w:val="00B17745"/>
    <w:rsid w:val="00B242F3"/>
    <w:rsid w:val="00B3001D"/>
    <w:rsid w:val="00B6047C"/>
    <w:rsid w:val="00B70BBE"/>
    <w:rsid w:val="00BD1F13"/>
    <w:rsid w:val="00BE6B5E"/>
    <w:rsid w:val="00C26043"/>
    <w:rsid w:val="00C629E3"/>
    <w:rsid w:val="00C959CB"/>
    <w:rsid w:val="00CB7795"/>
    <w:rsid w:val="00D3385F"/>
    <w:rsid w:val="00D41A6C"/>
    <w:rsid w:val="00D429F9"/>
    <w:rsid w:val="00D9064E"/>
    <w:rsid w:val="00D94767"/>
    <w:rsid w:val="00D979B8"/>
    <w:rsid w:val="00DD1E4B"/>
    <w:rsid w:val="00DD3DBA"/>
    <w:rsid w:val="00DF1BB9"/>
    <w:rsid w:val="00E16229"/>
    <w:rsid w:val="00E42F94"/>
    <w:rsid w:val="00E96420"/>
    <w:rsid w:val="00EA3E36"/>
    <w:rsid w:val="00EA534E"/>
    <w:rsid w:val="00EC72C7"/>
    <w:rsid w:val="00ED3247"/>
    <w:rsid w:val="00EE348F"/>
    <w:rsid w:val="00EF2F62"/>
    <w:rsid w:val="00F062A7"/>
    <w:rsid w:val="00F13923"/>
    <w:rsid w:val="00F16E74"/>
    <w:rsid w:val="00F209A0"/>
    <w:rsid w:val="00F2796A"/>
    <w:rsid w:val="00F41A1B"/>
    <w:rsid w:val="00F62CCB"/>
    <w:rsid w:val="00F9417B"/>
    <w:rsid w:val="00FA38A8"/>
    <w:rsid w:val="00FC7161"/>
    <w:rsid w:val="00FE0667"/>
    <w:rsid w:val="00FF47D8"/>
    <w:rsid w:val="014E0336"/>
    <w:rsid w:val="2B920D7E"/>
    <w:rsid w:val="3D13B6F4"/>
    <w:rsid w:val="451B7CCB"/>
    <w:rsid w:val="5169FB93"/>
    <w:rsid w:val="548C04C2"/>
    <w:rsid w:val="76A9C9E7"/>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9CC42"/>
  <w15:chartTrackingRefBased/>
  <w15:docId w15:val="{D2015A1D-063C-BA4D-A807-B6586DCC2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4AE2"/>
    <w:pPr>
      <w:ind w:left="720"/>
      <w:contextualSpacing/>
    </w:pPr>
  </w:style>
  <w:style w:type="table" w:styleId="TableGrid">
    <w:name w:val="Table Grid"/>
    <w:basedOn w:val="TableNormal"/>
    <w:uiPriority w:val="39"/>
    <w:rsid w:val="00EA3E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79355">
      <w:bodyDiv w:val="1"/>
      <w:marLeft w:val="0"/>
      <w:marRight w:val="0"/>
      <w:marTop w:val="0"/>
      <w:marBottom w:val="0"/>
      <w:divBdr>
        <w:top w:val="none" w:sz="0" w:space="0" w:color="auto"/>
        <w:left w:val="none" w:sz="0" w:space="0" w:color="auto"/>
        <w:bottom w:val="none" w:sz="0" w:space="0" w:color="auto"/>
        <w:right w:val="none" w:sz="0" w:space="0" w:color="auto"/>
      </w:divBdr>
    </w:div>
    <w:div w:id="176774573">
      <w:bodyDiv w:val="1"/>
      <w:marLeft w:val="0"/>
      <w:marRight w:val="0"/>
      <w:marTop w:val="0"/>
      <w:marBottom w:val="0"/>
      <w:divBdr>
        <w:top w:val="none" w:sz="0" w:space="0" w:color="auto"/>
        <w:left w:val="none" w:sz="0" w:space="0" w:color="auto"/>
        <w:bottom w:val="none" w:sz="0" w:space="0" w:color="auto"/>
        <w:right w:val="none" w:sz="0" w:space="0" w:color="auto"/>
      </w:divBdr>
    </w:div>
    <w:div w:id="871191602">
      <w:bodyDiv w:val="1"/>
      <w:marLeft w:val="0"/>
      <w:marRight w:val="0"/>
      <w:marTop w:val="0"/>
      <w:marBottom w:val="0"/>
      <w:divBdr>
        <w:top w:val="none" w:sz="0" w:space="0" w:color="auto"/>
        <w:left w:val="none" w:sz="0" w:space="0" w:color="auto"/>
        <w:bottom w:val="none" w:sz="0" w:space="0" w:color="auto"/>
        <w:right w:val="none" w:sz="0" w:space="0" w:color="auto"/>
      </w:divBdr>
    </w:div>
    <w:div w:id="1365911875">
      <w:bodyDiv w:val="1"/>
      <w:marLeft w:val="0"/>
      <w:marRight w:val="0"/>
      <w:marTop w:val="0"/>
      <w:marBottom w:val="0"/>
      <w:divBdr>
        <w:top w:val="none" w:sz="0" w:space="0" w:color="auto"/>
        <w:left w:val="none" w:sz="0" w:space="0" w:color="auto"/>
        <w:bottom w:val="none" w:sz="0" w:space="0" w:color="auto"/>
        <w:right w:val="none" w:sz="0" w:space="0" w:color="auto"/>
      </w:divBdr>
    </w:div>
    <w:div w:id="1938168566">
      <w:bodyDiv w:val="1"/>
      <w:marLeft w:val="0"/>
      <w:marRight w:val="0"/>
      <w:marTop w:val="0"/>
      <w:marBottom w:val="0"/>
      <w:divBdr>
        <w:top w:val="none" w:sz="0" w:space="0" w:color="auto"/>
        <w:left w:val="none" w:sz="0" w:space="0" w:color="auto"/>
        <w:bottom w:val="none" w:sz="0" w:space="0" w:color="auto"/>
        <w:right w:val="none" w:sz="0" w:space="0" w:color="auto"/>
      </w:divBdr>
    </w:div>
    <w:div w:id="1997147082">
      <w:bodyDiv w:val="1"/>
      <w:marLeft w:val="0"/>
      <w:marRight w:val="0"/>
      <w:marTop w:val="0"/>
      <w:marBottom w:val="0"/>
      <w:divBdr>
        <w:top w:val="none" w:sz="0" w:space="0" w:color="auto"/>
        <w:left w:val="none" w:sz="0" w:space="0" w:color="auto"/>
        <w:bottom w:val="none" w:sz="0" w:space="0" w:color="auto"/>
        <w:right w:val="none" w:sz="0" w:space="0" w:color="auto"/>
      </w:divBdr>
    </w:div>
    <w:div w:id="201198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792</Words>
  <Characters>4517</Characters>
  <Application>Microsoft Office Word</Application>
  <DocSecurity>0</DocSecurity>
  <Lines>37</Lines>
  <Paragraphs>10</Paragraphs>
  <ScaleCrop>false</ScaleCrop>
  <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Coral</dc:creator>
  <cp:keywords/>
  <dc:description/>
  <cp:lastModifiedBy>Daniel Coral</cp:lastModifiedBy>
  <cp:revision>49</cp:revision>
  <dcterms:created xsi:type="dcterms:W3CDTF">2023-09-05T09:42:00Z</dcterms:created>
  <dcterms:modified xsi:type="dcterms:W3CDTF">2023-10-04T11:48:00Z</dcterms:modified>
</cp:coreProperties>
</file>