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Supporting information Figure 3</w:t>
      </w:r>
      <w:r>
        <w:rPr>
          <w:rFonts w:ascii="Arial" w:eastAsia="Arial" w:hAnsi="Arial" w:cs="Arial"/>
          <w:b/>
        </w:rPr>
        <w:t xml:space="preserve">: R, S and D allelic frequencies estimated in Yamoussoukro and </w:t>
      </w:r>
      <w:proofErr w:type="spellStart"/>
      <w:r>
        <w:rPr>
          <w:rFonts w:ascii="Arial" w:eastAsia="Arial" w:hAnsi="Arial" w:cs="Arial"/>
          <w:b/>
        </w:rPr>
        <w:t>Yopougon</w:t>
      </w:r>
      <w:proofErr w:type="spellEnd"/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</w:rPr>
        <w:t xml:space="preserve"> </w:t>
      </w:r>
    </w:p>
    <w:p w:rsidR="00970087" w:rsidRDefault="00000000">
      <w:pPr>
        <w:jc w:val="both"/>
      </w:pPr>
      <w:r>
        <w:rPr>
          <w:rFonts w:ascii="Arial" w:eastAsia="Arial" w:hAnsi="Arial" w:cs="Arial"/>
        </w:rPr>
        <w:t xml:space="preserve">Data from </w:t>
      </w:r>
      <w:proofErr w:type="spellStart"/>
      <w:r>
        <w:rPr>
          <w:rFonts w:ascii="Arial" w:eastAsia="Arial" w:hAnsi="Arial" w:cs="Arial"/>
        </w:rPr>
        <w:t>Assogba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</w:rPr>
        <w:t xml:space="preserve">et al. </w:t>
      </w:r>
      <w:r>
        <w:rPr>
          <w:rFonts w:ascii="Arial" w:eastAsia="Arial" w:hAnsi="Arial" w:cs="Arial"/>
        </w:rPr>
        <w:t xml:space="preserve">2018 (years 2012 to 2016), and from 2019 (this study) were used. We estimated the allelic frequencies considering a 3-allele model (all D alleles are considered together, Tab. 1 Model A) through a maximum likelihood approach (see also </w:t>
      </w:r>
      <w:r>
        <w:rPr>
          <w:rFonts w:ascii="Arial" w:eastAsia="Arial" w:hAnsi="Arial" w:cs="Arial"/>
          <w:i/>
        </w:rPr>
        <w:t xml:space="preserve">Estimation of duplicated genotype frequencies </w:t>
      </w:r>
      <w:r>
        <w:rPr>
          <w:rFonts w:ascii="Arial" w:eastAsia="Arial" w:hAnsi="Arial" w:cs="Arial"/>
        </w:rPr>
        <w:t>in Materials); they are shown in stacked plots with bars corresponding to upper and lower support limits (≈95% confidence intervals).</w:t>
      </w:r>
    </w:p>
    <w:p w:rsidR="00970087" w:rsidRDefault="00970087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970087" w:rsidRDefault="00000000">
      <w:pPr>
        <w:spacing w:line="360" w:lineRule="auto"/>
        <w:jc w:val="center"/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731510" cy="2984500"/>
            <wp:effectExtent l="0" t="0" r="0" b="0"/>
            <wp:docPr id="1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70087" w:rsidRDefault="00970087">
      <w:pPr>
        <w:jc w:val="both"/>
        <w:rPr>
          <w:rFonts w:ascii="Arial" w:eastAsia="Arial" w:hAnsi="Arial" w:cs="Arial"/>
        </w:rPr>
      </w:pPr>
    </w:p>
    <w:sectPr w:rsidR="00970087">
      <w:headerReference w:type="default" r:id="rId7"/>
      <w:pgSz w:w="11906" w:h="16838"/>
      <w:pgMar w:top="1440" w:right="850" w:bottom="720" w:left="85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7E81" w:rsidRDefault="00F37E81">
      <w:r>
        <w:separator/>
      </w:r>
    </w:p>
  </w:endnote>
  <w:endnote w:type="continuationSeparator" w:id="0">
    <w:p w:rsidR="00F37E81" w:rsidRDefault="00F3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7E81" w:rsidRDefault="00F37E81">
      <w:r>
        <w:separator/>
      </w:r>
    </w:p>
  </w:footnote>
  <w:footnote w:type="continuationSeparator" w:id="0">
    <w:p w:rsidR="00F37E81" w:rsidRDefault="00F3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087" w:rsidRDefault="0097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A3827"/>
    <w:rsid w:val="001323BE"/>
    <w:rsid w:val="001D1BFF"/>
    <w:rsid w:val="00291803"/>
    <w:rsid w:val="002B1918"/>
    <w:rsid w:val="002F7E21"/>
    <w:rsid w:val="00415099"/>
    <w:rsid w:val="00545A17"/>
    <w:rsid w:val="00874D7F"/>
    <w:rsid w:val="008B5B95"/>
    <w:rsid w:val="00955C36"/>
    <w:rsid w:val="00970087"/>
    <w:rsid w:val="00B853FB"/>
    <w:rsid w:val="00C00D3F"/>
    <w:rsid w:val="00D528A4"/>
    <w:rsid w:val="00E47E1D"/>
    <w:rsid w:val="00EC6C57"/>
    <w:rsid w:val="00F24227"/>
    <w:rsid w:val="00F3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3</cp:revision>
  <dcterms:created xsi:type="dcterms:W3CDTF">2023-10-20T09:59:00Z</dcterms:created>
  <dcterms:modified xsi:type="dcterms:W3CDTF">2023-10-20T09:59:00Z</dcterms:modified>
</cp:coreProperties>
</file>