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Supplementary Material</w:t>
      </w: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The prognostic and immune significance of KIF3C in pan-cancer and its relationship with malignant progression of gastric cancer</w:t>
      </w:r>
    </w:p>
    <w:p>
      <w:pPr>
        <w:jc w:val="left"/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</w:pPr>
    </w:p>
    <w:p>
      <w:pPr>
        <w:jc w:val="left"/>
        <w:rPr>
          <w:rFonts w:hint="eastAsia" w:ascii="Arial" w:hAnsi="Arial" w:cs="Arial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Qiangqiang Zhong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en-US"/>
        </w:rPr>
        <w:t>1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, Menpei Zhu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, Yumei Huang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, Ziwen Wang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, Wenbo Hong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,Jiali Cao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Zhifan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 xml:space="preserve"> Xiong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vertAlign w:val="baseline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Lina Xiong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*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</w:p>
    <w:p>
      <w:pPr>
        <w:jc w:val="left"/>
        <w:rPr>
          <w:rFonts w:hint="default" w:ascii="Times New Roman" w:hAnsi="Times New Roman" w:cs="Times New Roman"/>
          <w:b w:val="0"/>
          <w:bCs w:val="0"/>
        </w:rPr>
      </w:pPr>
    </w:p>
    <w:p>
      <w:pPr>
        <w:pStyle w:val="2"/>
        <w:numPr>
          <w:ilvl w:val="0"/>
          <w:numId w:val="3"/>
        </w:numPr>
        <w:spacing w:after="120"/>
        <w:ind w:leftChars="0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sz w:val="24"/>
          <w:szCs w:val="24"/>
        </w:rPr>
        <w:t>Supplementary Table</w:t>
      </w:r>
    </w:p>
    <w:p>
      <w:pPr>
        <w:jc w:val="left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</w:rPr>
        <w:t>Primer sequences of genes in the risk model used for qPCR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.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0"/>
        <w:gridCol w:w="539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bottom w:val="single" w:color="auto" w:sz="4" w:space="0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name</w:t>
            </w:r>
          </w:p>
        </w:tc>
        <w:tc>
          <w:tcPr>
            <w:tcW w:w="5392" w:type="dxa"/>
            <w:tcBorders>
              <w:bottom w:val="single" w:color="auto" w:sz="4" w:space="0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primer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KIF3C</w:t>
            </w:r>
          </w:p>
        </w:tc>
        <w:tc>
          <w:tcPr>
            <w:tcW w:w="539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 xml:space="preserve">Forward: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ACCTGCAGGAACAGAAGGAGC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Reverse: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GCATCTTCTCCTTCTCCTCCA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GAPDH</w:t>
            </w: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Forward: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TGACCTGCCGTCTAGAAAAACCT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Reverse: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GCTGTTGAAGTCAGAGGAGACCA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siRNA-KIF3C</w:t>
            </w: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1"/>
                <w:szCs w:val="21"/>
                <w:lang w:val="en-US" w:eastAsia="zh-CN"/>
              </w:rPr>
              <w:t>sense</w:t>
            </w:r>
            <w:r>
              <w:rPr>
                <w:rFonts w:hint="eastAsia"/>
                <w:vertAlign w:val="baseline"/>
              </w:rPr>
              <w:t xml:space="preserve">: </w:t>
            </w:r>
            <w:r>
              <w:rPr>
                <w:rFonts w:hint="default" w:ascii="Cambria" w:hAnsi="Cambria" w:eastAsia="微软雅黑" w:cs="Cambria"/>
                <w:b w:val="0"/>
                <w:bCs w:val="0"/>
                <w:sz w:val="21"/>
                <w:szCs w:val="21"/>
              </w:rPr>
              <w:t>GGCUAGAGCUGAAAGAGAATT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1"/>
                <w:szCs w:val="21"/>
                <w:lang w:val="en-US" w:eastAsia="zh-CN"/>
              </w:rPr>
              <w:t>antisense</w:t>
            </w:r>
            <w:r>
              <w:rPr>
                <w:rFonts w:hint="eastAsia"/>
                <w:vertAlign w:val="baseline"/>
              </w:rPr>
              <w:t>: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mbria" w:hAnsi="Cambria" w:eastAsia="微软雅黑" w:cs="Cambria"/>
                <w:b w:val="0"/>
                <w:bCs w:val="0"/>
                <w:sz w:val="21"/>
                <w:szCs w:val="21"/>
              </w:rPr>
              <w:t>UUCUCUUUCAGCUCUAGCCTT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1"/>
                <w:szCs w:val="21"/>
                <w:lang w:val="en-US" w:eastAsia="zh-CN"/>
              </w:rPr>
              <w:t>siRNA-NC</w:t>
            </w: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1"/>
                <w:szCs w:val="21"/>
                <w:lang w:val="en-US" w:eastAsia="zh-CN"/>
              </w:rPr>
              <w:t>sense</w:t>
            </w:r>
            <w:r>
              <w:rPr>
                <w:rFonts w:hint="eastAsia"/>
                <w:vertAlign w:val="baseline"/>
              </w:rPr>
              <w:t>: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mbria" w:hAnsi="Cambria" w:eastAsia="微软雅黑" w:cs="Cambria"/>
                <w:b w:val="0"/>
                <w:bCs w:val="0"/>
                <w:sz w:val="21"/>
                <w:szCs w:val="21"/>
              </w:rPr>
              <w:t>UUCUCCGAACGUGUCACGUTT</w:t>
            </w:r>
            <w:r>
              <w:rPr>
                <w:rFonts w:hint="eastAsia"/>
                <w:vertAlign w:val="baseline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cs="Calibri" w:eastAsia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1"/>
                <w:szCs w:val="21"/>
                <w:lang w:val="en-US" w:eastAsia="zh-CN"/>
              </w:rPr>
              <w:t>antisense</w:t>
            </w:r>
            <w:r>
              <w:rPr>
                <w:rFonts w:hint="eastAsia"/>
                <w:vertAlign w:val="baseline"/>
              </w:rPr>
              <w:t>: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mbria" w:hAnsi="Cambria" w:eastAsia="微软雅黑" w:cs="Cambria"/>
                <w:b w:val="0"/>
                <w:bCs w:val="0"/>
                <w:sz w:val="21"/>
                <w:szCs w:val="21"/>
              </w:rPr>
              <w:t>ACGUGACACGUUCGGAGAATT</w:t>
            </w:r>
          </w:p>
        </w:tc>
      </w:tr>
    </w:tbl>
    <w:p>
      <w:pPr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3"/>
        </w:numPr>
        <w:ind w:left="567" w:leftChars="0" w:hanging="567" w:firstLineChars="0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Supplementary Figures</w:t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Figure S1.</w:t>
      </w:r>
      <w:r>
        <w:rPr>
          <w:rFonts w:hint="eastAsia"/>
          <w:lang w:val="en-US" w:eastAsia="zh-CN"/>
        </w:rPr>
        <w:t xml:space="preserve"> The box plots of KIF3C expression levels in TCGA.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2405" cy="5183505"/>
            <wp:effectExtent l="0" t="0" r="635" b="13335"/>
            <wp:docPr id="4" name="图片 4" descr="S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1_画板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lang w:val="en-US" w:eastAsia="zh-CN"/>
        </w:rPr>
        <w:t>Figure S2.</w:t>
      </w:r>
      <w:r>
        <w:rPr>
          <w:rFonts w:hint="eastAsia"/>
          <w:lang w:val="en-US" w:eastAsia="zh-CN"/>
        </w:rPr>
        <w:t xml:space="preserve"> The box plots of KIF3C expression levels in TCGA and GTEx.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675" cy="5269230"/>
            <wp:effectExtent l="0" t="0" r="14605" b="3810"/>
            <wp:docPr id="5" name="图片 5" descr="S2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2_画板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Figure S3.</w:t>
      </w:r>
      <w:r>
        <w:rPr>
          <w:rFonts w:hint="eastAsia"/>
          <w:lang w:val="en-US" w:eastAsia="zh-CN"/>
        </w:rPr>
        <w:t xml:space="preserve"> The box plots of KIF3C expression levels in GEO.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5358130"/>
            <wp:effectExtent l="0" t="0" r="14605" b="6350"/>
            <wp:docPr id="1" name="图片 1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35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Figure S4.</w:t>
      </w:r>
      <w:r>
        <w:rPr>
          <w:rFonts w:hint="eastAsia"/>
          <w:lang w:val="en-US" w:eastAsia="zh-CN"/>
        </w:rPr>
        <w:t xml:space="preserve"> Association between KIF3C and pan-cancer ICI.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508115"/>
            <wp:effectExtent l="0" t="0" r="4445" b="14605"/>
            <wp:docPr id="2" name="图片 2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0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D4CE27"/>
    <w:multiLevelType w:val="singleLevel"/>
    <w:tmpl w:val="13D4CE2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hMGM2NDQxMmViYTFiZGU4MjExZjg2YTA1ZjNhZTEifQ=="/>
  </w:docVars>
  <w:rsids>
    <w:rsidRoot w:val="00000000"/>
    <w:rsid w:val="44181437"/>
    <w:rsid w:val="568572B3"/>
    <w:rsid w:val="5DD94A1F"/>
    <w:rsid w:val="61702626"/>
    <w:rsid w:val="7905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2023-10-10T12:59:00Z</dcterms:created>
  <dc:creator>zqq092011</dc:creator>
  <cp:lastModifiedBy>Drzq</cp:lastModifiedBy>
  <dcterms:modified xsi:type="dcterms:W3CDTF">2023-10-15T14:08:00Z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C5AF60A9BF134D51BEC4302EAFB4607E_12</vt:lpwstr>
  </property>
</Properties>
</file>