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679950" cy="1343025"/>
            <wp:effectExtent l="0" t="0" r="6350" b="3175"/>
            <wp:docPr id="27" name="图片 27" descr="论文0921_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论文0921_08(1)"/>
                    <pic:cNvPicPr>
                      <a:picLocks noChangeAspect="1"/>
                    </pic:cNvPicPr>
                  </pic:nvPicPr>
                  <pic:blipFill>
                    <a:blip r:embed="rId5"/>
                    <a:srcRect l="4074" t="13368" r="16018" b="7230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343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Fig.S1 The effects of HUA-induced by uricase knowout on food, water intake and survival of rats.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A</w:t>
      </w:r>
      <w:r>
        <w:rPr>
          <w:rFonts w:hint="default" w:ascii="Times New Roman" w:hAnsi="Times New Roman" w:cs="Times New Roman"/>
        </w:rPr>
        <w:t xml:space="preserve"> Food intake of 8 weeks old rats. </w:t>
      </w:r>
      <w:r>
        <w:rPr>
          <w:rFonts w:hint="default" w:ascii="Times New Roman" w:hAnsi="Times New Roman" w:cs="Times New Roman"/>
          <w:b/>
          <w:bCs/>
        </w:rPr>
        <w:t>B</w:t>
      </w:r>
      <w:r>
        <w:rPr>
          <w:rFonts w:hint="default" w:ascii="Times New Roman" w:hAnsi="Times New Roman" w:cs="Times New Roman"/>
        </w:rPr>
        <w:t xml:space="preserve"> Water intake of 8 weeks old rats. </w:t>
      </w:r>
      <w:r>
        <w:rPr>
          <w:rFonts w:hint="default" w:ascii="Times New Roman" w:hAnsi="Times New Roman" w:cs="Times New Roman"/>
          <w:b/>
          <w:bCs/>
        </w:rPr>
        <w:t>C</w:t>
      </w:r>
      <w:r>
        <w:rPr>
          <w:rFonts w:hint="default" w:ascii="Times New Roman" w:hAnsi="Times New Roman" w:cs="Times New Roman"/>
        </w:rPr>
        <w:t xml:space="preserve"> Survival of rats in a 24-week observation period. **</w:t>
      </w:r>
      <w:r>
        <w:rPr>
          <w:rFonts w:hint="default" w:ascii="Times New Roman" w:hAnsi="Times New Roman" w:cs="Times New Roman"/>
          <w:i/>
          <w:iCs/>
        </w:rPr>
        <w:t>p</w:t>
      </w:r>
      <w:r>
        <w:rPr>
          <w:rFonts w:hint="default" w:ascii="Times New Roman" w:hAnsi="Times New Roman" w:cs="Times New Roman"/>
        </w:rPr>
        <w:t xml:space="preserve">&lt;0.01.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679950" cy="1360170"/>
            <wp:effectExtent l="0" t="0" r="6350" b="11430"/>
            <wp:docPr id="38" name="图片 38" descr="论文0921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论文0921_09"/>
                    <pic:cNvPicPr>
                      <a:picLocks noChangeAspect="1"/>
                    </pic:cNvPicPr>
                  </pic:nvPicPr>
                  <pic:blipFill>
                    <a:blip r:embed="rId6"/>
                    <a:srcRect l="3158" t="20236" r="15403" b="6497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3601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Fig.S2 The effects of HUA on microbial richness and evenness of rats. A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ACE index</w:t>
      </w:r>
      <w:r>
        <w:rPr>
          <w:rFonts w:hint="default" w:ascii="Times New Roman" w:hAnsi="Times New Roman" w:cs="Times New Roman"/>
        </w:rPr>
        <w:t xml:space="preserve">. </w:t>
      </w:r>
      <w:r>
        <w:rPr>
          <w:rFonts w:hint="default" w:ascii="Times New Roman" w:hAnsi="Times New Roman" w:cs="Times New Roman"/>
          <w:b/>
          <w:bCs/>
        </w:rPr>
        <w:t>B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Shannon index</w:t>
      </w:r>
      <w:r>
        <w:rPr>
          <w:rFonts w:hint="default" w:ascii="Times New Roman" w:hAnsi="Times New Roman" w:cs="Times New Roman"/>
        </w:rPr>
        <w:t xml:space="preserve">. </w:t>
      </w:r>
      <w:r>
        <w:rPr>
          <w:rFonts w:hint="default" w:ascii="Times New Roman" w:hAnsi="Times New Roman" w:cs="Times New Roman"/>
          <w:b/>
          <w:bCs/>
        </w:rPr>
        <w:t>C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Chao1 index</w:t>
      </w:r>
      <w:r>
        <w:rPr>
          <w:rFonts w:hint="default" w:ascii="Times New Roman" w:hAnsi="Times New Roman" w:cs="Times New Roma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599815" cy="2682875"/>
            <wp:effectExtent l="0" t="0" r="6985" b="9525"/>
            <wp:docPr id="40" name="图片 40" descr="OPLS-DA.Permutatio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OPLS-DA.Permutation_00"/>
                    <pic:cNvPicPr>
                      <a:picLocks noChangeAspect="1"/>
                    </pic:cNvPicPr>
                  </pic:nvPicPr>
                  <pic:blipFill>
                    <a:blip r:embed="rId7"/>
                    <a:srcRect b="59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82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Fig.S3 Random permutation test with 200 permutations to evaluate the robustness of the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</w:rPr>
        <w:t>OPLS-DA mode.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903345" cy="8336280"/>
            <wp:effectExtent l="0" t="0" r="0" b="7620"/>
            <wp:docPr id="2" name="图片 2" descr="MOD.vs.CTR.Mix.heatmap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OD.vs.CTR.Mix.heatmap_00"/>
                    <pic:cNvPicPr>
                      <a:picLocks noChangeAspect="1"/>
                    </pic:cNvPicPr>
                  </pic:nvPicPr>
                  <pic:blipFill>
                    <a:blip r:embed="rId8"/>
                    <a:srcRect l="7125" r="-15228"/>
                    <a:stretch>
                      <a:fillRect/>
                    </a:stretch>
                  </pic:blipFill>
                  <pic:spPr>
                    <a:xfrm>
                      <a:off x="0" y="0"/>
                      <a:ext cx="3903345" cy="8336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Fig.S4 Differential metabolites in kidneys of rats between WT and UOX</w:t>
      </w:r>
      <w:r>
        <w:rPr>
          <w:rFonts w:hint="default" w:ascii="Times New Roman" w:hAnsi="Times New Roman" w:cs="Times New Roman"/>
          <w:b/>
          <w:bCs/>
          <w:vertAlign w:val="superscript"/>
        </w:rPr>
        <w:t xml:space="preserve">-/- </w:t>
      </w:r>
      <w:r>
        <w:rPr>
          <w:rFonts w:hint="default" w:ascii="Times New Roman" w:hAnsi="Times New Roman" w:cs="Times New Roman"/>
          <w:b/>
          <w:bCs/>
        </w:rPr>
        <w:t xml:space="preserve">group.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599815" cy="4067175"/>
            <wp:effectExtent l="0" t="0" r="6985" b="9525"/>
            <wp:docPr id="44" name="图片 44" descr="代谢物-生化相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代谢物-生化相关性"/>
                    <pic:cNvPicPr>
                      <a:picLocks noChangeAspect="1"/>
                    </pic:cNvPicPr>
                  </pic:nvPicPr>
                  <pic:blipFill>
                    <a:blip r:embed="rId9"/>
                    <a:srcRect b="91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4067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Fig.S5 Pearson correlation between several differential metabolites and renal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function</w:t>
      </w:r>
      <w:r>
        <w:rPr>
          <w:rFonts w:hint="default" w:ascii="Times New Roman" w:hAnsi="Times New Roman" w:cs="Times New Roman"/>
          <w:b/>
          <w:bCs/>
        </w:rPr>
        <w:t xml:space="preserve"> parameters.</w:t>
      </w:r>
      <w:r>
        <w:rPr>
          <w:rFonts w:hint="default" w:ascii="Times New Roman" w:hAnsi="Times New Roman" w:cs="Times New Roman"/>
        </w:rPr>
        <w:t xml:space="preserve"> The red color means positive correlation while the blue color shows a negative correlation. *</w:t>
      </w:r>
      <w:r>
        <w:rPr>
          <w:rFonts w:hint="default" w:ascii="Times New Roman" w:hAnsi="Times New Roman" w:cs="Times New Roman"/>
          <w:i/>
          <w:iCs/>
        </w:rPr>
        <w:t>p</w:t>
      </w:r>
      <w:r>
        <w:rPr>
          <w:rFonts w:hint="default" w:ascii="Times New Roman" w:hAnsi="Times New Roman" w:cs="Times New Roman"/>
        </w:rPr>
        <w:t>&lt;0.05; **</w:t>
      </w:r>
      <w:r>
        <w:rPr>
          <w:rFonts w:hint="default" w:ascii="Times New Roman" w:hAnsi="Times New Roman" w:cs="Times New Roman"/>
          <w:i/>
          <w:iCs/>
        </w:rPr>
        <w:t>p</w:t>
      </w:r>
      <w:r>
        <w:rPr>
          <w:rFonts w:hint="default" w:ascii="Times New Roman" w:hAnsi="Times New Roman" w:cs="Times New Roman"/>
        </w:rPr>
        <w:t>&lt;0.01.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4679950" cy="2976245"/>
            <wp:effectExtent l="0" t="0" r="6350" b="8255"/>
            <wp:docPr id="5" name="图片 5" descr="论文0921_09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论文0921_09(3)"/>
                    <pic:cNvPicPr>
                      <a:picLocks noChangeAspect="1"/>
                    </pic:cNvPicPr>
                  </pic:nvPicPr>
                  <pic:blipFill>
                    <a:blip r:embed="rId10"/>
                    <a:srcRect l="12642" t="6808" r="19005" b="6602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Fig.S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</w:rPr>
        <w:t xml:space="preserve">orrelation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network among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microbes,</w:t>
      </w:r>
      <w:r>
        <w:rPr>
          <w:rFonts w:hint="default" w:ascii="Times New Roman" w:hAnsi="Times New Roman" w:cs="Times New Roman"/>
          <w:b/>
          <w:bCs/>
        </w:rPr>
        <w:t xml:space="preserve"> metabolites and renal injury parameters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(Pearson coefficient &gt;0.5 and </w:t>
      </w:r>
      <w:r>
        <w:rPr>
          <w:rFonts w:hint="default" w:ascii="Times New Roman" w:hAnsi="Times New Roman" w:cs="Times New Roman"/>
          <w:b/>
          <w:bCs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&lt;0.05)</w:t>
      </w:r>
      <w:r>
        <w:rPr>
          <w:rFonts w:hint="default" w:ascii="Times New Roman" w:hAnsi="Times New Roman" w:cs="Times New Roman"/>
          <w:b/>
          <w:bCs/>
        </w:rPr>
        <w:t>.</w:t>
      </w:r>
      <w:r>
        <w:rPr>
          <w:rFonts w:hint="default" w:ascii="Times New Roman" w:hAnsi="Times New Roman" w:cs="Times New Roman"/>
        </w:rPr>
        <w:t xml:space="preserve"> The red color means positive correlation while the blue color shows a negative correlation.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MGI3OThkYmRiZGE1MTg3Mzg1MzEzMTUzNWM3MGEifQ=="/>
  </w:docVars>
  <w:rsids>
    <w:rsidRoot w:val="69370180"/>
    <w:rsid w:val="17675E6E"/>
    <w:rsid w:val="6937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2023-10-19T10:01:00Z</dcterms:created>
  <dc:creator>shadow宏</dc:creator>
  <cp:lastModifiedBy>shadow宏</cp:lastModifiedBy>
  <dcterms:modified xsi:type="dcterms:W3CDTF">2023-10-19T10:43:14Z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D9D9CDEE64AC4206B5D62C2E193E1951_11</vt:lpwstr>
  </property>
</Properties>
</file>