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line="360" w:lineRule="auto"/>
        <w:jc w:val="center"/>
        <w:rPr>
          <w:i w:val="1"/>
          <w:sz w:val="24"/>
          <w:szCs w:val="24"/>
        </w:rPr>
      </w:pPr>
      <w:bookmarkStart w:colFirst="0" w:colLast="0" w:name="_17dp8vu" w:id="0"/>
      <w:bookmarkEnd w:id="0"/>
      <w:r w:rsidDel="00000000" w:rsidR="00000000" w:rsidRPr="00000000">
        <w:rPr>
          <w:rtl w:val="0"/>
        </w:rPr>
        <w:t xml:space="preserve">Supplementary Material</w:t>
      </w:r>
      <w:r w:rsidDel="00000000" w:rsidR="00000000" w:rsidRPr="00000000">
        <w:rPr>
          <w:rtl w:val="0"/>
        </w:rPr>
      </w:r>
    </w:p>
    <w:p w:rsidR="00000000" w:rsidDel="00000000" w:rsidP="00000000" w:rsidRDefault="00000000" w:rsidRPr="00000000" w14:paraId="00000002">
      <w:pPr>
        <w:spacing w:line="360" w:lineRule="auto"/>
        <w:rPr>
          <w:i w:val="1"/>
          <w:sz w:val="24"/>
          <w:szCs w:val="24"/>
        </w:rPr>
      </w:pPr>
      <w:r w:rsidDel="00000000" w:rsidR="00000000" w:rsidRPr="00000000">
        <w:rPr>
          <w:i w:val="1"/>
          <w:sz w:val="24"/>
          <w:szCs w:val="24"/>
        </w:rPr>
        <w:drawing>
          <wp:inline distB="114300" distT="114300" distL="114300" distR="114300">
            <wp:extent cx="5195888" cy="3330697"/>
            <wp:effectExtent b="0" l="0" r="0" t="0"/>
            <wp:docPr id="4"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195888" cy="3330697"/>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line="360" w:lineRule="auto"/>
        <w:rPr>
          <w:i w:val="1"/>
          <w:sz w:val="24"/>
          <w:szCs w:val="24"/>
        </w:rPr>
      </w:pPr>
      <w:r w:rsidDel="00000000" w:rsidR="00000000" w:rsidRPr="00000000">
        <w:rPr>
          <w:i w:val="1"/>
          <w:sz w:val="24"/>
          <w:szCs w:val="24"/>
          <w:rtl w:val="0"/>
        </w:rPr>
        <w:t xml:space="preserve">Figure 1: </w:t>
      </w:r>
      <w:r w:rsidDel="00000000" w:rsidR="00000000" w:rsidRPr="00000000">
        <w:rPr>
          <w:sz w:val="24"/>
          <w:szCs w:val="24"/>
          <w:rtl w:val="0"/>
        </w:rPr>
        <w:t xml:space="preserve">Difference between the air-sea CO₂ fluxes in E1 (based on SOCATv2022 including Seaexplorer data) and the air-sea CO₂ fluxes in E2 (based on SOCATv2022 excluding Seaexplorer data)</w:t>
      </w:r>
      <w:r w:rsidDel="00000000" w:rsidR="00000000" w:rsidRPr="00000000">
        <w:rPr>
          <w:i w:val="1"/>
          <w:sz w:val="24"/>
          <w:szCs w:val="24"/>
          <w:rtl w:val="0"/>
        </w:rPr>
        <w:t xml:space="preserve"> </w:t>
      </w:r>
      <w:r w:rsidDel="00000000" w:rsidR="00000000" w:rsidRPr="00000000">
        <w:rPr>
          <w:sz w:val="24"/>
          <w:szCs w:val="24"/>
          <w:rtl w:val="0"/>
        </w:rPr>
        <w:t xml:space="preserve">averaged over 2018 - 2021</w:t>
      </w:r>
      <w:r w:rsidDel="00000000" w:rsidR="00000000" w:rsidRPr="00000000">
        <w:rPr>
          <w:i w:val="1"/>
          <w:sz w:val="24"/>
          <w:szCs w:val="24"/>
          <w:rtl w:val="0"/>
        </w:rPr>
        <w:t xml:space="preserve">. Hatching indicates significant differences.</w:t>
      </w:r>
      <w:r w:rsidDel="00000000" w:rsidR="00000000" w:rsidRPr="00000000">
        <w:rPr>
          <w:sz w:val="24"/>
          <w:szCs w:val="24"/>
          <w:rtl w:val="0"/>
        </w:rPr>
        <w:t xml:space="preserve"> </w:t>
      </w:r>
      <w:r w:rsidDel="00000000" w:rsidR="00000000" w:rsidRPr="00000000">
        <w:rPr>
          <w:i w:val="1"/>
          <w:sz w:val="24"/>
          <w:szCs w:val="24"/>
          <w:rtl w:val="0"/>
        </w:rPr>
        <w:t xml:space="preserve">Blue indicates reduced carbon uptake due to the addition of Seaexplorer data, red indicates increased carbon uptake due to the addition of Seaexplorer data. Black lines in a-c) represent sailboat tracks from 2018 - 2021.</w:t>
      </w:r>
    </w:p>
    <w:p w:rsidR="00000000" w:rsidDel="00000000" w:rsidP="00000000" w:rsidRDefault="00000000" w:rsidRPr="00000000" w14:paraId="00000004">
      <w:pPr>
        <w:spacing w:line="360" w:lineRule="auto"/>
        <w:jc w:val="center"/>
        <w:rPr>
          <w:i w:val="1"/>
          <w:strike w:val="1"/>
          <w:color w:val="ff0000"/>
          <w:sz w:val="24"/>
          <w:szCs w:val="24"/>
        </w:rPr>
      </w:pPr>
      <w:r w:rsidDel="00000000" w:rsidR="00000000" w:rsidRPr="00000000">
        <w:rPr>
          <w:rtl w:val="0"/>
        </w:rPr>
      </w:r>
    </w:p>
    <w:p w:rsidR="00000000" w:rsidDel="00000000" w:rsidP="00000000" w:rsidRDefault="00000000" w:rsidRPr="00000000" w14:paraId="00000005">
      <w:pPr>
        <w:spacing w:line="360" w:lineRule="auto"/>
        <w:jc w:val="center"/>
        <w:rPr>
          <w:i w:val="1"/>
          <w:sz w:val="24"/>
          <w:szCs w:val="24"/>
        </w:rPr>
      </w:pPr>
      <w:r w:rsidDel="00000000" w:rsidR="00000000" w:rsidRPr="00000000">
        <w:rPr>
          <w:i w:val="1"/>
          <w:sz w:val="24"/>
          <w:szCs w:val="24"/>
        </w:rPr>
        <w:drawing>
          <wp:inline distB="114300" distT="114300" distL="114300" distR="114300">
            <wp:extent cx="4972050" cy="2960769"/>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972050" cy="2960769"/>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line="360" w:lineRule="auto"/>
        <w:jc w:val="both"/>
        <w:rPr>
          <w:i w:val="1"/>
          <w:sz w:val="24"/>
          <w:szCs w:val="24"/>
        </w:rPr>
      </w:pPr>
      <w:r w:rsidDel="00000000" w:rsidR="00000000" w:rsidRPr="00000000">
        <w:rPr>
          <w:i w:val="1"/>
          <w:sz w:val="24"/>
          <w:szCs w:val="24"/>
          <w:rtl w:val="0"/>
        </w:rPr>
        <w:t xml:space="preserve">Figure 2: Histogram of the absolute magnitude of significant differences between the air-sea CO</w:t>
      </w:r>
      <w:r w:rsidDel="00000000" w:rsidR="00000000" w:rsidRPr="00000000">
        <w:rPr>
          <w:i w:val="1"/>
          <w:sz w:val="24"/>
          <w:szCs w:val="24"/>
          <w:vertAlign w:val="subscript"/>
          <w:rtl w:val="0"/>
        </w:rPr>
        <w:t xml:space="preserve">2</w:t>
      </w:r>
      <w:r w:rsidDel="00000000" w:rsidR="00000000" w:rsidRPr="00000000">
        <w:rPr>
          <w:i w:val="1"/>
          <w:sz w:val="24"/>
          <w:szCs w:val="24"/>
          <w:rtl w:val="0"/>
        </w:rPr>
        <w:t xml:space="preserve"> flux E1 (based on SOCATv2022 including Seaexplorer data) and the air-sea CO</w:t>
      </w:r>
      <w:r w:rsidDel="00000000" w:rsidR="00000000" w:rsidRPr="00000000">
        <w:rPr>
          <w:i w:val="1"/>
          <w:sz w:val="24"/>
          <w:szCs w:val="24"/>
          <w:vertAlign w:val="subscript"/>
          <w:rtl w:val="0"/>
        </w:rPr>
        <w:t xml:space="preserve">2</w:t>
      </w:r>
      <w:r w:rsidDel="00000000" w:rsidR="00000000" w:rsidRPr="00000000">
        <w:rPr>
          <w:i w:val="1"/>
          <w:sz w:val="24"/>
          <w:szCs w:val="24"/>
          <w:rtl w:val="0"/>
        </w:rPr>
        <w:t xml:space="preserve"> flux E2 (based on SOCATv2022 excluding Seaexplorer data) in the Southern Ocean and the North Atlantic.</w:t>
      </w:r>
    </w:p>
    <w:p w:rsidR="00000000" w:rsidDel="00000000" w:rsidP="00000000" w:rsidRDefault="00000000" w:rsidRPr="00000000" w14:paraId="00000007">
      <w:pPr>
        <w:spacing w:line="360" w:lineRule="auto"/>
        <w:jc w:val="both"/>
        <w:rPr>
          <w:i w:val="1"/>
          <w:sz w:val="24"/>
          <w:szCs w:val="24"/>
        </w:rPr>
      </w:pPr>
      <w:r w:rsidDel="00000000" w:rsidR="00000000" w:rsidRPr="00000000">
        <w:rPr>
          <w:rtl w:val="0"/>
        </w:rPr>
      </w:r>
    </w:p>
    <w:p w:rsidR="00000000" w:rsidDel="00000000" w:rsidP="00000000" w:rsidRDefault="00000000" w:rsidRPr="00000000" w14:paraId="00000008">
      <w:pPr>
        <w:spacing w:line="360" w:lineRule="auto"/>
        <w:jc w:val="center"/>
        <w:rPr>
          <w:i w:val="1"/>
          <w:sz w:val="24"/>
          <w:szCs w:val="24"/>
        </w:rPr>
      </w:pPr>
      <w:r w:rsidDel="00000000" w:rsidR="00000000" w:rsidRPr="00000000">
        <w:rPr>
          <w:i w:val="1"/>
          <w:sz w:val="24"/>
          <w:szCs w:val="24"/>
        </w:rPr>
        <w:drawing>
          <wp:inline distB="114300" distT="114300" distL="114300" distR="114300">
            <wp:extent cx="5788479" cy="3376613"/>
            <wp:effectExtent b="0" l="0" r="0" 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88479" cy="3376613"/>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line="360" w:lineRule="auto"/>
        <w:jc w:val="center"/>
        <w:rPr>
          <w:i w:val="1"/>
          <w:sz w:val="24"/>
          <w:szCs w:val="24"/>
        </w:rPr>
      </w:pPr>
      <w:r w:rsidDel="00000000" w:rsidR="00000000" w:rsidRPr="00000000">
        <w:rPr>
          <w:rtl w:val="0"/>
        </w:rPr>
      </w:r>
    </w:p>
    <w:p w:rsidR="00000000" w:rsidDel="00000000" w:rsidP="00000000" w:rsidRDefault="00000000" w:rsidRPr="00000000" w14:paraId="0000000A">
      <w:pPr>
        <w:spacing w:line="360" w:lineRule="auto"/>
        <w:rPr>
          <w:i w:val="1"/>
          <w:sz w:val="24"/>
          <w:szCs w:val="24"/>
        </w:rPr>
      </w:pPr>
      <w:r w:rsidDel="00000000" w:rsidR="00000000" w:rsidRPr="00000000">
        <w:rPr>
          <w:i w:val="1"/>
          <w:sz w:val="24"/>
          <w:szCs w:val="24"/>
          <w:rtl w:val="0"/>
        </w:rPr>
        <w:t xml:space="preserve">Figure 3: Time series of the magnitude of significant differences between the air-sea CO₂ fluxes E1 and E2 (including and excluding sailboat pCO₂ data) based on the ensemble size of flux reconstructions. Changes in the magnitude of significant differences decrease with an increasing number of flux reconstructions as the random uncertainty is less well constrained.</w:t>
      </w:r>
    </w:p>
    <w:p w:rsidR="00000000" w:rsidDel="00000000" w:rsidP="00000000" w:rsidRDefault="00000000" w:rsidRPr="00000000" w14:paraId="0000000B">
      <w:pPr>
        <w:spacing w:line="360" w:lineRule="auto"/>
        <w:rPr>
          <w:i w:val="1"/>
          <w:sz w:val="24"/>
          <w:szCs w:val="24"/>
        </w:rPr>
      </w:pPr>
      <w:r w:rsidDel="00000000" w:rsidR="00000000" w:rsidRPr="00000000">
        <w:rPr>
          <w:rtl w:val="0"/>
        </w:rPr>
      </w:r>
    </w:p>
    <w:p w:rsidR="00000000" w:rsidDel="00000000" w:rsidP="00000000" w:rsidRDefault="00000000" w:rsidRPr="00000000" w14:paraId="0000000C">
      <w:pPr>
        <w:spacing w:line="360" w:lineRule="auto"/>
        <w:rPr>
          <w:i w:val="1"/>
          <w:sz w:val="24"/>
          <w:szCs w:val="24"/>
        </w:rPr>
      </w:pPr>
      <w:r w:rsidDel="00000000" w:rsidR="00000000" w:rsidRPr="00000000">
        <w:rPr>
          <w:rtl w:val="0"/>
        </w:rPr>
      </w:r>
    </w:p>
    <w:p w:rsidR="00000000" w:rsidDel="00000000" w:rsidP="00000000" w:rsidRDefault="00000000" w:rsidRPr="00000000" w14:paraId="0000000D">
      <w:pPr>
        <w:spacing w:line="360" w:lineRule="auto"/>
        <w:rPr>
          <w:i w:val="1"/>
          <w:sz w:val="24"/>
          <w:szCs w:val="24"/>
        </w:rPr>
      </w:pPr>
      <w:r w:rsidDel="00000000" w:rsidR="00000000" w:rsidRPr="00000000">
        <w:rPr>
          <w:i w:val="1"/>
          <w:sz w:val="24"/>
          <w:szCs w:val="24"/>
          <w:rtl w:val="0"/>
        </w:rPr>
        <w:t xml:space="preserve">Tab. 1: Integrated flux bias in Pg C yr⁻¹ in 2021</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rPr>
                <w:sz w:val="24"/>
                <w:szCs w:val="24"/>
              </w:rPr>
            </w:pPr>
            <w:r w:rsidDel="00000000" w:rsidR="00000000" w:rsidRPr="00000000">
              <w:rPr>
                <w:sz w:val="24"/>
                <w:szCs w:val="24"/>
                <w:rtl w:val="0"/>
              </w:rPr>
              <w:t xml:space="preserve">Due to missing Seaexplorer data </w:t>
            </w:r>
          </w:p>
          <w:p w:rsidR="00000000" w:rsidDel="00000000" w:rsidP="00000000" w:rsidRDefault="00000000" w:rsidRPr="00000000" w14:paraId="00000010">
            <w:pPr>
              <w:widowControl w:val="0"/>
              <w:spacing w:line="240" w:lineRule="auto"/>
              <w:rPr>
                <w:sz w:val="24"/>
                <w:szCs w:val="24"/>
              </w:rPr>
            </w:pPr>
            <w:r w:rsidDel="00000000" w:rsidR="00000000" w:rsidRPr="00000000">
              <w:rPr>
                <w:sz w:val="24"/>
                <w:szCs w:val="24"/>
                <w:rtl w:val="0"/>
              </w:rPr>
              <w:t xml:space="preserve">(comparison E1 and 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sz w:val="24"/>
                <w:szCs w:val="24"/>
              </w:rPr>
            </w:pPr>
            <w:r w:rsidDel="00000000" w:rsidR="00000000" w:rsidRPr="00000000">
              <w:rPr>
                <w:sz w:val="24"/>
                <w:szCs w:val="24"/>
                <w:rtl w:val="0"/>
              </w:rPr>
              <w:t xml:space="preserve">Due to random measurement uncertainty</w:t>
            </w:r>
          </w:p>
          <w:p w:rsidR="00000000" w:rsidDel="00000000" w:rsidP="00000000" w:rsidRDefault="00000000" w:rsidRPr="00000000" w14:paraId="00000012">
            <w:pPr>
              <w:widowControl w:val="0"/>
              <w:spacing w:line="240" w:lineRule="auto"/>
              <w:rPr>
                <w:sz w:val="24"/>
                <w:szCs w:val="24"/>
              </w:rPr>
            </w:pPr>
            <w:r w:rsidDel="00000000" w:rsidR="00000000" w:rsidRPr="00000000">
              <w:rPr>
                <w:sz w:val="24"/>
                <w:szCs w:val="24"/>
                <w:rtl w:val="0"/>
              </w:rPr>
              <w:t xml:space="preserve">(comparison E1 and E3)</w:t>
            </w:r>
          </w:p>
          <w:p w:rsidR="00000000" w:rsidDel="00000000" w:rsidP="00000000" w:rsidRDefault="00000000" w:rsidRPr="00000000" w14:paraId="00000013">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sz w:val="24"/>
                <w:szCs w:val="24"/>
              </w:rPr>
            </w:pPr>
            <w:r w:rsidDel="00000000" w:rsidR="00000000" w:rsidRPr="00000000">
              <w:rPr>
                <w:sz w:val="24"/>
                <w:szCs w:val="24"/>
                <w:rtl w:val="0"/>
              </w:rPr>
              <w:t xml:space="preserve">Due to fixed measurement bias</w:t>
            </w:r>
          </w:p>
          <w:p w:rsidR="00000000" w:rsidDel="00000000" w:rsidP="00000000" w:rsidRDefault="00000000" w:rsidRPr="00000000" w14:paraId="00000015">
            <w:pPr>
              <w:widowControl w:val="0"/>
              <w:spacing w:line="240" w:lineRule="auto"/>
              <w:rPr>
                <w:sz w:val="24"/>
                <w:szCs w:val="24"/>
              </w:rPr>
            </w:pPr>
            <w:r w:rsidDel="00000000" w:rsidR="00000000" w:rsidRPr="00000000">
              <w:rPr>
                <w:sz w:val="24"/>
                <w:szCs w:val="24"/>
                <w:rtl w:val="0"/>
              </w:rPr>
              <w:t xml:space="preserve">(comparison E1 and E4)</w:t>
            </w:r>
          </w:p>
          <w:p w:rsidR="00000000" w:rsidDel="00000000" w:rsidP="00000000" w:rsidRDefault="00000000" w:rsidRPr="00000000" w14:paraId="00000016">
            <w:pPr>
              <w:widowControl w:val="0"/>
              <w:spacing w:line="240" w:lineRule="auto"/>
              <w:rPr>
                <w:sz w:val="24"/>
                <w:szCs w:val="24"/>
              </w:rPr>
            </w:pPr>
            <w:r w:rsidDel="00000000" w:rsidR="00000000" w:rsidRPr="00000000">
              <w:rPr>
                <w:rtl w:val="0"/>
              </w:rPr>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sz w:val="24"/>
                <w:szCs w:val="24"/>
              </w:rPr>
            </w:pPr>
            <w:r w:rsidDel="00000000" w:rsidR="00000000" w:rsidRPr="00000000">
              <w:rPr>
                <w:sz w:val="24"/>
                <w:szCs w:val="24"/>
                <w:rtl w:val="0"/>
              </w:rPr>
              <w:t xml:space="preserve">Global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sz w:val="24"/>
                <w:szCs w:val="24"/>
              </w:rPr>
            </w:pPr>
            <w:r w:rsidDel="00000000" w:rsidR="00000000" w:rsidRPr="00000000">
              <w:rPr>
                <w:sz w:val="24"/>
                <w:szCs w:val="24"/>
                <w:rtl w:val="0"/>
              </w:rPr>
              <w:t xml:space="preserve">- 0.04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sz w:val="24"/>
                <w:szCs w:val="24"/>
              </w:rPr>
            </w:pPr>
            <w:r w:rsidDel="00000000" w:rsidR="00000000" w:rsidRPr="00000000">
              <w:rPr>
                <w:sz w:val="24"/>
                <w:szCs w:val="24"/>
                <w:rtl w:val="0"/>
              </w:rPr>
              <w:t xml:space="preserve">- 0.01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rPr>
                <w:sz w:val="24"/>
                <w:szCs w:val="24"/>
              </w:rPr>
            </w:pPr>
            <w:r w:rsidDel="00000000" w:rsidR="00000000" w:rsidRPr="00000000">
              <w:rPr>
                <w:sz w:val="24"/>
                <w:szCs w:val="24"/>
                <w:rtl w:val="0"/>
              </w:rPr>
              <w:t xml:space="preserve">0.06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sz w:val="24"/>
                <w:szCs w:val="24"/>
              </w:rPr>
            </w:pPr>
            <w:r w:rsidDel="00000000" w:rsidR="00000000" w:rsidRPr="00000000">
              <w:rPr>
                <w:sz w:val="24"/>
                <w:szCs w:val="24"/>
                <w:rtl w:val="0"/>
              </w:rPr>
              <w:t xml:space="preserve">North Atlantic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sz w:val="24"/>
                <w:szCs w:val="24"/>
              </w:rPr>
            </w:pPr>
            <w:r w:rsidDel="00000000" w:rsidR="00000000" w:rsidRPr="00000000">
              <w:rPr>
                <w:sz w:val="24"/>
                <w:szCs w:val="24"/>
                <w:rtl w:val="0"/>
              </w:rPr>
              <w:t xml:space="preserve">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sz w:val="24"/>
                <w:szCs w:val="24"/>
              </w:rPr>
            </w:pPr>
            <w:r w:rsidDel="00000000" w:rsidR="00000000" w:rsidRPr="00000000">
              <w:rPr>
                <w:sz w:val="24"/>
                <w:szCs w:val="24"/>
                <w:rtl w:val="0"/>
              </w:rPr>
              <w:t xml:space="preserve">- 0.00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rPr>
                <w:sz w:val="24"/>
                <w:szCs w:val="24"/>
              </w:rPr>
            </w:pPr>
            <w:r w:rsidDel="00000000" w:rsidR="00000000" w:rsidRPr="00000000">
              <w:rPr>
                <w:sz w:val="24"/>
                <w:szCs w:val="24"/>
                <w:rtl w:val="0"/>
              </w:rPr>
              <w:t xml:space="preserve">0.01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sz w:val="24"/>
                <w:szCs w:val="24"/>
              </w:rPr>
            </w:pPr>
            <w:r w:rsidDel="00000000" w:rsidR="00000000" w:rsidRPr="00000000">
              <w:rPr>
                <w:sz w:val="24"/>
                <w:szCs w:val="24"/>
                <w:rtl w:val="0"/>
              </w:rPr>
              <w:t xml:space="preserve">Southern Ocean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sz w:val="24"/>
                <w:szCs w:val="24"/>
              </w:rPr>
            </w:pPr>
            <w:r w:rsidDel="00000000" w:rsidR="00000000" w:rsidRPr="00000000">
              <w:rPr>
                <w:sz w:val="24"/>
                <w:szCs w:val="24"/>
                <w:rtl w:val="0"/>
              </w:rPr>
              <w:t xml:space="preserve">- 0.05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sz w:val="24"/>
                <w:szCs w:val="24"/>
              </w:rPr>
            </w:pPr>
            <w:r w:rsidDel="00000000" w:rsidR="00000000" w:rsidRPr="00000000">
              <w:rPr>
                <w:sz w:val="24"/>
                <w:szCs w:val="24"/>
                <w:rtl w:val="0"/>
              </w:rPr>
              <w:t xml:space="preserve">- 0.02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rPr>
                <w:sz w:val="24"/>
                <w:szCs w:val="24"/>
              </w:rPr>
            </w:pPr>
            <w:r w:rsidDel="00000000" w:rsidR="00000000" w:rsidRPr="00000000">
              <w:rPr>
                <w:sz w:val="24"/>
                <w:szCs w:val="24"/>
                <w:rtl w:val="0"/>
              </w:rPr>
              <w:t xml:space="preserve">0.03</w:t>
            </w:r>
          </w:p>
        </w:tc>
      </w:tr>
    </w:tbl>
    <w:p w:rsidR="00000000" w:rsidDel="00000000" w:rsidP="00000000" w:rsidRDefault="00000000" w:rsidRPr="00000000" w14:paraId="00000023">
      <w:pPr>
        <w:spacing w:line="360" w:lineRule="auto"/>
        <w:rPr/>
      </w:pPr>
      <w:r w:rsidDel="00000000" w:rsidR="00000000" w:rsidRPr="00000000">
        <w:rPr>
          <w:rtl w:val="0"/>
        </w:rPr>
      </w:r>
    </w:p>
    <w:p w:rsidR="00000000" w:rsidDel="00000000" w:rsidP="00000000" w:rsidRDefault="00000000" w:rsidRPr="00000000" w14:paraId="00000024">
      <w:pPr>
        <w:spacing w:line="360" w:lineRule="auto"/>
        <w:jc w:val="center"/>
        <w:rPr>
          <w:color w:val="0000ff"/>
        </w:rPr>
      </w:pPr>
      <w:r w:rsidDel="00000000" w:rsidR="00000000" w:rsidRPr="00000000">
        <w:rPr>
          <w:color w:val="0000ff"/>
        </w:rPr>
        <w:drawing>
          <wp:inline distB="114300" distT="114300" distL="114300" distR="114300">
            <wp:extent cx="4610100" cy="3170069"/>
            <wp:effectExtent b="0" l="0" r="0" t="0"/>
            <wp:docPr id="2"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4610100" cy="3170069"/>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spacing w:line="360" w:lineRule="auto"/>
        <w:rPr/>
      </w:pPr>
      <w:r w:rsidDel="00000000" w:rsidR="00000000" w:rsidRPr="00000000">
        <w:rPr>
          <w:i w:val="1"/>
          <w:sz w:val="24"/>
          <w:szCs w:val="24"/>
          <w:rtl w:val="0"/>
        </w:rPr>
        <w:t xml:space="preserve">Figure 4: Temporal development of signal and noise. </w:t>
      </w:r>
      <w:r w:rsidDel="00000000" w:rsidR="00000000" w:rsidRPr="00000000">
        <w:rPr>
          <w:rtl w:val="0"/>
        </w:rPr>
      </w:r>
    </w:p>
    <w:sectPr>
      <w:pgSz w:h="15840" w:w="12240" w:orient="portrait"/>
      <w:pgMar w:bottom="1440" w:top="1440" w:left="1440" w:right="1440" w:header="720" w:footer="720"/>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