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28E990" w14:textId="77777777" w:rsidR="00E13141" w:rsidRPr="002937B7" w:rsidRDefault="00E13141" w:rsidP="00E13141">
      <w:pPr>
        <w:rPr>
          <w:rFonts w:ascii="Times New Roman" w:hAnsi="Times New Roman" w:cs="Times New Roman"/>
          <w:b/>
          <w:bCs/>
          <w:sz w:val="28"/>
          <w:szCs w:val="28"/>
          <w:lang w:val="en-AU"/>
        </w:rPr>
      </w:pPr>
      <w:r w:rsidRPr="002937B7">
        <w:rPr>
          <w:rFonts w:ascii="Times New Roman" w:hAnsi="Times New Roman" w:cs="Times New Roman"/>
          <w:b/>
          <w:bCs/>
          <w:sz w:val="28"/>
          <w:szCs w:val="28"/>
          <w:lang w:val="en-AU"/>
        </w:rPr>
        <w:t>Supplementary information</w:t>
      </w:r>
    </w:p>
    <w:p w14:paraId="50950643" w14:textId="77777777" w:rsidR="00E13141" w:rsidRDefault="00E13141" w:rsidP="00E13141">
      <w:pPr>
        <w:rPr>
          <w:rFonts w:ascii="Arial" w:hAnsi="Arial" w:cs="Arial"/>
          <w:sz w:val="20"/>
          <w:szCs w:val="20"/>
          <w:lang w:val="en-AU"/>
        </w:rPr>
      </w:pPr>
    </w:p>
    <w:p w14:paraId="001E2717" w14:textId="77777777" w:rsidR="00E13141" w:rsidRPr="00270EEB" w:rsidRDefault="00E13141" w:rsidP="00E13141">
      <w:pPr>
        <w:pStyle w:val="SMHeading"/>
        <w:rPr>
          <w:b w:val="0"/>
          <w:bCs w:val="0"/>
          <w:color w:val="000000" w:themeColor="text1"/>
          <w:sz w:val="21"/>
          <w:szCs w:val="21"/>
        </w:rPr>
      </w:pPr>
      <w:r w:rsidRPr="00270EEB">
        <w:rPr>
          <w:color w:val="000000" w:themeColor="text1"/>
          <w:sz w:val="21"/>
          <w:szCs w:val="21"/>
        </w:rPr>
        <w:t xml:space="preserve">Fig. S1. </w:t>
      </w:r>
      <w:r w:rsidRPr="00270EEB">
        <w:rPr>
          <w:b w:val="0"/>
          <w:bCs w:val="0"/>
          <w:color w:val="000000" w:themeColor="text1"/>
          <w:sz w:val="21"/>
          <w:szCs w:val="21"/>
          <w:lang w:val="en-AU"/>
        </w:rPr>
        <w:t xml:space="preserve">HadCM3 </w:t>
      </w:r>
      <w:r w:rsidRPr="00270EEB">
        <w:rPr>
          <w:b w:val="0"/>
          <w:bCs w:val="0"/>
          <w:noProof/>
          <w:color w:val="000000" w:themeColor="text1"/>
          <w:sz w:val="21"/>
          <w:szCs w:val="21"/>
          <w:lang w:val="en-AU"/>
        </w:rPr>
        <w:t>(Krapp</w:t>
      </w:r>
      <w:r w:rsidRPr="00270EEB">
        <w:rPr>
          <w:b w:val="0"/>
          <w:bCs w:val="0"/>
          <w:i/>
          <w:noProof/>
          <w:color w:val="000000" w:themeColor="text1"/>
          <w:sz w:val="21"/>
          <w:szCs w:val="21"/>
          <w:lang w:val="en-AU"/>
        </w:rPr>
        <w:t xml:space="preserve"> et al.</w:t>
      </w:r>
      <w:r w:rsidRPr="00270EEB">
        <w:rPr>
          <w:b w:val="0"/>
          <w:bCs w:val="0"/>
          <w:noProof/>
          <w:color w:val="000000" w:themeColor="text1"/>
          <w:sz w:val="21"/>
          <w:szCs w:val="21"/>
          <w:lang w:val="en-AU"/>
        </w:rPr>
        <w:t xml:space="preserve"> 2021)</w:t>
      </w:r>
      <w:r w:rsidRPr="00270EEB">
        <w:rPr>
          <w:b w:val="0"/>
          <w:bCs w:val="0"/>
          <w:color w:val="000000" w:themeColor="text1"/>
          <w:sz w:val="21"/>
          <w:szCs w:val="21"/>
          <w:lang w:val="en-AU"/>
        </w:rPr>
        <w:t xml:space="preserve"> hindcasts of anomalies of net primary production (NPP; green), temperature (red), and precipitation (blue) for Cyprus, with the CRIWM-estimated human arrival window shown in vertical grey, the Bølling-Allerød interstadial (B-O; light pink shading), the Younger Dryas (light blue shading), and the early Holocene (brown shading).</w:t>
      </w:r>
      <w:r w:rsidRPr="00270EEB">
        <w:rPr>
          <w:b w:val="0"/>
          <w:bCs w:val="0"/>
          <w:color w:val="000000" w:themeColor="text1"/>
          <w:sz w:val="21"/>
          <w:szCs w:val="21"/>
        </w:rPr>
        <w:t xml:space="preserve">Type or paste legend here. </w:t>
      </w:r>
    </w:p>
    <w:p w14:paraId="1FCE3C4E" w14:textId="77777777" w:rsidR="00E13141" w:rsidRDefault="00E13141" w:rsidP="00E13141">
      <w:pPr>
        <w:pStyle w:val="SMHeading"/>
        <w:rPr>
          <w:rFonts w:ascii="Arial" w:hAnsi="Arial" w:cs="Arial"/>
          <w:b w:val="0"/>
          <w:bCs w:val="0"/>
          <w:sz w:val="20"/>
          <w:szCs w:val="20"/>
        </w:rPr>
        <w:sectPr w:rsidR="00E13141" w:rsidSect="00ED100A">
          <w:headerReference w:type="default" r:id="rId4"/>
          <w:footerReference w:type="default" r:id="rId5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BC78F4">
        <w:rPr>
          <w:rFonts w:ascii="Arial" w:hAnsi="Arial" w:cs="Arial"/>
          <w:b w:val="0"/>
          <w:noProof/>
          <w:sz w:val="20"/>
          <w:szCs w:val="20"/>
          <w:lang w:val="en-AU"/>
        </w:rPr>
        <w:drawing>
          <wp:inline distT="0" distB="0" distL="0" distR="0" wp14:anchorId="76DDAFE0" wp14:editId="31B11C43">
            <wp:extent cx="5486400" cy="2669540"/>
            <wp:effectExtent l="0" t="0" r="0" b="0"/>
            <wp:docPr id="1194872127" name="Picture 3" descr="A graph showing the growth of the number of ye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872127" name="Picture 3" descr="A graph showing the growth of the number of years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6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C307D" w14:textId="77777777" w:rsidR="00E13141" w:rsidRPr="00270EEB" w:rsidRDefault="00E13141" w:rsidP="00E13141">
      <w:pPr>
        <w:pStyle w:val="SMHeading"/>
        <w:spacing w:after="0"/>
        <w:rPr>
          <w:b w:val="0"/>
          <w:bCs w:val="0"/>
          <w:color w:val="000000" w:themeColor="text1"/>
          <w:sz w:val="21"/>
          <w:szCs w:val="21"/>
        </w:rPr>
      </w:pPr>
      <w:r w:rsidRPr="00270EEB">
        <w:rPr>
          <w:color w:val="000000" w:themeColor="text1"/>
          <w:sz w:val="21"/>
          <w:szCs w:val="21"/>
        </w:rPr>
        <w:lastRenderedPageBreak/>
        <w:t>Fig. S2.</w:t>
      </w:r>
      <w:r w:rsidRPr="00270EEB">
        <w:rPr>
          <w:b w:val="0"/>
          <w:bCs w:val="0"/>
          <w:color w:val="000000" w:themeColor="text1"/>
          <w:sz w:val="21"/>
          <w:szCs w:val="21"/>
        </w:rPr>
        <w:t xml:space="preserve"> Hindcasted net primary production (green scale) from the HadCM3 global circulation model </w:t>
      </w:r>
      <w:r w:rsidRPr="00270EEB">
        <w:rPr>
          <w:b w:val="0"/>
          <w:bCs w:val="0"/>
          <w:noProof/>
          <w:color w:val="000000" w:themeColor="text1"/>
          <w:sz w:val="21"/>
          <w:szCs w:val="21"/>
        </w:rPr>
        <w:t>(Krapp</w:t>
      </w:r>
      <w:r w:rsidRPr="00270EEB">
        <w:rPr>
          <w:b w:val="0"/>
          <w:bCs w:val="0"/>
          <w:i/>
          <w:noProof/>
          <w:color w:val="000000" w:themeColor="text1"/>
          <w:sz w:val="21"/>
          <w:szCs w:val="21"/>
        </w:rPr>
        <w:t xml:space="preserve"> et al.</w:t>
      </w:r>
      <w:r w:rsidRPr="00270EEB">
        <w:rPr>
          <w:b w:val="0"/>
          <w:bCs w:val="0"/>
          <w:noProof/>
          <w:color w:val="000000" w:themeColor="text1"/>
          <w:sz w:val="21"/>
          <w:szCs w:val="21"/>
        </w:rPr>
        <w:t xml:space="preserve"> 2021)</w:t>
      </w:r>
      <w:r w:rsidRPr="00270EEB">
        <w:rPr>
          <w:b w:val="0"/>
          <w:bCs w:val="0"/>
          <w:color w:val="000000" w:themeColor="text1"/>
          <w:sz w:val="21"/>
          <w:szCs w:val="21"/>
        </w:rPr>
        <w:t xml:space="preserve"> at 14 ka for the Eastern Mediterranean-Middle East (resolution 0.5º × 0.5º latitude/longitude). The model predicts a net primary production of the cells covering Cyprus ranging from 181–223 g C m</w:t>
      </w:r>
      <w:r w:rsidRPr="00270EEB">
        <w:rPr>
          <w:b w:val="0"/>
          <w:bCs w:val="0"/>
          <w:color w:val="000000" w:themeColor="text1"/>
          <w:sz w:val="21"/>
          <w:szCs w:val="21"/>
          <w:vertAlign w:val="superscript"/>
        </w:rPr>
        <w:t>-2</w:t>
      </w:r>
      <w:r w:rsidRPr="00270EEB">
        <w:rPr>
          <w:b w:val="0"/>
          <w:bCs w:val="0"/>
          <w:color w:val="000000" w:themeColor="text1"/>
          <w:sz w:val="21"/>
          <w:szCs w:val="21"/>
        </w:rPr>
        <w:t xml:space="preserve"> year</w:t>
      </w:r>
      <w:r w:rsidRPr="00270EEB">
        <w:rPr>
          <w:b w:val="0"/>
          <w:bCs w:val="0"/>
          <w:color w:val="000000" w:themeColor="text1"/>
          <w:sz w:val="21"/>
          <w:szCs w:val="21"/>
          <w:vertAlign w:val="superscript"/>
        </w:rPr>
        <w:t>-1</w:t>
      </w:r>
      <w:r w:rsidRPr="00270EEB">
        <w:rPr>
          <w:b w:val="0"/>
          <w:bCs w:val="0"/>
          <w:color w:val="000000" w:themeColor="text1"/>
          <w:sz w:val="21"/>
          <w:szCs w:val="21"/>
        </w:rPr>
        <w:t>, whereas other sites with dated archaeological material around 14 ka on the mainland (e.g., Karain and Öküzini Caves, Türkiye; Moghr El Ahwal Cave 3, Lebanon; Hayonim Terrace and Kebara Cave, Israel — Palmisano et al. 2022) have hindcasted net primary production ranging from 140 to 216 g C m</w:t>
      </w:r>
      <w:r w:rsidRPr="00270EEB">
        <w:rPr>
          <w:b w:val="0"/>
          <w:bCs w:val="0"/>
          <w:color w:val="000000" w:themeColor="text1"/>
          <w:sz w:val="21"/>
          <w:szCs w:val="21"/>
          <w:vertAlign w:val="superscript"/>
        </w:rPr>
        <w:t>-2</w:t>
      </w:r>
      <w:r w:rsidRPr="00270EEB">
        <w:rPr>
          <w:b w:val="0"/>
          <w:bCs w:val="0"/>
          <w:color w:val="000000" w:themeColor="text1"/>
          <w:sz w:val="21"/>
          <w:szCs w:val="21"/>
        </w:rPr>
        <w:t xml:space="preserve"> year</w:t>
      </w:r>
      <w:r w:rsidRPr="00270EEB">
        <w:rPr>
          <w:b w:val="0"/>
          <w:bCs w:val="0"/>
          <w:color w:val="000000" w:themeColor="text1"/>
          <w:sz w:val="21"/>
          <w:szCs w:val="21"/>
          <w:vertAlign w:val="superscript"/>
        </w:rPr>
        <w:t>-1</w:t>
      </w:r>
      <w:r w:rsidRPr="00270EEB">
        <w:rPr>
          <w:b w:val="0"/>
          <w:bCs w:val="0"/>
          <w:color w:val="000000" w:themeColor="text1"/>
          <w:sz w:val="21"/>
          <w:szCs w:val="21"/>
        </w:rPr>
        <w:t>. Background blue indicates relative bathymetry in the Mediterranean Sea.</w:t>
      </w:r>
    </w:p>
    <w:p w14:paraId="110CFD76" w14:textId="77777777" w:rsidR="00E13141" w:rsidRPr="00B36DAF" w:rsidRDefault="00E13141" w:rsidP="00E13141">
      <w:pPr>
        <w:pStyle w:val="SMHeading"/>
        <w:spacing w:before="0" w:after="0"/>
        <w:rPr>
          <w:rFonts w:ascii="Arial" w:hAnsi="Arial" w:cs="Arial"/>
          <w:b w:val="0"/>
          <w:bCs w:val="0"/>
          <w:sz w:val="20"/>
          <w:szCs w:val="20"/>
        </w:rPr>
      </w:pPr>
    </w:p>
    <w:p w14:paraId="3A64475F" w14:textId="77777777" w:rsidR="00E13141" w:rsidRDefault="00E13141" w:rsidP="00E13141">
      <w:pPr>
        <w:pStyle w:val="SMcaption"/>
        <w:rPr>
          <w:rFonts w:ascii="Arial" w:hAnsi="Arial" w:cs="Arial"/>
          <w:sz w:val="20"/>
        </w:rPr>
        <w:sectPr w:rsidR="00E13141" w:rsidSect="002937B7">
          <w:pgSz w:w="11906" w:h="16838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>
        <w:rPr>
          <w:noProof/>
          <w:szCs w:val="24"/>
        </w:rPr>
        <w:drawing>
          <wp:inline distT="114300" distB="114300" distL="114300" distR="114300" wp14:anchorId="729601CA" wp14:editId="7FCF9F36">
            <wp:extent cx="5486400" cy="3877945"/>
            <wp:effectExtent l="0" t="0" r="0" b="0"/>
            <wp:docPr id="11" name="image7.jpg" descr="A map of cyprus with blue water and black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jpg" descr="A map of cyprus with blue water and black text&#10;&#10;Description automatically generate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779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412E77F" w14:textId="77777777" w:rsidR="00E13141" w:rsidRPr="00270EEB" w:rsidRDefault="00E13141" w:rsidP="00E13141">
      <w:pPr>
        <w:pStyle w:val="SMcaption"/>
        <w:rPr>
          <w:sz w:val="21"/>
          <w:szCs w:val="21"/>
        </w:rPr>
      </w:pPr>
      <w:r w:rsidRPr="00270EEB">
        <w:rPr>
          <w:b/>
          <w:sz w:val="21"/>
          <w:szCs w:val="21"/>
        </w:rPr>
        <w:lastRenderedPageBreak/>
        <w:t>Fig. S3.</w:t>
      </w:r>
      <w:r w:rsidRPr="00270EEB">
        <w:rPr>
          <w:sz w:val="21"/>
          <w:szCs w:val="21"/>
        </w:rPr>
        <w:t xml:space="preserve"> Comparison of hindcasted temperature anomalies (ºC) derived from the HadCM3 </w:t>
      </w:r>
      <w:r w:rsidRPr="00270EEB">
        <w:rPr>
          <w:noProof/>
          <w:sz w:val="21"/>
          <w:szCs w:val="21"/>
        </w:rPr>
        <w:t>(Krapp</w:t>
      </w:r>
      <w:r w:rsidRPr="00270EEB">
        <w:rPr>
          <w:i/>
          <w:noProof/>
          <w:sz w:val="21"/>
          <w:szCs w:val="21"/>
        </w:rPr>
        <w:t xml:space="preserve"> et al.</w:t>
      </w:r>
      <w:r w:rsidRPr="00270EEB">
        <w:rPr>
          <w:noProof/>
          <w:sz w:val="21"/>
          <w:szCs w:val="21"/>
        </w:rPr>
        <w:t xml:space="preserve"> 2021)</w:t>
      </w:r>
      <w:r w:rsidRPr="00270EEB">
        <w:rPr>
          <w:sz w:val="21"/>
          <w:szCs w:val="21"/>
        </w:rPr>
        <w:t xml:space="preserve"> and TraCE21ka </w:t>
      </w:r>
      <w:r w:rsidRPr="00270EEB">
        <w:rPr>
          <w:noProof/>
          <w:sz w:val="21"/>
          <w:szCs w:val="21"/>
        </w:rPr>
        <w:t>(Liu</w:t>
      </w:r>
      <w:r w:rsidRPr="00270EEB">
        <w:rPr>
          <w:i/>
          <w:noProof/>
          <w:sz w:val="21"/>
          <w:szCs w:val="21"/>
        </w:rPr>
        <w:t xml:space="preserve"> et al.</w:t>
      </w:r>
      <w:r w:rsidRPr="00270EEB">
        <w:rPr>
          <w:noProof/>
          <w:sz w:val="21"/>
          <w:szCs w:val="21"/>
        </w:rPr>
        <w:t xml:space="preserve"> 2009; Liu</w:t>
      </w:r>
      <w:r w:rsidRPr="00270EEB">
        <w:rPr>
          <w:i/>
          <w:noProof/>
          <w:sz w:val="21"/>
          <w:szCs w:val="21"/>
        </w:rPr>
        <w:t xml:space="preserve"> et al.</w:t>
      </w:r>
      <w:r w:rsidRPr="00270EEB">
        <w:rPr>
          <w:noProof/>
          <w:sz w:val="21"/>
          <w:szCs w:val="21"/>
        </w:rPr>
        <w:t xml:space="preserve"> 2014)</w:t>
      </w:r>
      <w:r w:rsidRPr="00270EEB">
        <w:rPr>
          <w:sz w:val="21"/>
          <w:szCs w:val="21"/>
        </w:rPr>
        <w:t xml:space="preserve"> global circulation models. The temporally finer-resolution TraCE21 (seamless, but shown here in 100-year increments) compared to HadCM3 (1000 years) captures the dynamics of the Bølling-Allerød interstadial (B-O; light pink shading) and the Younger Dryas (light blue shading) compared to other climate hindcasts </w:t>
      </w:r>
      <w:r w:rsidRPr="00270EEB">
        <w:rPr>
          <w:noProof/>
          <w:sz w:val="21"/>
          <w:szCs w:val="21"/>
        </w:rPr>
        <w:t>(Fordham</w:t>
      </w:r>
      <w:r w:rsidRPr="00270EEB">
        <w:rPr>
          <w:i/>
          <w:noProof/>
          <w:sz w:val="21"/>
          <w:szCs w:val="21"/>
        </w:rPr>
        <w:t xml:space="preserve"> et al.</w:t>
      </w:r>
      <w:r w:rsidRPr="00270EEB">
        <w:rPr>
          <w:noProof/>
          <w:sz w:val="21"/>
          <w:szCs w:val="21"/>
        </w:rPr>
        <w:t xml:space="preserve"> 2017)</w:t>
      </w:r>
      <w:r w:rsidRPr="00270EEB">
        <w:rPr>
          <w:sz w:val="21"/>
          <w:szCs w:val="21"/>
        </w:rPr>
        <w:t>. Also shown is the Last Glacial Maximum (LGM).</w:t>
      </w:r>
    </w:p>
    <w:p w14:paraId="5447C0C3" w14:textId="77777777" w:rsidR="00E13141" w:rsidRPr="00270EEB" w:rsidRDefault="00E13141" w:rsidP="00E13141">
      <w:pPr>
        <w:pStyle w:val="SMcaption"/>
        <w:rPr>
          <w:rFonts w:ascii="Arial" w:hAnsi="Arial" w:cs="Arial"/>
          <w:sz w:val="18"/>
          <w:szCs w:val="18"/>
        </w:rPr>
      </w:pPr>
    </w:p>
    <w:p w14:paraId="5FBAD992" w14:textId="77777777" w:rsidR="00E13141" w:rsidRDefault="00E13141" w:rsidP="00E13141">
      <w:pPr>
        <w:pStyle w:val="SMcaption"/>
        <w:rPr>
          <w:rFonts w:ascii="Arial" w:hAnsi="Arial" w:cs="Arial"/>
          <w:sz w:val="20"/>
        </w:rPr>
        <w:sectPr w:rsidR="00E13141" w:rsidSect="002937B7">
          <w:pgSz w:w="11906" w:h="16838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>
        <w:rPr>
          <w:rFonts w:ascii="Arial" w:hAnsi="Arial" w:cs="Arial"/>
          <w:noProof/>
          <w:sz w:val="20"/>
        </w:rPr>
        <w:drawing>
          <wp:inline distT="0" distB="0" distL="0" distR="0" wp14:anchorId="5B1BCC22" wp14:editId="54731562">
            <wp:extent cx="5080000" cy="2755900"/>
            <wp:effectExtent l="0" t="0" r="0" b="0"/>
            <wp:docPr id="1482604560" name="Picture 1" descr="A graph showing the number of years before pres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2604560" name="Picture 1" descr="A graph showing the number of years before presen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9A2FD" w14:textId="77777777" w:rsidR="00E13141" w:rsidRPr="00270EEB" w:rsidRDefault="00E13141" w:rsidP="00E13141">
      <w:pPr>
        <w:pStyle w:val="SMcaption"/>
        <w:tabs>
          <w:tab w:val="left" w:pos="1287"/>
        </w:tabs>
        <w:rPr>
          <w:sz w:val="21"/>
          <w:szCs w:val="21"/>
        </w:rPr>
      </w:pPr>
      <w:r w:rsidRPr="00270EEB">
        <w:rPr>
          <w:b/>
          <w:sz w:val="21"/>
          <w:szCs w:val="21"/>
        </w:rPr>
        <w:lastRenderedPageBreak/>
        <w:t>Fig. S4.</w:t>
      </w:r>
      <w:r w:rsidRPr="00270EEB">
        <w:rPr>
          <w:sz w:val="21"/>
          <w:szCs w:val="21"/>
        </w:rPr>
        <w:t xml:space="preserve"> Average annual rainfall (mm; orange-purple scale) pattern in Cyprus derived from the Climate Hazards Center InfraRed Precipitation with Station Data (CHIRPS) dataset from 1981–2022 (chc.ucsb.edu/data/chirps). Background blue indicates relative bathymetry.</w:t>
      </w:r>
    </w:p>
    <w:p w14:paraId="242E7B6F" w14:textId="77777777" w:rsidR="00E13141" w:rsidRPr="00685AED" w:rsidRDefault="00E13141" w:rsidP="00E13141">
      <w:pPr>
        <w:pStyle w:val="SMcaption"/>
        <w:rPr>
          <w:rFonts w:ascii="Arial" w:hAnsi="Arial" w:cs="Arial"/>
          <w:sz w:val="20"/>
        </w:rPr>
      </w:pPr>
    </w:p>
    <w:p w14:paraId="26421BA8" w14:textId="77777777" w:rsidR="00E13141" w:rsidRDefault="00E13141" w:rsidP="00E13141">
      <w:pPr>
        <w:pStyle w:val="SMcaption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inline distT="0" distB="0" distL="0" distR="0" wp14:anchorId="5E08330E" wp14:editId="7B9B93D9">
            <wp:extent cx="5486400" cy="3881755"/>
            <wp:effectExtent l="0" t="0" r="0" b="4445"/>
            <wp:docPr id="475642893" name="Picture 2" descr="A red and black bird in the sk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642893" name="Picture 2" descr="A red and black bird in the sky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8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BB6B3" w14:textId="77777777" w:rsidR="00E13141" w:rsidRDefault="00E13141" w:rsidP="00E13141">
      <w:pPr>
        <w:pStyle w:val="SMcaption"/>
        <w:rPr>
          <w:rFonts w:ascii="Arial" w:hAnsi="Arial" w:cs="Arial"/>
          <w:sz w:val="20"/>
        </w:rPr>
      </w:pPr>
    </w:p>
    <w:p w14:paraId="150CD37C" w14:textId="77777777" w:rsidR="00E13141" w:rsidRDefault="00E13141" w:rsidP="00E13141">
      <w:pPr>
        <w:pStyle w:val="SMcaption"/>
        <w:rPr>
          <w:rFonts w:ascii="Arial" w:hAnsi="Arial" w:cs="Arial"/>
          <w:sz w:val="20"/>
        </w:rPr>
        <w:sectPr w:rsidR="00E13141" w:rsidSect="002937B7">
          <w:pgSz w:w="11906" w:h="16838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281A0973" w14:textId="77777777" w:rsidR="00E13141" w:rsidRDefault="00E13141" w:rsidP="00E13141">
      <w:pPr>
        <w:pStyle w:val="SMcaption"/>
        <w:rPr>
          <w:rFonts w:ascii="Arial" w:hAnsi="Arial" w:cs="Arial"/>
          <w:sz w:val="20"/>
        </w:rPr>
      </w:pPr>
    </w:p>
    <w:p w14:paraId="09E94C9C" w14:textId="77777777" w:rsidR="00E13141" w:rsidRPr="00270EEB" w:rsidRDefault="00E13141" w:rsidP="00E13141">
      <w:pPr>
        <w:pStyle w:val="SMcaption"/>
        <w:rPr>
          <w:sz w:val="21"/>
          <w:szCs w:val="21"/>
        </w:rPr>
      </w:pPr>
      <w:r w:rsidRPr="00270EEB">
        <w:rPr>
          <w:b/>
          <w:sz w:val="21"/>
          <w:szCs w:val="21"/>
        </w:rPr>
        <w:t>Fig. S5</w:t>
      </w:r>
      <w:r w:rsidRPr="00270EEB">
        <w:rPr>
          <w:b/>
          <w:bCs/>
          <w:sz w:val="21"/>
          <w:szCs w:val="21"/>
        </w:rPr>
        <w:t>.</w:t>
      </w:r>
      <w:r w:rsidRPr="00270EEB">
        <w:rPr>
          <w:sz w:val="21"/>
          <w:szCs w:val="21"/>
        </w:rPr>
        <w:t xml:space="preserve"> Global sea-level variation </w:t>
      </w:r>
      <w:r w:rsidRPr="00270EEB">
        <w:rPr>
          <w:noProof/>
          <w:sz w:val="21"/>
          <w:szCs w:val="21"/>
        </w:rPr>
        <w:t>(from Lambeck</w:t>
      </w:r>
      <w:r w:rsidRPr="00270EEB">
        <w:rPr>
          <w:i/>
          <w:noProof/>
          <w:sz w:val="21"/>
          <w:szCs w:val="21"/>
        </w:rPr>
        <w:t xml:space="preserve"> et al.</w:t>
      </w:r>
      <w:r w:rsidRPr="00270EEB">
        <w:rPr>
          <w:noProof/>
          <w:sz w:val="21"/>
          <w:szCs w:val="21"/>
        </w:rPr>
        <w:t xml:space="preserve"> 2014)</w:t>
      </w:r>
      <w:r w:rsidRPr="00270EEB">
        <w:rPr>
          <w:sz w:val="21"/>
          <w:szCs w:val="21"/>
        </w:rPr>
        <w:t xml:space="preserve"> and reconstructed time series of Cyprus land area derived from the General Bathymetric Chart of the Oceans (gebco.net). Also shown are the calibrated re-sampled inverse-weighted McInerney (CRIWM) estimate of initial entry window (grey shading), the end of the Last Glacial Maximum (LGM; light blue shading), the Bølling-Allerød interstadial (B-O; light pink shading), the Younger Dryas (YD; light blue shading), and the early Holocene (brown shading).</w:t>
      </w:r>
    </w:p>
    <w:p w14:paraId="562CA941" w14:textId="77777777" w:rsidR="00E13141" w:rsidRPr="000D2531" w:rsidRDefault="00E13141" w:rsidP="00E13141">
      <w:pPr>
        <w:pStyle w:val="SMcaption"/>
        <w:rPr>
          <w:rFonts w:ascii="Arial" w:hAnsi="Arial" w:cs="Arial"/>
          <w:sz w:val="20"/>
        </w:rPr>
      </w:pPr>
    </w:p>
    <w:p w14:paraId="0A65FF61" w14:textId="77777777" w:rsidR="00E13141" w:rsidRDefault="00E13141" w:rsidP="00E13141">
      <w:pPr>
        <w:pStyle w:val="SMcaption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inline distT="0" distB="0" distL="0" distR="0" wp14:anchorId="1A83DE06" wp14:editId="4FE95F20">
            <wp:extent cx="5486400" cy="2946400"/>
            <wp:effectExtent l="0" t="0" r="0" b="0"/>
            <wp:docPr id="1888581212" name="Picture 3" descr="A graph showing the number of years before pres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581212" name="Picture 3" descr="A graph showing the number of years before presen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4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2DAC6" w14:textId="77777777" w:rsidR="00E13141" w:rsidRDefault="00E13141" w:rsidP="00E13141">
      <w:pPr>
        <w:pStyle w:val="SMcaption"/>
        <w:rPr>
          <w:rFonts w:ascii="Arial" w:hAnsi="Arial" w:cs="Arial"/>
          <w:sz w:val="20"/>
        </w:rPr>
        <w:sectPr w:rsidR="00E13141" w:rsidSect="002937B7">
          <w:pgSz w:w="11906" w:h="16838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368F89B0" w14:textId="77777777" w:rsidR="00E13141" w:rsidRPr="00270EEB" w:rsidRDefault="00E13141" w:rsidP="00E13141">
      <w:pPr>
        <w:pStyle w:val="SMcaption"/>
        <w:rPr>
          <w:sz w:val="21"/>
          <w:szCs w:val="21"/>
        </w:rPr>
      </w:pPr>
      <w:r w:rsidRPr="00270EEB">
        <w:rPr>
          <w:b/>
          <w:sz w:val="21"/>
          <w:szCs w:val="21"/>
        </w:rPr>
        <w:lastRenderedPageBreak/>
        <w:t>Fig. S6</w:t>
      </w:r>
      <w:r w:rsidRPr="00270EEB">
        <w:rPr>
          <w:b/>
          <w:bCs/>
          <w:sz w:val="21"/>
          <w:szCs w:val="21"/>
        </w:rPr>
        <w:t>.</w:t>
      </w:r>
      <w:r w:rsidRPr="00270EEB">
        <w:rPr>
          <w:sz w:val="21"/>
          <w:szCs w:val="21"/>
        </w:rPr>
        <w:t xml:space="preserve"> An example projection of carrying capacity (</w:t>
      </w:r>
      <w:r w:rsidRPr="00270EEB">
        <w:rPr>
          <w:i/>
          <w:sz w:val="21"/>
          <w:szCs w:val="21"/>
        </w:rPr>
        <w:t>K</w:t>
      </w:r>
      <w:r w:rsidRPr="00270EEB">
        <w:rPr>
          <w:sz w:val="21"/>
          <w:szCs w:val="21"/>
        </w:rPr>
        <w:t xml:space="preserve">) based on the changing net primary production from the HadCM3 model </w:t>
      </w:r>
      <w:r w:rsidRPr="00270EEB">
        <w:rPr>
          <w:noProof/>
          <w:sz w:val="21"/>
          <w:szCs w:val="21"/>
        </w:rPr>
        <w:t>(Krapp</w:t>
      </w:r>
      <w:r w:rsidRPr="00270EEB">
        <w:rPr>
          <w:i/>
          <w:noProof/>
          <w:sz w:val="21"/>
          <w:szCs w:val="21"/>
        </w:rPr>
        <w:t xml:space="preserve"> et al.</w:t>
      </w:r>
      <w:r w:rsidRPr="00270EEB">
        <w:rPr>
          <w:noProof/>
          <w:sz w:val="21"/>
          <w:szCs w:val="21"/>
        </w:rPr>
        <w:t xml:space="preserve"> 2021)</w:t>
      </w:r>
      <w:r w:rsidRPr="00270EEB">
        <w:rPr>
          <w:sz w:val="21"/>
          <w:szCs w:val="21"/>
        </w:rPr>
        <w:t xml:space="preserve"> and size of Cyprus (changing with seal level; Fig. S5). Also shown are the calibrated re-sampled inverse-weighted McInerney (CRIWM) estimate of initial entry window (grey shading), the duration of the Younger Dryas (YD; light blue shading) and the early Holocene (brown shading).</w:t>
      </w:r>
    </w:p>
    <w:p w14:paraId="3BA201C6" w14:textId="77777777" w:rsidR="00E13141" w:rsidRDefault="00E13141" w:rsidP="00E13141">
      <w:pPr>
        <w:pStyle w:val="SMcaption"/>
        <w:rPr>
          <w:rFonts w:ascii="Arial" w:hAnsi="Arial" w:cs="Arial"/>
          <w:sz w:val="20"/>
        </w:rPr>
      </w:pPr>
    </w:p>
    <w:p w14:paraId="512AE4CB" w14:textId="77777777" w:rsidR="00E13141" w:rsidRDefault="00E13141" w:rsidP="00E13141">
      <w:pPr>
        <w:pStyle w:val="SMcaption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inline distT="0" distB="0" distL="0" distR="0" wp14:anchorId="46F32B63" wp14:editId="79D449DB">
            <wp:extent cx="5486400" cy="3188970"/>
            <wp:effectExtent l="0" t="0" r="0" b="0"/>
            <wp:docPr id="2020715311" name="Picture 4" descr="A graph showing the time of a wav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715311" name="Picture 4" descr="A graph showing the time of a wave&#10;&#10;Description automatically generated with medium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8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80DBE" w14:textId="77777777" w:rsidR="00E13141" w:rsidRPr="00DC623A" w:rsidRDefault="00E13141" w:rsidP="00E13141">
      <w:pPr>
        <w:pStyle w:val="SMcaption"/>
        <w:rPr>
          <w:rFonts w:ascii="Arial" w:hAnsi="Arial" w:cs="Arial"/>
          <w:sz w:val="20"/>
        </w:rPr>
      </w:pPr>
    </w:p>
    <w:p w14:paraId="65543598" w14:textId="77777777" w:rsidR="00E13141" w:rsidRPr="002937B7" w:rsidRDefault="00E13141" w:rsidP="00E13141">
      <w:pPr>
        <w:pStyle w:val="SMcaption"/>
        <w:rPr>
          <w:b/>
          <w:szCs w:val="24"/>
        </w:rPr>
      </w:pPr>
      <w:r w:rsidRPr="002937B7">
        <w:rPr>
          <w:b/>
          <w:szCs w:val="24"/>
        </w:rPr>
        <w:t>SI References</w:t>
      </w:r>
    </w:p>
    <w:p w14:paraId="6A9906EC" w14:textId="77777777" w:rsidR="00E13141" w:rsidRPr="00ED100A" w:rsidRDefault="00E13141" w:rsidP="00E13141">
      <w:pPr>
        <w:pStyle w:val="EndNoteBibliography"/>
        <w:spacing w:after="0"/>
        <w:ind w:left="440" w:hanging="440"/>
        <w:rPr>
          <w:noProof/>
        </w:rPr>
      </w:pPr>
      <w:r w:rsidRPr="00ED100A">
        <w:rPr>
          <w:noProof/>
        </w:rPr>
        <w:t>Fordham, D.A., Saltré, F., Haythorne, S., Wigley, T.M.L., Otto-Bliesner, B.L., Chan, K.C.</w:t>
      </w:r>
      <w:r w:rsidRPr="00ED100A">
        <w:rPr>
          <w:i/>
          <w:noProof/>
        </w:rPr>
        <w:t xml:space="preserve"> et al.</w:t>
      </w:r>
      <w:r w:rsidRPr="00ED100A">
        <w:rPr>
          <w:noProof/>
        </w:rPr>
        <w:t xml:space="preserve"> (2017). PaleoView: a tool for generating continuous climate projections spanning the last 21 000 years at regional and global scales. </w:t>
      </w:r>
      <w:r w:rsidRPr="00ED100A">
        <w:rPr>
          <w:i/>
          <w:noProof/>
        </w:rPr>
        <w:t>Ecography</w:t>
      </w:r>
      <w:r w:rsidRPr="00ED100A">
        <w:rPr>
          <w:noProof/>
        </w:rPr>
        <w:t>, 40, 1348-1358. doi:10.1111/ecog.03031</w:t>
      </w:r>
    </w:p>
    <w:p w14:paraId="0BAB6B7F" w14:textId="77777777" w:rsidR="00E13141" w:rsidRPr="00ED100A" w:rsidRDefault="00E13141" w:rsidP="00E13141">
      <w:pPr>
        <w:pStyle w:val="EndNoteBibliography"/>
        <w:spacing w:after="0"/>
        <w:ind w:left="440" w:hanging="440"/>
        <w:rPr>
          <w:noProof/>
        </w:rPr>
      </w:pPr>
      <w:r w:rsidRPr="00ED100A">
        <w:rPr>
          <w:noProof/>
        </w:rPr>
        <w:t xml:space="preserve">Krapp, M., Beyer, R.M., Edmundson, S.L., Valdes, P.J. &amp; Manica, A. (2021). A statistics-based reconstruction of high-resolution global terrestrial climate for the last 800,000 years. </w:t>
      </w:r>
      <w:r w:rsidRPr="00ED100A">
        <w:rPr>
          <w:i/>
          <w:noProof/>
        </w:rPr>
        <w:t>Scientific Data</w:t>
      </w:r>
      <w:r w:rsidRPr="00ED100A">
        <w:rPr>
          <w:noProof/>
        </w:rPr>
        <w:t>, 8, 228. doi:10.1038/s41597-021-01009-3</w:t>
      </w:r>
    </w:p>
    <w:p w14:paraId="4A479FDB" w14:textId="77777777" w:rsidR="00E13141" w:rsidRPr="00ED100A" w:rsidRDefault="00E13141" w:rsidP="00E13141">
      <w:pPr>
        <w:pStyle w:val="EndNoteBibliography"/>
        <w:spacing w:after="0"/>
        <w:ind w:left="440" w:hanging="440"/>
        <w:rPr>
          <w:noProof/>
        </w:rPr>
      </w:pPr>
      <w:r w:rsidRPr="00ED100A">
        <w:rPr>
          <w:noProof/>
        </w:rPr>
        <w:t xml:space="preserve">Lambeck, K., Rouby, H., Purcell, A., Sun, Y. &amp; Sambridge, M. (2014). Sea level and global ice volumes from the Last Glacial Maximum to the Holocene. </w:t>
      </w:r>
      <w:r w:rsidRPr="00ED100A">
        <w:rPr>
          <w:i/>
          <w:noProof/>
        </w:rPr>
        <w:t>Proceedings of the National Academy of Sciences</w:t>
      </w:r>
      <w:r w:rsidRPr="00ED100A">
        <w:rPr>
          <w:noProof/>
        </w:rPr>
        <w:t>, 111, 15296-15303. doi:10.1073/pnas.1411762111</w:t>
      </w:r>
    </w:p>
    <w:p w14:paraId="38CC81A8" w14:textId="77777777" w:rsidR="00E13141" w:rsidRPr="00ED100A" w:rsidRDefault="00E13141" w:rsidP="00E13141">
      <w:pPr>
        <w:pStyle w:val="EndNoteBibliography"/>
        <w:spacing w:after="0"/>
        <w:ind w:left="440" w:hanging="440"/>
        <w:rPr>
          <w:noProof/>
        </w:rPr>
      </w:pPr>
      <w:r w:rsidRPr="00ED100A">
        <w:rPr>
          <w:noProof/>
        </w:rPr>
        <w:t xml:space="preserve">Liu, Z., Lu, Z., Wen, X., Otto-Bliesner, B.L., Timmermann, A. &amp; Cobb, K.M. (2014). Evolution and forcing mechanisms of El Niño over the past 21,000 years. </w:t>
      </w:r>
      <w:r w:rsidRPr="00ED100A">
        <w:rPr>
          <w:i/>
          <w:noProof/>
        </w:rPr>
        <w:t>Nature</w:t>
      </w:r>
      <w:r w:rsidRPr="00ED100A">
        <w:rPr>
          <w:noProof/>
        </w:rPr>
        <w:t>, 515, 550-553. doi:10.1038/nature13963</w:t>
      </w:r>
    </w:p>
    <w:p w14:paraId="1896CF7E" w14:textId="77777777" w:rsidR="00E13141" w:rsidRPr="00ED100A" w:rsidRDefault="00E13141" w:rsidP="00E13141">
      <w:pPr>
        <w:pStyle w:val="EndNoteBibliography"/>
        <w:ind w:left="440" w:hanging="440"/>
        <w:rPr>
          <w:noProof/>
        </w:rPr>
      </w:pPr>
      <w:r w:rsidRPr="00ED100A">
        <w:rPr>
          <w:noProof/>
        </w:rPr>
        <w:t>Liu, Z., Otto-Bliesner, B.L., He, F., Brady, E.C., Tomas, R., Clark, P.U.</w:t>
      </w:r>
      <w:r w:rsidRPr="00ED100A">
        <w:rPr>
          <w:i/>
          <w:noProof/>
        </w:rPr>
        <w:t xml:space="preserve"> et al.</w:t>
      </w:r>
      <w:r w:rsidRPr="00ED100A">
        <w:rPr>
          <w:noProof/>
        </w:rPr>
        <w:t xml:space="preserve"> (2009). Transient simulation of Last Deglaciation with a new mechanism for Bølling-Allerød warming. </w:t>
      </w:r>
      <w:r w:rsidRPr="00ED100A">
        <w:rPr>
          <w:i/>
          <w:noProof/>
        </w:rPr>
        <w:t>Science</w:t>
      </w:r>
      <w:r w:rsidRPr="00ED100A">
        <w:rPr>
          <w:noProof/>
        </w:rPr>
        <w:t>, 325, 310-314. doi:10.1126/science.1171041</w:t>
      </w:r>
    </w:p>
    <w:p w14:paraId="6CA2D6DC" w14:textId="77777777" w:rsidR="00E13141" w:rsidRPr="00B36DAF" w:rsidRDefault="00E13141" w:rsidP="00E13141">
      <w:pPr>
        <w:pStyle w:val="SMcaption"/>
        <w:rPr>
          <w:rFonts w:ascii="Arial" w:hAnsi="Arial" w:cs="Arial"/>
          <w:b/>
          <w:sz w:val="20"/>
        </w:rPr>
      </w:pPr>
    </w:p>
    <w:p w14:paraId="3E1997B4" w14:textId="77777777" w:rsidR="00E13141" w:rsidRDefault="00E13141" w:rsidP="00E13141"/>
    <w:p w14:paraId="52C4B76E" w14:textId="77777777" w:rsidR="002F0F5E" w:rsidRDefault="00E13141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A60086" w14:textId="77777777" w:rsidR="002937B7" w:rsidRDefault="00E13141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14:paraId="446EF1E4" w14:textId="77777777" w:rsidR="002937B7" w:rsidRDefault="00E1314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224F0B" w14:textId="77777777" w:rsidR="002937B7" w:rsidRPr="005001AC" w:rsidRDefault="00E13141" w:rsidP="005001AC">
    <w:pPr>
      <w:jc w:val="right"/>
      <w:rPr>
        <w:sz w:val="20"/>
      </w:rPr>
    </w:pPr>
  </w:p>
  <w:p w14:paraId="1F3F35D6" w14:textId="77777777" w:rsidR="002937B7" w:rsidRDefault="00E1314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141"/>
    <w:rsid w:val="0021090F"/>
    <w:rsid w:val="003A76DF"/>
    <w:rsid w:val="00C52827"/>
    <w:rsid w:val="00DB1091"/>
    <w:rsid w:val="00E1314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7F0C3"/>
  <w15:chartTrackingRefBased/>
  <w15:docId w15:val="{BB368DE8-33C8-4F25-A1E2-C21AC4DA0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141"/>
    <w:pPr>
      <w:spacing w:after="20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131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caption">
    <w:name w:val="SM caption"/>
    <w:basedOn w:val="Normal"/>
    <w:qFormat/>
    <w:rsid w:val="00E13141"/>
    <w:pPr>
      <w:spacing w:after="0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E13141"/>
    <w:rPr>
      <w:rFonts w:ascii="Times New Roman" w:hAnsi="Times New Roman" w:cs="Times New Roman"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E13141"/>
    <w:rPr>
      <w:rFonts w:ascii="Times New Roman" w:hAnsi="Times New Roman" w:cs="Times New Roman"/>
      <w:sz w:val="20"/>
    </w:rPr>
  </w:style>
  <w:style w:type="paragraph" w:customStyle="1" w:styleId="SMHeading">
    <w:name w:val="SM Heading"/>
    <w:basedOn w:val="Heading1"/>
    <w:link w:val="SMHeadingChar"/>
    <w:qFormat/>
    <w:rsid w:val="00E13141"/>
    <w:pPr>
      <w:keepLines w:val="0"/>
      <w:spacing w:after="60"/>
    </w:pPr>
    <w:rPr>
      <w:rFonts w:ascii="Times New Roman" w:eastAsia="Times New Roman" w:hAnsi="Times New Roman" w:cs="Times New Roman"/>
      <w:b/>
      <w:bCs/>
      <w:kern w:val="32"/>
      <w:sz w:val="24"/>
      <w:szCs w:val="24"/>
    </w:rPr>
  </w:style>
  <w:style w:type="paragraph" w:styleId="Footer">
    <w:name w:val="footer"/>
    <w:basedOn w:val="Normal"/>
    <w:link w:val="FooterChar"/>
    <w:semiHidden/>
    <w:rsid w:val="00E13141"/>
    <w:pPr>
      <w:tabs>
        <w:tab w:val="center" w:pos="4680"/>
        <w:tab w:val="right" w:pos="9360"/>
      </w:tabs>
      <w:spacing w:after="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FooterChar">
    <w:name w:val="Footer Char"/>
    <w:basedOn w:val="DefaultParagraphFont"/>
    <w:link w:val="Footer"/>
    <w:semiHidden/>
    <w:rsid w:val="00E13141"/>
    <w:rPr>
      <w:rFonts w:ascii="Times New Roman" w:eastAsia="Times New Roman" w:hAnsi="Times New Roman" w:cs="Times New Roman"/>
      <w:sz w:val="24"/>
      <w:szCs w:val="20"/>
    </w:rPr>
  </w:style>
  <w:style w:type="character" w:customStyle="1" w:styleId="SMHeadingChar">
    <w:name w:val="SM Heading Char"/>
    <w:basedOn w:val="Heading1Char"/>
    <w:link w:val="SMHeading"/>
    <w:rsid w:val="00E13141"/>
    <w:rPr>
      <w:rFonts w:ascii="Times New Roman" w:eastAsia="Times New Roman" w:hAnsi="Times New Roman" w:cs="Times New Roman"/>
      <w:b/>
      <w:bCs/>
      <w:color w:val="2F5496" w:themeColor="accent1" w:themeShade="BF"/>
      <w:kern w:val="32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131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header" Target="header1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610</Words>
  <Characters>3480</Characters>
  <Application>Microsoft Office Word</Application>
  <DocSecurity>0</DocSecurity>
  <Lines>29</Lines>
  <Paragraphs>8</Paragraphs>
  <ScaleCrop>false</ScaleCrop>
  <Company>Springer Nature</Company>
  <LinksUpToDate>false</LinksUpToDate>
  <CharactersWithSpaces>4082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2023-10-23T05:36:00Z</dcterms:created>
  <dcterms:modified xsi:type="dcterms:W3CDTF">2023-10-23T05:37:00Z</dcterms:modified>
</cp:coreProperties>
</file>