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315" w:firstLineChars="150"/>
      </w:pPr>
      <w:r>
        <w:drawing>
          <wp:inline distT="0" distB="0" distL="114300" distR="114300">
            <wp:extent cx="5269865" cy="1109345"/>
            <wp:effectExtent l="0" t="0" r="635"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4"/>
                    <a:stretch>
                      <a:fillRect/>
                    </a:stretch>
                  </pic:blipFill>
                  <pic:spPr>
                    <a:xfrm>
                      <a:off x="0" y="0"/>
                      <a:ext cx="5269865" cy="1109345"/>
                    </a:xfrm>
                    <a:prstGeom prst="rect">
                      <a:avLst/>
                    </a:prstGeom>
                    <a:noFill/>
                    <a:ln>
                      <a:noFill/>
                    </a:ln>
                  </pic:spPr>
                </pic:pic>
              </a:graphicData>
            </a:graphic>
          </wp:inline>
        </w:drawing>
      </w:r>
    </w:p>
    <w:p>
      <w:pPr>
        <w:widowControl/>
        <w:jc w:val="left"/>
      </w:pPr>
      <w:r>
        <w:rPr>
          <w:rFonts w:ascii="Times New Roman" w:hAnsi="Times New Roman" w:eastAsia="宋体" w:cs="Times New Roman"/>
          <w:b/>
          <w:bCs/>
          <w:color w:val="000000"/>
          <w:kern w:val="0"/>
          <w:sz w:val="20"/>
          <w:szCs w:val="20"/>
          <w:lang w:bidi="ar"/>
        </w:rPr>
        <w:t xml:space="preserve">Figure S1. </w:t>
      </w:r>
      <w:r>
        <w:rPr>
          <w:rFonts w:ascii="Calibri" w:hAnsi="Calibri" w:eastAsia="宋体" w:cs="Calibri"/>
          <w:b/>
          <w:bCs/>
          <w:color w:val="000000"/>
          <w:kern w:val="0"/>
          <w:sz w:val="20"/>
          <w:szCs w:val="20"/>
          <w:lang w:bidi="ar"/>
        </w:rPr>
        <w:t xml:space="preserve">RNA-seq analysis of differentially expressed genes (DEGs) between SAH and Sham </w:t>
      </w:r>
    </w:p>
    <w:p>
      <w:pPr>
        <w:widowControl/>
        <w:jc w:val="left"/>
      </w:pPr>
      <w:r>
        <w:rPr>
          <w:rFonts w:ascii="Calibri" w:hAnsi="Calibri" w:eastAsia="宋体" w:cs="Calibri"/>
          <w:b/>
          <w:bCs/>
          <w:color w:val="000000"/>
          <w:kern w:val="0"/>
          <w:sz w:val="20"/>
          <w:szCs w:val="20"/>
          <w:lang w:bidi="ar"/>
        </w:rPr>
        <w:t xml:space="preserve">samples. </w:t>
      </w:r>
    </w:p>
    <w:p>
      <w:pPr>
        <w:widowControl/>
        <w:jc w:val="left"/>
      </w:pPr>
      <w:r>
        <w:rPr>
          <w:rFonts w:ascii="Times New Roman" w:hAnsi="Times New Roman" w:eastAsia="宋体" w:cs="Times New Roman"/>
          <w:color w:val="000000"/>
          <w:kern w:val="0"/>
          <w:sz w:val="20"/>
          <w:szCs w:val="20"/>
          <w:lang w:bidi="ar"/>
        </w:rPr>
        <w:t xml:space="preserve">(A)The up-regulated genes' KEGG pathway results on the scatter plot were the most enriched.. </w:t>
      </w:r>
    </w:p>
    <w:p>
      <w:pPr>
        <w:widowControl/>
        <w:jc w:val="left"/>
      </w:pPr>
      <w:r>
        <w:rPr>
          <w:rFonts w:ascii="Times New Roman" w:hAnsi="Times New Roman" w:eastAsia="宋体" w:cs="Times New Roman"/>
          <w:color w:val="000000"/>
          <w:kern w:val="0"/>
          <w:sz w:val="20"/>
          <w:szCs w:val="20"/>
          <w:lang w:bidi="ar"/>
        </w:rPr>
        <w:t>(B) The results of the down-regulated genes' KEGG pathways that appeared on the scatter plot were the most enriched.</w:t>
      </w:r>
    </w:p>
    <w:p>
      <w:pPr>
        <w:spacing w:line="360" w:lineRule="auto"/>
        <w:ind w:firstLine="315" w:firstLineChars="150"/>
      </w:pPr>
      <w:r>
        <w:drawing>
          <wp:inline distT="0" distB="0" distL="114300" distR="114300">
            <wp:extent cx="5269865" cy="1045210"/>
            <wp:effectExtent l="0" t="0" r="635"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5"/>
                    <a:stretch>
                      <a:fillRect/>
                    </a:stretch>
                  </pic:blipFill>
                  <pic:spPr>
                    <a:xfrm>
                      <a:off x="0" y="0"/>
                      <a:ext cx="5269865" cy="1045210"/>
                    </a:xfrm>
                    <a:prstGeom prst="rect">
                      <a:avLst/>
                    </a:prstGeom>
                    <a:noFill/>
                    <a:ln>
                      <a:noFill/>
                    </a:ln>
                  </pic:spPr>
                </pic:pic>
              </a:graphicData>
            </a:graphic>
          </wp:inline>
        </w:drawing>
      </w:r>
    </w:p>
    <w:p>
      <w:pPr>
        <w:widowControl/>
        <w:jc w:val="left"/>
      </w:pPr>
      <w:r>
        <w:rPr>
          <w:rFonts w:ascii="Times New Roman" w:hAnsi="Times New Roman" w:eastAsia="宋体" w:cs="Times New Roman"/>
          <w:b/>
          <w:bCs/>
          <w:color w:val="000000"/>
          <w:kern w:val="0"/>
          <w:sz w:val="20"/>
          <w:szCs w:val="20"/>
          <w:lang w:bidi="ar"/>
        </w:rPr>
        <w:t xml:space="preserve">Figure S2. The identification of abnormal alternative splicing events in Subarachnoid </w:t>
      </w:r>
    </w:p>
    <w:p>
      <w:pPr>
        <w:widowControl/>
        <w:jc w:val="left"/>
      </w:pPr>
      <w:r>
        <w:rPr>
          <w:rFonts w:ascii="Times New Roman" w:hAnsi="Times New Roman" w:eastAsia="宋体" w:cs="Times New Roman"/>
          <w:b/>
          <w:bCs/>
          <w:color w:val="000000"/>
          <w:kern w:val="0"/>
          <w:sz w:val="20"/>
          <w:szCs w:val="20"/>
          <w:lang w:bidi="ar"/>
        </w:rPr>
        <w:t xml:space="preserve">hemorrhages. </w:t>
      </w:r>
    </w:p>
    <w:p>
      <w:pPr>
        <w:widowControl/>
        <w:numPr>
          <w:ilvl w:val="0"/>
          <w:numId w:val="1"/>
        </w:numPr>
        <w:jc w:val="left"/>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A Venn diagram depicts RASG and DEG overlap genes. </w:t>
      </w:r>
    </w:p>
    <w:p>
      <w:pPr>
        <w:widowControl/>
        <w:jc w:val="left"/>
      </w:pPr>
      <w:r>
        <w:rPr>
          <w:rFonts w:ascii="Times New Roman" w:hAnsi="Times New Roman" w:eastAsia="宋体" w:cs="Times New Roman"/>
          <w:color w:val="000000"/>
          <w:kern w:val="0"/>
          <w:sz w:val="20"/>
          <w:szCs w:val="20"/>
          <w:lang w:bidi="ar"/>
        </w:rPr>
        <w:t xml:space="preserve">B.The highest enriched GO biological process results of overlap genes in A were displayed in a bar plot. </w:t>
      </w:r>
    </w:p>
    <w:p>
      <w:pPr>
        <w:widowControl/>
        <w:jc w:val="left"/>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C. The most enriched KEGG pathway results of overlap genes in A were displayed in a bar plot.</w:t>
      </w:r>
    </w:p>
    <w:p>
      <w:pPr>
        <w:spacing w:line="360" w:lineRule="auto"/>
        <w:ind w:firstLine="315" w:firstLineChars="150"/>
      </w:pPr>
      <w:r>
        <w:drawing>
          <wp:inline distT="0" distB="0" distL="114300" distR="114300">
            <wp:extent cx="5269865" cy="2538730"/>
            <wp:effectExtent l="0" t="0" r="635" b="127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6"/>
                    <a:stretch>
                      <a:fillRect/>
                    </a:stretch>
                  </pic:blipFill>
                  <pic:spPr>
                    <a:xfrm>
                      <a:off x="0" y="0"/>
                      <a:ext cx="5269865" cy="2538730"/>
                    </a:xfrm>
                    <a:prstGeom prst="rect">
                      <a:avLst/>
                    </a:prstGeom>
                    <a:noFill/>
                    <a:ln>
                      <a:noFill/>
                    </a:ln>
                  </pic:spPr>
                </pic:pic>
              </a:graphicData>
            </a:graphic>
          </wp:inline>
        </w:drawing>
      </w:r>
    </w:p>
    <w:p>
      <w:pPr>
        <w:widowControl/>
        <w:jc w:val="left"/>
      </w:pPr>
      <w:r>
        <w:rPr>
          <w:rFonts w:ascii="Times New Roman" w:hAnsi="Times New Roman" w:eastAsia="宋体" w:cs="Times New Roman"/>
          <w:b/>
          <w:bCs/>
          <w:color w:val="000000"/>
          <w:kern w:val="0"/>
          <w:sz w:val="20"/>
          <w:szCs w:val="20"/>
          <w:lang w:bidi="ar"/>
        </w:rPr>
        <w:t xml:space="preserve">Figure S3. Construction of co-disturbed network between SAH-RASRNA-binding proteins (RBP) and RNA-binding proteins (RBP) . </w:t>
      </w:r>
    </w:p>
    <w:p>
      <w:pPr>
        <w:widowControl/>
        <w:jc w:val="left"/>
      </w:pPr>
      <w:r>
        <w:rPr>
          <w:rFonts w:ascii="Times New Roman" w:hAnsi="Times New Roman" w:eastAsia="宋体" w:cs="Times New Roman"/>
          <w:color w:val="000000"/>
          <w:kern w:val="0"/>
          <w:sz w:val="20"/>
          <w:szCs w:val="20"/>
          <w:lang w:bidi="ar"/>
        </w:rPr>
        <w:t xml:space="preserve">A. Scatter plot showing the top10 enriched KEGG pathways results of RASGs co-distrubed by top </w:t>
      </w:r>
    </w:p>
    <w:p>
      <w:pPr>
        <w:widowControl/>
        <w:jc w:val="left"/>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10 hub DE RBPs.</w:t>
      </w:r>
    </w:p>
    <w:p>
      <w:pPr>
        <w:widowControl/>
        <w:jc w:val="left"/>
      </w:pPr>
      <w:r>
        <w:drawing>
          <wp:inline distT="0" distB="0" distL="114300" distR="114300">
            <wp:extent cx="5273675" cy="7504430"/>
            <wp:effectExtent l="0" t="0" r="9525" b="127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7"/>
                    <a:stretch>
                      <a:fillRect/>
                    </a:stretch>
                  </pic:blipFill>
                  <pic:spPr>
                    <a:xfrm>
                      <a:off x="0" y="0"/>
                      <a:ext cx="5273675" cy="7504430"/>
                    </a:xfrm>
                    <a:prstGeom prst="rect">
                      <a:avLst/>
                    </a:prstGeom>
                    <a:noFill/>
                    <a:ln>
                      <a:noFill/>
                    </a:ln>
                  </pic:spPr>
                </pic:pic>
              </a:graphicData>
            </a:graphic>
          </wp:inline>
        </w:drawing>
      </w:r>
    </w:p>
    <w:p>
      <w:pPr>
        <w:widowControl/>
        <w:jc w:val="left"/>
      </w:pPr>
      <w:r>
        <w:rPr>
          <w:rFonts w:ascii="Times New Roman" w:hAnsi="Times New Roman" w:eastAsia="宋体" w:cs="Times New Roman"/>
          <w:b/>
          <w:bCs/>
          <w:color w:val="000000"/>
          <w:kern w:val="0"/>
          <w:sz w:val="20"/>
          <w:szCs w:val="20"/>
          <w:lang w:bidi="ar"/>
        </w:rPr>
        <w:t xml:space="preserve">Figure S4. Correlation analysis of RNA binding proteins (RBPs) with alternative splicing, </w:t>
      </w:r>
    </w:p>
    <w:p>
      <w:pPr>
        <w:widowControl/>
        <w:jc w:val="left"/>
      </w:pPr>
      <w:r>
        <w:rPr>
          <w:rFonts w:ascii="Times New Roman" w:hAnsi="Times New Roman" w:eastAsia="宋体" w:cs="Times New Roman"/>
          <w:b/>
          <w:bCs/>
          <w:color w:val="000000"/>
          <w:kern w:val="0"/>
          <w:sz w:val="20"/>
          <w:szCs w:val="20"/>
          <w:lang w:bidi="ar"/>
        </w:rPr>
        <w:t xml:space="preserve">differential alternative splicing without RBP. </w:t>
      </w:r>
    </w:p>
    <w:p>
      <w:pPr>
        <w:widowControl/>
        <w:jc w:val="left"/>
      </w:pPr>
      <w:r>
        <w:rPr>
          <w:rFonts w:ascii="Times New Roman" w:hAnsi="Times New Roman" w:eastAsia="宋体" w:cs="Times New Roman"/>
          <w:color w:val="000000"/>
          <w:kern w:val="0"/>
          <w:sz w:val="20"/>
          <w:szCs w:val="20"/>
          <w:lang w:bidi="ar"/>
        </w:rPr>
        <w:t xml:space="preserve">(A) Scatter plot showing the top10 enriched KEGG pathways results of top10RBP regulated of </w:t>
      </w:r>
    </w:p>
    <w:p>
      <w:pPr>
        <w:widowControl/>
        <w:jc w:val="left"/>
      </w:pPr>
      <w:r>
        <w:rPr>
          <w:rFonts w:ascii="Times New Roman" w:hAnsi="Times New Roman" w:eastAsia="宋体" w:cs="Times New Roman"/>
          <w:color w:val="000000"/>
          <w:kern w:val="0"/>
          <w:sz w:val="20"/>
          <w:szCs w:val="20"/>
          <w:lang w:bidi="ar"/>
        </w:rPr>
        <w:t>non-RBP.</w:t>
      </w:r>
    </w:p>
    <w:p>
      <w:pPr>
        <w:widowControl/>
        <w:jc w:val="left"/>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(B-C)The transcripts for the gene are displayed below, and IGV-sashimi graphs demonstrate AS variations in SAH and Sham. The architecture of ASEs are shown schematically (right, top). White boxes indicate constitutive exon sequences, whereas horizontal lines indicate intron sequences, while </w:t>
      </w:r>
    </w:p>
    <w:p>
      <w:pPr>
        <w:widowControl/>
        <w:jc w:val="left"/>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blue-boxed alternate exons. A quantification of ASEs using RNA-seq is displayed at the bottom of the </w:t>
      </w:r>
    </w:p>
    <w:p>
      <w:pPr>
        <w:widowControl/>
        <w:jc w:val="left"/>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correct panel. The formula: alternative was used to compute the altered ratio of AS events in RNA-seq. </w:t>
      </w:r>
    </w:p>
    <w:p>
      <w:pPr>
        <w:widowControl/>
        <w:jc w:val="left"/>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 xml:space="preserve">alternative splice junction reads plus model splice junction reads; splice junction reads.  Error bars </w:t>
      </w:r>
    </w:p>
    <w:p>
      <w:pPr>
        <w:widowControl/>
        <w:jc w:val="left"/>
        <w:rPr>
          <w:rFonts w:ascii="Times New Roman" w:hAnsi="Times New Roman" w:eastAsia="宋体" w:cs="Times New Roman"/>
          <w:color w:val="000000"/>
          <w:kern w:val="0"/>
          <w:sz w:val="20"/>
          <w:szCs w:val="20"/>
          <w:lang w:bidi="ar"/>
        </w:rPr>
      </w:pPr>
      <w:r>
        <w:rPr>
          <w:rFonts w:ascii="Times New Roman" w:hAnsi="Times New Roman" w:eastAsia="宋体" w:cs="Times New Roman"/>
          <w:color w:val="000000"/>
          <w:kern w:val="0"/>
          <w:sz w:val="20"/>
          <w:szCs w:val="20"/>
          <w:lang w:bidi="ar"/>
        </w:rPr>
        <w:t>represent mean ± SEM. ***P-value &lt; 0.001, ** P-value &lt; 0.01, * P-value &lt; 0.05.</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46EC7F"/>
    <w:multiLevelType w:val="singleLevel"/>
    <w:tmpl w:val="6D46EC7F"/>
    <w:lvl w:ilvl="0" w:tentative="0">
      <w:start w:val="1"/>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xYjViMDM4MmE1MDMwZjQ4MjlmNzZjNjE5ZDM1YTMifQ=="/>
  </w:docVars>
  <w:rsids>
    <w:rsidRoot w:val="0593089E"/>
    <w:rsid w:val="059308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2023-10-08T13:42:00Z</dcterms:created>
  <dc:creator>Krystal～pan</dc:creator>
  <cp:lastModifiedBy>Krystal～pan</cp:lastModifiedBy>
  <dcterms:modified xsi:type="dcterms:W3CDTF">2023-10-08T13:43:09Z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8C0C1D1EE1344CB89B5524540AD4DB0E_11</vt:lpwstr>
  </property>
</Properties>
</file>