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0234E" w14:textId="77777777" w:rsidR="00DE2211" w:rsidRPr="005601DA" w:rsidRDefault="00DE2211" w:rsidP="00DE2211">
      <w:pPr>
        <w:tabs>
          <w:tab w:val="left" w:pos="6996"/>
        </w:tabs>
        <w:spacing w:line="480" w:lineRule="auto"/>
        <w:jc w:val="both"/>
        <w:rPr>
          <w:rFonts w:ascii="Times New Roman" w:hAnsi="Times New Roman" w:cs="Times New Roman"/>
          <w:b/>
          <w:i/>
          <w:color w:val="131413"/>
          <w:sz w:val="20"/>
          <w:szCs w:val="20"/>
        </w:rPr>
      </w:pPr>
      <w:r w:rsidRPr="005601DA">
        <w:rPr>
          <w:rFonts w:ascii="Times New Roman" w:hAnsi="Times New Roman" w:cs="Times New Roman"/>
          <w:b/>
          <w:i/>
          <w:color w:val="131413"/>
          <w:sz w:val="20"/>
          <w:szCs w:val="20"/>
        </w:rPr>
        <w:t>Cell culture, transfection, and virus</w:t>
      </w:r>
      <w:r w:rsidRPr="005601DA">
        <w:rPr>
          <w:rFonts w:ascii="Times New Roman" w:hAnsi="Times New Roman" w:cs="Times New Roman"/>
          <w:b/>
          <w:i/>
          <w:color w:val="131413"/>
          <w:sz w:val="20"/>
          <w:szCs w:val="20"/>
        </w:rPr>
        <w:tab/>
      </w:r>
    </w:p>
    <w:p w14:paraId="77974D76" w14:textId="77777777" w:rsidR="00DE2211" w:rsidRPr="005601DA" w:rsidRDefault="00DE2211" w:rsidP="00DE2211">
      <w:pPr>
        <w:spacing w:line="480" w:lineRule="auto"/>
        <w:jc w:val="both"/>
        <w:rPr>
          <w:rFonts w:ascii="Times New Roman" w:hAnsi="Times New Roman" w:cs="Times New Roman"/>
          <w:color w:val="131413"/>
          <w:sz w:val="20"/>
          <w:szCs w:val="20"/>
        </w:rPr>
      </w:pPr>
      <w:r w:rsidRPr="005601DA">
        <w:rPr>
          <w:rFonts w:ascii="Times New Roman" w:hAnsi="Times New Roman" w:cs="Times New Roman"/>
          <w:color w:val="131413"/>
          <w:sz w:val="20"/>
          <w:szCs w:val="20"/>
        </w:rPr>
        <w:t xml:space="preserve">MKN45 </w:t>
      </w:r>
      <w:proofErr w:type="gramStart"/>
      <w:r w:rsidRPr="005601DA">
        <w:rPr>
          <w:rFonts w:ascii="Times New Roman" w:hAnsi="Times New Roman" w:cs="Times New Roman"/>
          <w:color w:val="131413"/>
          <w:sz w:val="20"/>
          <w:szCs w:val="20"/>
        </w:rPr>
        <w:t>cell</w:t>
      </w:r>
      <w:proofErr w:type="gramEnd"/>
      <w:r w:rsidRPr="005601DA">
        <w:rPr>
          <w:rFonts w:ascii="Times New Roman" w:hAnsi="Times New Roman" w:cs="Times New Roman"/>
          <w:color w:val="131413"/>
          <w:sz w:val="20"/>
          <w:szCs w:val="20"/>
        </w:rPr>
        <w:t xml:space="preserve"> were maintained in Dulbecco’s modified Eagle’s medium (</w:t>
      </w:r>
      <w:proofErr w:type="spellStart"/>
      <w:r w:rsidRPr="005601DA">
        <w:rPr>
          <w:rFonts w:ascii="Times New Roman" w:hAnsi="Times New Roman" w:cs="Times New Roman"/>
          <w:color w:val="131413"/>
          <w:sz w:val="20"/>
          <w:szCs w:val="20"/>
        </w:rPr>
        <w:t>Gbico</w:t>
      </w:r>
      <w:proofErr w:type="spellEnd"/>
      <w:r w:rsidRPr="005601DA">
        <w:rPr>
          <w:rFonts w:ascii="Times New Roman" w:hAnsi="Times New Roman" w:cs="Times New Roman"/>
          <w:color w:val="131413"/>
          <w:sz w:val="20"/>
          <w:szCs w:val="20"/>
        </w:rPr>
        <w:t>) supplemented with 10% fetal bovine serum (Gibco); SGC-7901 and BGC-823 cells were maintained in RPMI1640 (</w:t>
      </w:r>
      <w:proofErr w:type="spellStart"/>
      <w:r w:rsidRPr="005601DA">
        <w:rPr>
          <w:rFonts w:ascii="Times New Roman" w:hAnsi="Times New Roman" w:cs="Times New Roman"/>
          <w:color w:val="131413"/>
          <w:sz w:val="20"/>
          <w:szCs w:val="20"/>
        </w:rPr>
        <w:t>Gbico</w:t>
      </w:r>
      <w:proofErr w:type="spellEnd"/>
      <w:r w:rsidRPr="005601DA">
        <w:rPr>
          <w:rFonts w:ascii="Times New Roman" w:hAnsi="Times New Roman" w:cs="Times New Roman"/>
          <w:color w:val="131413"/>
          <w:sz w:val="20"/>
          <w:szCs w:val="20"/>
        </w:rPr>
        <w:t xml:space="preserve">) supplemented with 10% fetal bovine serum. Non-hypoxic cell </w:t>
      </w:r>
      <w:proofErr w:type="gramStart"/>
      <w:r w:rsidRPr="005601DA">
        <w:rPr>
          <w:rFonts w:ascii="Times New Roman" w:hAnsi="Times New Roman" w:cs="Times New Roman"/>
          <w:color w:val="131413"/>
          <w:sz w:val="20"/>
          <w:szCs w:val="20"/>
        </w:rPr>
        <w:t>were</w:t>
      </w:r>
      <w:proofErr w:type="gramEnd"/>
      <w:r w:rsidRPr="005601DA">
        <w:rPr>
          <w:rFonts w:ascii="Times New Roman" w:hAnsi="Times New Roman" w:cs="Times New Roman"/>
          <w:color w:val="131413"/>
          <w:sz w:val="20"/>
          <w:szCs w:val="20"/>
        </w:rPr>
        <w:t xml:space="preserve"> cultured in 5% CO</w:t>
      </w:r>
      <w:r w:rsidRPr="005601DA">
        <w:rPr>
          <w:rFonts w:ascii="Times New Roman" w:hAnsi="Times New Roman" w:cs="Times New Roman"/>
          <w:color w:val="131413"/>
          <w:sz w:val="20"/>
          <w:szCs w:val="20"/>
          <w:vertAlign w:val="subscript"/>
        </w:rPr>
        <w:t>2</w:t>
      </w:r>
      <w:r w:rsidRPr="005601DA">
        <w:rPr>
          <w:rFonts w:ascii="Times New Roman" w:hAnsi="Times New Roman" w:cs="Times New Roman"/>
          <w:color w:val="131413"/>
          <w:sz w:val="20"/>
          <w:szCs w:val="20"/>
        </w:rPr>
        <w:t>, 37</w:t>
      </w:r>
      <w:r w:rsidRPr="005601DA">
        <w:rPr>
          <w:rFonts w:ascii="Times New Roman" w:eastAsia="宋体" w:hAnsi="Times New Roman" w:cs="Times New Roman"/>
          <w:color w:val="131413"/>
          <w:sz w:val="20"/>
          <w:szCs w:val="20"/>
        </w:rPr>
        <w:t>℃</w:t>
      </w:r>
      <w:r w:rsidRPr="005601DA">
        <w:rPr>
          <w:rFonts w:ascii="Times New Roman" w:hAnsi="Times New Roman" w:cs="Times New Roman"/>
          <w:color w:val="131413"/>
          <w:sz w:val="20"/>
          <w:szCs w:val="20"/>
        </w:rPr>
        <w:t>. Hypoxic cells were cultured in a modular incubator chamber (</w:t>
      </w:r>
      <w:proofErr w:type="spellStart"/>
      <w:r w:rsidRPr="005601DA">
        <w:rPr>
          <w:rFonts w:ascii="Times New Roman" w:hAnsi="Times New Roman" w:cs="Times New Roman"/>
          <w:color w:val="131413"/>
          <w:sz w:val="20"/>
          <w:szCs w:val="20"/>
        </w:rPr>
        <w:t>BillupsRothenberg</w:t>
      </w:r>
      <w:proofErr w:type="spellEnd"/>
      <w:r w:rsidRPr="005601DA">
        <w:rPr>
          <w:rFonts w:ascii="Times New Roman" w:hAnsi="Times New Roman" w:cs="Times New Roman"/>
          <w:color w:val="131413"/>
          <w:sz w:val="20"/>
          <w:szCs w:val="20"/>
        </w:rPr>
        <w:t>) and supplemented with a gas mixture of 1% O</w:t>
      </w:r>
      <w:r w:rsidRPr="005601DA">
        <w:rPr>
          <w:rFonts w:ascii="Times New Roman" w:hAnsi="Times New Roman" w:cs="Times New Roman"/>
          <w:color w:val="131413"/>
          <w:sz w:val="20"/>
          <w:szCs w:val="20"/>
          <w:vertAlign w:val="subscript"/>
        </w:rPr>
        <w:t>2</w:t>
      </w:r>
      <w:r w:rsidRPr="005601DA">
        <w:rPr>
          <w:rFonts w:ascii="Times New Roman" w:hAnsi="Times New Roman" w:cs="Times New Roman"/>
          <w:color w:val="131413"/>
          <w:sz w:val="20"/>
          <w:szCs w:val="20"/>
        </w:rPr>
        <w:t>, 5% CO</w:t>
      </w:r>
      <w:r w:rsidRPr="005601DA">
        <w:rPr>
          <w:rFonts w:ascii="Times New Roman" w:hAnsi="Times New Roman" w:cs="Times New Roman"/>
          <w:color w:val="131413"/>
          <w:sz w:val="20"/>
          <w:szCs w:val="20"/>
          <w:vertAlign w:val="subscript"/>
        </w:rPr>
        <w:t>2</w:t>
      </w:r>
      <w:r w:rsidRPr="005601DA">
        <w:rPr>
          <w:rFonts w:ascii="Times New Roman" w:hAnsi="Times New Roman" w:cs="Times New Roman"/>
          <w:color w:val="131413"/>
          <w:sz w:val="20"/>
          <w:szCs w:val="20"/>
        </w:rPr>
        <w:t>, and balanced N</w:t>
      </w:r>
      <w:r w:rsidRPr="005601DA">
        <w:rPr>
          <w:rFonts w:ascii="Times New Roman" w:hAnsi="Times New Roman" w:cs="Times New Roman"/>
          <w:color w:val="131413"/>
          <w:sz w:val="20"/>
          <w:szCs w:val="20"/>
          <w:vertAlign w:val="subscript"/>
        </w:rPr>
        <w:t>2</w:t>
      </w:r>
      <w:r w:rsidRPr="005601DA">
        <w:rPr>
          <w:rFonts w:ascii="Times New Roman" w:hAnsi="Times New Roman" w:cs="Times New Roman"/>
          <w:color w:val="131413"/>
          <w:sz w:val="20"/>
          <w:szCs w:val="20"/>
        </w:rPr>
        <w:t>, at 37</w:t>
      </w:r>
      <w:r w:rsidRPr="005601DA">
        <w:rPr>
          <w:rFonts w:ascii="Times New Roman" w:eastAsia="宋体" w:hAnsi="Times New Roman" w:cs="Times New Roman"/>
          <w:color w:val="131413"/>
          <w:sz w:val="20"/>
          <w:szCs w:val="20"/>
        </w:rPr>
        <w:t>℃</w:t>
      </w:r>
      <w:r w:rsidRPr="005601DA">
        <w:rPr>
          <w:rFonts w:ascii="Times New Roman" w:hAnsi="Times New Roman" w:cs="Times New Roman"/>
          <w:color w:val="131413"/>
          <w:sz w:val="20"/>
          <w:szCs w:val="20"/>
        </w:rPr>
        <w:t>. Cells were transfected using Lipofectamine 3000 (</w:t>
      </w:r>
      <w:proofErr w:type="spellStart"/>
      <w:r w:rsidRPr="005601DA">
        <w:rPr>
          <w:rFonts w:ascii="Times New Roman" w:hAnsi="Times New Roman" w:cs="Times New Roman"/>
          <w:color w:val="131413"/>
          <w:sz w:val="20"/>
          <w:szCs w:val="20"/>
        </w:rPr>
        <w:t>Thermo</w:t>
      </w:r>
      <w:proofErr w:type="spellEnd"/>
      <w:r w:rsidRPr="005601DA">
        <w:rPr>
          <w:rFonts w:ascii="Times New Roman" w:hAnsi="Times New Roman" w:cs="Times New Roman"/>
          <w:color w:val="131413"/>
          <w:sz w:val="20"/>
          <w:szCs w:val="20"/>
        </w:rPr>
        <w:t xml:space="preserve"> Fisher Scientific). Lentiviruses, shRNA and the vectors for RMP and IGF1r knockdown were purchased from Shanghai </w:t>
      </w:r>
      <w:proofErr w:type="spellStart"/>
      <w:r w:rsidRPr="005601DA">
        <w:rPr>
          <w:rFonts w:ascii="Times New Roman" w:hAnsi="Times New Roman" w:cs="Times New Roman"/>
          <w:color w:val="131413"/>
          <w:sz w:val="20"/>
          <w:szCs w:val="20"/>
        </w:rPr>
        <w:t>GeneChem</w:t>
      </w:r>
      <w:proofErr w:type="spellEnd"/>
      <w:r w:rsidRPr="005601DA">
        <w:rPr>
          <w:rFonts w:ascii="Times New Roman" w:hAnsi="Times New Roman" w:cs="Times New Roman"/>
          <w:color w:val="131413"/>
          <w:sz w:val="20"/>
          <w:szCs w:val="20"/>
        </w:rPr>
        <w:t xml:space="preserve">. Lentiviruses encoding human RMP, IGF1r, pre-miR-598-3p and Sponge were purchased from Shanghai </w:t>
      </w:r>
      <w:proofErr w:type="spellStart"/>
      <w:r w:rsidRPr="005601DA">
        <w:rPr>
          <w:rFonts w:ascii="Times New Roman" w:hAnsi="Times New Roman" w:cs="Times New Roman"/>
          <w:color w:val="131413"/>
          <w:sz w:val="20"/>
          <w:szCs w:val="20"/>
        </w:rPr>
        <w:t>GeneChem</w:t>
      </w:r>
      <w:proofErr w:type="spellEnd"/>
      <w:r w:rsidRPr="005601DA">
        <w:rPr>
          <w:rFonts w:ascii="Times New Roman" w:hAnsi="Times New Roman" w:cs="Times New Roman"/>
          <w:color w:val="131413"/>
          <w:sz w:val="20"/>
          <w:szCs w:val="20"/>
        </w:rPr>
        <w:t xml:space="preserve">. Plasmids encoding RMP and IGF1r shRNA were purchased from Shanghai </w:t>
      </w:r>
      <w:proofErr w:type="spellStart"/>
      <w:r w:rsidRPr="005601DA">
        <w:rPr>
          <w:rFonts w:ascii="Times New Roman" w:hAnsi="Times New Roman" w:cs="Times New Roman"/>
          <w:color w:val="131413"/>
          <w:sz w:val="20"/>
          <w:szCs w:val="20"/>
        </w:rPr>
        <w:t>GeneChem</w:t>
      </w:r>
      <w:proofErr w:type="spellEnd"/>
      <w:r w:rsidRPr="005601DA">
        <w:rPr>
          <w:rFonts w:ascii="Times New Roman" w:hAnsi="Times New Roman" w:cs="Times New Roman"/>
          <w:color w:val="131413"/>
          <w:sz w:val="20"/>
          <w:szCs w:val="20"/>
        </w:rPr>
        <w:t>.</w:t>
      </w:r>
    </w:p>
    <w:p w14:paraId="0D63C86E" w14:textId="77777777" w:rsidR="00DE2211" w:rsidRPr="005601DA" w:rsidRDefault="00DE2211" w:rsidP="00DE2211">
      <w:pPr>
        <w:spacing w:line="480" w:lineRule="auto"/>
        <w:jc w:val="both"/>
        <w:rPr>
          <w:rFonts w:ascii="Times New Roman" w:hAnsi="Times New Roman" w:cs="Times New Roman"/>
          <w:b/>
          <w:i/>
          <w:color w:val="131413"/>
          <w:sz w:val="20"/>
          <w:szCs w:val="20"/>
        </w:rPr>
      </w:pPr>
      <w:r w:rsidRPr="005601DA">
        <w:rPr>
          <w:rFonts w:ascii="Times New Roman" w:hAnsi="Times New Roman" w:cs="Times New Roman"/>
          <w:b/>
          <w:i/>
          <w:color w:val="131413"/>
          <w:sz w:val="20"/>
          <w:szCs w:val="20"/>
        </w:rPr>
        <w:t xml:space="preserve">Analysis of miRNA Chip and Transcriptome Sequencing </w:t>
      </w:r>
    </w:p>
    <w:p w14:paraId="480CCA7A" w14:textId="77777777" w:rsidR="00DE2211" w:rsidRPr="005601DA" w:rsidRDefault="00DE2211" w:rsidP="00DE2211">
      <w:pPr>
        <w:spacing w:line="480" w:lineRule="auto"/>
        <w:jc w:val="both"/>
        <w:rPr>
          <w:rFonts w:ascii="Times New Roman" w:hAnsi="Times New Roman" w:cs="Times New Roman"/>
          <w:color w:val="131413"/>
          <w:sz w:val="20"/>
          <w:szCs w:val="20"/>
        </w:rPr>
      </w:pPr>
      <w:r w:rsidRPr="005601DA">
        <w:rPr>
          <w:rFonts w:ascii="Times New Roman" w:hAnsi="Times New Roman" w:cs="Times New Roman"/>
          <w:color w:val="131413"/>
          <w:sz w:val="20"/>
          <w:szCs w:val="20"/>
        </w:rPr>
        <w:t xml:space="preserve">Total RNA was isolated using </w:t>
      </w:r>
      <w:proofErr w:type="spellStart"/>
      <w:r w:rsidRPr="005601DA">
        <w:rPr>
          <w:rFonts w:ascii="Times New Roman" w:hAnsi="Times New Roman" w:cs="Times New Roman"/>
          <w:color w:val="131413"/>
          <w:sz w:val="20"/>
          <w:szCs w:val="20"/>
        </w:rPr>
        <w:t>TRIzol</w:t>
      </w:r>
      <w:proofErr w:type="spellEnd"/>
      <w:r w:rsidRPr="005601DA">
        <w:rPr>
          <w:rFonts w:ascii="Times New Roman" w:hAnsi="Times New Roman" w:cs="Times New Roman"/>
          <w:color w:val="131413"/>
          <w:sz w:val="20"/>
          <w:szCs w:val="20"/>
        </w:rPr>
        <w:t xml:space="preserve"> reagent (</w:t>
      </w:r>
      <w:proofErr w:type="spellStart"/>
      <w:r w:rsidRPr="005601DA">
        <w:rPr>
          <w:rFonts w:ascii="Times New Roman" w:hAnsi="Times New Roman" w:cs="Times New Roman"/>
          <w:color w:val="131413"/>
          <w:sz w:val="20"/>
          <w:szCs w:val="20"/>
        </w:rPr>
        <w:t>Thermo</w:t>
      </w:r>
      <w:proofErr w:type="spellEnd"/>
      <w:r w:rsidRPr="005601DA">
        <w:rPr>
          <w:rFonts w:ascii="Times New Roman" w:hAnsi="Times New Roman" w:cs="Times New Roman"/>
          <w:color w:val="131413"/>
          <w:sz w:val="20"/>
          <w:szCs w:val="20"/>
        </w:rPr>
        <w:t xml:space="preserve"> Fisher Scientific). Agilent Human miRNA Microarray (8*60k) V.21.0 was used to generate miRNA expression profiles, and validation of expression levels was carried out using quantitative PCR. We used random forest analysis and verified the findings with logistic modeling in separate data sets. Important microRNAs are </w:t>
      </w:r>
      <w:proofErr w:type="gramStart"/>
      <w:r w:rsidRPr="005601DA">
        <w:rPr>
          <w:rFonts w:ascii="Times New Roman" w:hAnsi="Times New Roman" w:cs="Times New Roman"/>
          <w:color w:val="131413"/>
          <w:sz w:val="20"/>
          <w:szCs w:val="20"/>
        </w:rPr>
        <w:t>identified</w:t>
      </w:r>
      <w:proofErr w:type="gramEnd"/>
      <w:r w:rsidRPr="005601DA">
        <w:rPr>
          <w:rFonts w:ascii="Times New Roman" w:hAnsi="Times New Roman" w:cs="Times New Roman"/>
          <w:color w:val="131413"/>
          <w:sz w:val="20"/>
          <w:szCs w:val="20"/>
        </w:rPr>
        <w:t xml:space="preserve"> and bioinformatics tools are used to identify target genes and related biological pathways.</w:t>
      </w:r>
      <w:r w:rsidRPr="005601DA">
        <w:rPr>
          <w:rFonts w:ascii="Times New Roman" w:hAnsi="Times New Roman" w:cs="Times New Roman"/>
          <w:sz w:val="20"/>
          <w:szCs w:val="20"/>
        </w:rPr>
        <w:t xml:space="preserve"> </w:t>
      </w:r>
      <w:r w:rsidRPr="005601DA">
        <w:rPr>
          <w:rFonts w:ascii="Times New Roman" w:hAnsi="Times New Roman" w:cs="Times New Roman"/>
          <w:color w:val="131413"/>
          <w:sz w:val="20"/>
          <w:szCs w:val="20"/>
        </w:rPr>
        <w:t xml:space="preserve">Transcriptome sequencing was conducted by </w:t>
      </w:r>
      <w:proofErr w:type="spellStart"/>
      <w:r w:rsidRPr="005601DA">
        <w:rPr>
          <w:rFonts w:ascii="Times New Roman" w:hAnsi="Times New Roman" w:cs="Times New Roman"/>
          <w:color w:val="131413"/>
          <w:sz w:val="20"/>
          <w:szCs w:val="20"/>
        </w:rPr>
        <w:t>Genewiz</w:t>
      </w:r>
      <w:proofErr w:type="spellEnd"/>
      <w:r w:rsidRPr="005601DA">
        <w:rPr>
          <w:rFonts w:ascii="Times New Roman" w:hAnsi="Times New Roman" w:cs="Times New Roman"/>
          <w:color w:val="131413"/>
          <w:sz w:val="20"/>
          <w:szCs w:val="20"/>
        </w:rPr>
        <w:t xml:space="preserve"> Co. Ltd. (Soochow, China). Gene expression levels for each transcript were estimated as the number of reads per kilobase of exon model per million mapped reads (RPKM) using only uniquely mapped reads in </w:t>
      </w:r>
      <w:proofErr w:type="spellStart"/>
      <w:r w:rsidRPr="005601DA">
        <w:rPr>
          <w:rFonts w:ascii="Times New Roman" w:hAnsi="Times New Roman" w:cs="Times New Roman"/>
          <w:color w:val="131413"/>
          <w:sz w:val="20"/>
          <w:szCs w:val="20"/>
        </w:rPr>
        <w:t>exonic</w:t>
      </w:r>
      <w:proofErr w:type="spellEnd"/>
      <w:r w:rsidRPr="005601DA">
        <w:rPr>
          <w:rFonts w:ascii="Times New Roman" w:hAnsi="Times New Roman" w:cs="Times New Roman"/>
          <w:color w:val="131413"/>
          <w:sz w:val="20"/>
          <w:szCs w:val="20"/>
        </w:rPr>
        <w:t xml:space="preserve"> regions. A gene was considered differentially expressed if its expression differed between any two samples with a fold change &gt;2 and p value &lt;0.05. </w:t>
      </w:r>
      <w:r w:rsidRPr="005601DA">
        <w:rPr>
          <w:rFonts w:ascii="Times New Roman" w:hAnsi="Times New Roman" w:cs="Times New Roman"/>
          <w:color w:val="131413"/>
          <w:sz w:val="20"/>
          <w:szCs w:val="20"/>
        </w:rPr>
        <w:lastRenderedPageBreak/>
        <w:t>The DAVID online tool (https://david.abcc.ncifcrf.gov) was used for Gene Ontology (GO) enrichment analysis and KEGG pathway enrichment analysis.</w:t>
      </w:r>
    </w:p>
    <w:p w14:paraId="4D644D06" w14:textId="77777777" w:rsidR="00DE2211" w:rsidRPr="005601DA" w:rsidRDefault="00DE2211" w:rsidP="00DE2211">
      <w:pPr>
        <w:spacing w:line="480" w:lineRule="auto"/>
        <w:jc w:val="both"/>
        <w:rPr>
          <w:rFonts w:ascii="Times New Roman" w:hAnsi="Times New Roman" w:cs="Times New Roman"/>
          <w:b/>
          <w:i/>
          <w:color w:val="131413"/>
          <w:sz w:val="20"/>
          <w:szCs w:val="20"/>
        </w:rPr>
      </w:pPr>
      <w:r w:rsidRPr="005601DA">
        <w:rPr>
          <w:rFonts w:ascii="Times New Roman" w:hAnsi="Times New Roman" w:cs="Times New Roman"/>
          <w:b/>
          <w:i/>
          <w:color w:val="131413"/>
          <w:sz w:val="20"/>
          <w:szCs w:val="20"/>
        </w:rPr>
        <w:t>Dual-luciferase reporter assay</w:t>
      </w:r>
    </w:p>
    <w:p w14:paraId="1BEBBA25" w14:textId="77777777" w:rsidR="00DE2211" w:rsidRPr="005601DA" w:rsidRDefault="00DE2211" w:rsidP="00DE2211">
      <w:pPr>
        <w:spacing w:line="480" w:lineRule="auto"/>
        <w:jc w:val="both"/>
        <w:rPr>
          <w:rFonts w:ascii="Times New Roman" w:hAnsi="Times New Roman" w:cs="Times New Roman"/>
          <w:color w:val="131413"/>
          <w:sz w:val="20"/>
          <w:szCs w:val="20"/>
        </w:rPr>
      </w:pPr>
      <w:r w:rsidRPr="005601DA">
        <w:rPr>
          <w:rFonts w:ascii="Times New Roman" w:hAnsi="Times New Roman" w:cs="Times New Roman"/>
          <w:color w:val="131413"/>
          <w:sz w:val="20"/>
          <w:szCs w:val="20"/>
        </w:rPr>
        <w:t>Cells were grown to 70% confluence in 96-well plates, before being transfected using Lipofectamine 3000 (</w:t>
      </w:r>
      <w:proofErr w:type="spellStart"/>
      <w:r w:rsidRPr="005601DA">
        <w:rPr>
          <w:rFonts w:ascii="Times New Roman" w:hAnsi="Times New Roman" w:cs="Times New Roman"/>
          <w:color w:val="131413"/>
          <w:sz w:val="20"/>
          <w:szCs w:val="20"/>
        </w:rPr>
        <w:t>Thermo</w:t>
      </w:r>
      <w:proofErr w:type="spellEnd"/>
      <w:r w:rsidRPr="005601DA">
        <w:rPr>
          <w:rFonts w:ascii="Times New Roman" w:hAnsi="Times New Roman" w:cs="Times New Roman"/>
          <w:color w:val="131413"/>
          <w:sz w:val="20"/>
          <w:szCs w:val="20"/>
        </w:rPr>
        <w:t xml:space="preserve"> Fisher Scientific). psiCHECK2-RMP-3’UTR, psiCHECK2-RMP-mutant-3’UTR, psiCHECK2-IGF1r-3’UTR, psiCHECK2-IGF1r-mutant-3’UTR dual-luciferase reporter constructs were used for </w:t>
      </w:r>
      <w:proofErr w:type="spellStart"/>
      <w:r w:rsidRPr="005601DA">
        <w:rPr>
          <w:rFonts w:ascii="Times New Roman" w:hAnsi="Times New Roman" w:cs="Times New Roman"/>
          <w:color w:val="131413"/>
          <w:sz w:val="20"/>
          <w:szCs w:val="20"/>
        </w:rPr>
        <w:t>cotransfection</w:t>
      </w:r>
      <w:proofErr w:type="spellEnd"/>
      <w:r w:rsidRPr="005601DA">
        <w:rPr>
          <w:rFonts w:ascii="Times New Roman" w:hAnsi="Times New Roman" w:cs="Times New Roman"/>
          <w:color w:val="131413"/>
          <w:sz w:val="20"/>
          <w:szCs w:val="20"/>
        </w:rPr>
        <w:t>. The cells were subjected to a dual-luciferase assay 24 hours after transfection. Luciferase activity was measured using the Dual-Luciferase Reporter Assay System.</w:t>
      </w:r>
    </w:p>
    <w:p w14:paraId="635CB728" w14:textId="77777777" w:rsidR="00DE2211" w:rsidRPr="005601DA" w:rsidRDefault="00DE2211" w:rsidP="00DE2211">
      <w:pPr>
        <w:spacing w:line="480" w:lineRule="auto"/>
        <w:jc w:val="both"/>
        <w:rPr>
          <w:rFonts w:ascii="Times New Roman" w:hAnsi="Times New Roman" w:cs="Times New Roman"/>
          <w:b/>
          <w:i/>
          <w:color w:val="131413"/>
          <w:sz w:val="20"/>
          <w:szCs w:val="20"/>
        </w:rPr>
      </w:pPr>
      <w:r w:rsidRPr="005601DA">
        <w:rPr>
          <w:rFonts w:ascii="Times New Roman" w:hAnsi="Times New Roman" w:cs="Times New Roman"/>
          <w:b/>
          <w:i/>
          <w:color w:val="131413"/>
          <w:sz w:val="20"/>
          <w:szCs w:val="20"/>
        </w:rPr>
        <w:t>Cell invasion assay</w:t>
      </w:r>
    </w:p>
    <w:p w14:paraId="76EB73BC" w14:textId="77777777" w:rsidR="00DE2211" w:rsidRPr="005601DA" w:rsidRDefault="00DE2211" w:rsidP="00DE2211">
      <w:pPr>
        <w:spacing w:line="480" w:lineRule="auto"/>
        <w:jc w:val="both"/>
        <w:rPr>
          <w:rFonts w:ascii="Times New Roman" w:hAnsi="Times New Roman" w:cs="Times New Roman"/>
          <w:color w:val="131413"/>
          <w:sz w:val="20"/>
          <w:szCs w:val="20"/>
        </w:rPr>
      </w:pPr>
      <w:r w:rsidRPr="005601DA">
        <w:rPr>
          <w:rFonts w:ascii="Times New Roman" w:hAnsi="Times New Roman" w:cs="Times New Roman"/>
          <w:color w:val="131413"/>
          <w:sz w:val="20"/>
          <w:szCs w:val="20"/>
        </w:rPr>
        <w:t>For the invasion assay, 5×10</w:t>
      </w:r>
      <w:r w:rsidRPr="005601DA">
        <w:rPr>
          <w:rFonts w:ascii="Times New Roman" w:hAnsi="Times New Roman" w:cs="Times New Roman"/>
          <w:color w:val="131413"/>
          <w:sz w:val="20"/>
          <w:szCs w:val="20"/>
          <w:vertAlign w:val="superscript"/>
        </w:rPr>
        <w:t>4</w:t>
      </w:r>
      <w:r w:rsidRPr="005601DA">
        <w:rPr>
          <w:rFonts w:ascii="Times New Roman" w:hAnsi="Times New Roman" w:cs="Times New Roman"/>
          <w:color w:val="131413"/>
          <w:sz w:val="20"/>
          <w:szCs w:val="20"/>
        </w:rPr>
        <w:t xml:space="preserve"> cells were suspended in serum-free culture medium and seeded in the top chamber of a 24-well, 8 </w:t>
      </w:r>
      <w:proofErr w:type="spellStart"/>
      <w:r w:rsidRPr="005601DA">
        <w:rPr>
          <w:rFonts w:ascii="Times New Roman" w:hAnsi="Times New Roman" w:cs="Times New Roman"/>
          <w:color w:val="131413"/>
          <w:sz w:val="20"/>
          <w:szCs w:val="20"/>
        </w:rPr>
        <w:t>μm</w:t>
      </w:r>
      <w:proofErr w:type="spellEnd"/>
      <w:r w:rsidRPr="005601DA">
        <w:rPr>
          <w:rFonts w:ascii="Times New Roman" w:hAnsi="Times New Roman" w:cs="Times New Roman"/>
          <w:color w:val="131413"/>
          <w:sz w:val="20"/>
          <w:szCs w:val="20"/>
        </w:rPr>
        <w:t xml:space="preserve">, </w:t>
      </w:r>
      <w:proofErr w:type="spellStart"/>
      <w:r w:rsidRPr="005601DA">
        <w:rPr>
          <w:rFonts w:ascii="Times New Roman" w:hAnsi="Times New Roman" w:cs="Times New Roman"/>
          <w:color w:val="131413"/>
          <w:sz w:val="20"/>
          <w:szCs w:val="20"/>
        </w:rPr>
        <w:t>transwell</w:t>
      </w:r>
      <w:proofErr w:type="spellEnd"/>
      <w:r w:rsidRPr="005601DA">
        <w:rPr>
          <w:rFonts w:ascii="Times New Roman" w:hAnsi="Times New Roman" w:cs="Times New Roman"/>
          <w:color w:val="131413"/>
          <w:sz w:val="20"/>
          <w:szCs w:val="20"/>
        </w:rPr>
        <w:t xml:space="preserve"> unit (Corning). The unit was precoated with Matrigel (1: 8 </w:t>
      </w:r>
      <w:proofErr w:type="gramStart"/>
      <w:r w:rsidRPr="005601DA">
        <w:rPr>
          <w:rFonts w:ascii="Times New Roman" w:hAnsi="Times New Roman" w:cs="Times New Roman"/>
          <w:color w:val="131413"/>
          <w:sz w:val="20"/>
          <w:szCs w:val="20"/>
        </w:rPr>
        <w:t>dilution</w:t>
      </w:r>
      <w:proofErr w:type="gramEnd"/>
      <w:r w:rsidRPr="005601DA">
        <w:rPr>
          <w:rFonts w:ascii="Times New Roman" w:hAnsi="Times New Roman" w:cs="Times New Roman"/>
          <w:color w:val="131413"/>
          <w:sz w:val="20"/>
          <w:szCs w:val="20"/>
        </w:rPr>
        <w:t xml:space="preserve">, BD Pharmingen). DMEM supplemented with 10% FBS was added to the bottom chambers of the </w:t>
      </w:r>
      <w:proofErr w:type="spellStart"/>
      <w:r w:rsidRPr="005601DA">
        <w:rPr>
          <w:rFonts w:ascii="Times New Roman" w:hAnsi="Times New Roman" w:cs="Times New Roman"/>
          <w:color w:val="131413"/>
          <w:sz w:val="20"/>
          <w:szCs w:val="20"/>
        </w:rPr>
        <w:t>Transwell</w:t>
      </w:r>
      <w:proofErr w:type="spellEnd"/>
      <w:r w:rsidRPr="005601DA">
        <w:rPr>
          <w:rFonts w:ascii="Times New Roman" w:hAnsi="Times New Roman" w:cs="Times New Roman"/>
          <w:color w:val="131413"/>
          <w:sz w:val="20"/>
          <w:szCs w:val="20"/>
        </w:rPr>
        <w:t xml:space="preserve"> unit, to induce metastasis. Cells were allowed to migrate for 24hr at 37</w:t>
      </w:r>
      <w:r w:rsidRPr="005601DA">
        <w:rPr>
          <w:rFonts w:ascii="Times New Roman" w:eastAsia="宋体" w:hAnsi="Times New Roman" w:cs="Times New Roman"/>
          <w:color w:val="131413"/>
          <w:sz w:val="20"/>
          <w:szCs w:val="20"/>
        </w:rPr>
        <w:t>℃</w:t>
      </w:r>
      <w:r w:rsidRPr="005601DA">
        <w:rPr>
          <w:rFonts w:ascii="Times New Roman" w:hAnsi="Times New Roman" w:cs="Times New Roman"/>
          <w:color w:val="131413"/>
          <w:sz w:val="20"/>
          <w:szCs w:val="20"/>
        </w:rPr>
        <w:t>, uninvaded cells in the top chambers were then removed and cells that had migrated into the bottom chambers were fixed, stained and quantified.</w:t>
      </w:r>
    </w:p>
    <w:p w14:paraId="41C3FD51" w14:textId="77777777" w:rsidR="00DE2211" w:rsidRPr="005601DA" w:rsidRDefault="00DE2211" w:rsidP="00DE2211">
      <w:pPr>
        <w:spacing w:line="480" w:lineRule="auto"/>
        <w:jc w:val="both"/>
        <w:rPr>
          <w:rFonts w:ascii="Times New Roman" w:hAnsi="Times New Roman" w:cs="Times New Roman"/>
          <w:b/>
          <w:i/>
          <w:color w:val="131413"/>
          <w:sz w:val="20"/>
          <w:szCs w:val="20"/>
        </w:rPr>
      </w:pPr>
      <w:r w:rsidRPr="005601DA">
        <w:rPr>
          <w:rFonts w:ascii="Times New Roman" w:hAnsi="Times New Roman" w:cs="Times New Roman"/>
          <w:b/>
          <w:i/>
          <w:color w:val="131413"/>
          <w:sz w:val="20"/>
          <w:szCs w:val="20"/>
        </w:rPr>
        <w:t>Wound healing assay</w:t>
      </w:r>
    </w:p>
    <w:p w14:paraId="3E022BCB" w14:textId="53EBCE79" w:rsidR="00000000" w:rsidRPr="00DE2211" w:rsidRDefault="00DE2211" w:rsidP="005601DA">
      <w:pPr>
        <w:spacing w:line="480" w:lineRule="auto"/>
        <w:jc w:val="both"/>
      </w:pPr>
      <w:r w:rsidRPr="005601DA">
        <w:rPr>
          <w:rFonts w:ascii="Times New Roman" w:hAnsi="Times New Roman" w:cs="Times New Roman"/>
          <w:color w:val="131413"/>
          <w:sz w:val="20"/>
          <w:szCs w:val="20"/>
        </w:rPr>
        <w:t xml:space="preserve">Cells were seeded in a fibronectin coated 6-well plate; wounds were made using 200 </w:t>
      </w:r>
      <w:proofErr w:type="spellStart"/>
      <w:r w:rsidRPr="005601DA">
        <w:rPr>
          <w:rFonts w:ascii="Times New Roman" w:hAnsi="Times New Roman" w:cs="Times New Roman"/>
          <w:color w:val="131413"/>
          <w:sz w:val="20"/>
          <w:szCs w:val="20"/>
        </w:rPr>
        <w:t>μl</w:t>
      </w:r>
      <w:proofErr w:type="spellEnd"/>
      <w:r w:rsidRPr="005601DA">
        <w:rPr>
          <w:rFonts w:ascii="Times New Roman" w:hAnsi="Times New Roman" w:cs="Times New Roman"/>
          <w:color w:val="131413"/>
          <w:sz w:val="20"/>
          <w:szCs w:val="20"/>
        </w:rPr>
        <w:t xml:space="preserve"> pipette tips when the cells reached 90% confluence. Cells were washed with PBS and then cultured in fresh, serum-free, culture media. The Photographs were taken post wound at 0 hours and 24 hours. The wound width was quantified using NIS-Elements software (Nikon, Japan).</w:t>
      </w:r>
    </w:p>
    <w:sectPr w:rsidR="0071296C" w:rsidRPr="00DE22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FF60B" w14:textId="77777777" w:rsidR="00611BE7" w:rsidRDefault="00611BE7" w:rsidP="00DE2211">
      <w:pPr>
        <w:spacing w:after="0" w:line="240" w:lineRule="auto"/>
      </w:pPr>
      <w:r>
        <w:separator/>
      </w:r>
    </w:p>
  </w:endnote>
  <w:endnote w:type="continuationSeparator" w:id="0">
    <w:p w14:paraId="4B292E8A" w14:textId="77777777" w:rsidR="00611BE7" w:rsidRDefault="00611BE7" w:rsidP="00DE2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891D0" w14:textId="77777777" w:rsidR="00611BE7" w:rsidRDefault="00611BE7" w:rsidP="00DE2211">
      <w:pPr>
        <w:spacing w:after="0" w:line="240" w:lineRule="auto"/>
      </w:pPr>
      <w:r>
        <w:separator/>
      </w:r>
    </w:p>
  </w:footnote>
  <w:footnote w:type="continuationSeparator" w:id="0">
    <w:p w14:paraId="25A1A59B" w14:textId="77777777" w:rsidR="00611BE7" w:rsidRDefault="00611BE7" w:rsidP="00DE22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95E"/>
    <w:rsid w:val="0022695E"/>
    <w:rsid w:val="005601DA"/>
    <w:rsid w:val="0057533C"/>
    <w:rsid w:val="00597001"/>
    <w:rsid w:val="00611BE7"/>
    <w:rsid w:val="008D1102"/>
    <w:rsid w:val="00BD1EA0"/>
    <w:rsid w:val="00DE2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9039C"/>
  <w15:chartTrackingRefBased/>
  <w15:docId w15:val="{B89C2E73-8239-455A-88C9-8EE57490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211"/>
    <w:pPr>
      <w:spacing w:after="200" w:line="276" w:lineRule="auto"/>
    </w:pPr>
    <w:rPr>
      <w:kern w:val="0"/>
      <w:sz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211"/>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a4">
    <w:name w:val="页眉 字符"/>
    <w:basedOn w:val="a0"/>
    <w:link w:val="a3"/>
    <w:uiPriority w:val="99"/>
    <w:rsid w:val="00DE2211"/>
    <w:rPr>
      <w:sz w:val="18"/>
      <w:szCs w:val="18"/>
    </w:rPr>
  </w:style>
  <w:style w:type="paragraph" w:styleId="a5">
    <w:name w:val="footer"/>
    <w:basedOn w:val="a"/>
    <w:link w:val="a6"/>
    <w:uiPriority w:val="99"/>
    <w:unhideWhenUsed/>
    <w:rsid w:val="00DE2211"/>
    <w:pPr>
      <w:widowControl w:val="0"/>
      <w:tabs>
        <w:tab w:val="center" w:pos="4153"/>
        <w:tab w:val="right" w:pos="8306"/>
      </w:tabs>
      <w:snapToGrid w:val="0"/>
      <w:spacing w:after="0" w:line="240" w:lineRule="auto"/>
    </w:pPr>
    <w:rPr>
      <w:kern w:val="2"/>
      <w:sz w:val="18"/>
      <w:szCs w:val="18"/>
      <w:lang w:eastAsia="zh-CN"/>
    </w:rPr>
  </w:style>
  <w:style w:type="character" w:customStyle="1" w:styleId="a6">
    <w:name w:val="页脚 字符"/>
    <w:basedOn w:val="a0"/>
    <w:link w:val="a5"/>
    <w:uiPriority w:val="99"/>
    <w:rsid w:val="00DE22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496</Words>
  <Characters>2830</Characters>
  <Application>Microsoft Office Word</Application>
  <DocSecurity>0</DocSecurity>
  <Lines>23</Lines>
  <Paragraphs>6</Paragraphs>
  <ScaleCrop>false</ScaleCrop>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围 周</dc:creator>
  <cp:keywords/>
  <dc:description/>
  <cp:lastModifiedBy>围 周</cp:lastModifiedBy>
  <cp:revision>3</cp:revision>
  <dcterms:created xsi:type="dcterms:W3CDTF">2023-05-05T07:29:00Z</dcterms:created>
  <dcterms:modified xsi:type="dcterms:W3CDTF">2023-10-10T10:47:00Z</dcterms:modified>
</cp:coreProperties>
</file>