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0C46B8" w14:textId="77777777" w:rsidR="00462367" w:rsidRPr="00BE6F4A" w:rsidRDefault="00462367" w:rsidP="00462367">
      <w:pPr>
        <w:pageBreakBefore/>
        <w:autoSpaceDE w:val="0"/>
        <w:autoSpaceDN w:val="0"/>
        <w:adjustRightInd w:val="0"/>
        <w:spacing w:after="0" w:line="360" w:lineRule="auto"/>
        <w:rPr>
          <w:rFonts w:ascii="Times New Roman" w:eastAsia="Times New Roman" w:hAnsi="Times New Roman" w:cs="Times New Roman"/>
          <w:b/>
          <w:sz w:val="22"/>
          <w:szCs w:val="22"/>
          <w:lang w:val="en-GB"/>
        </w:rPr>
      </w:pPr>
      <w:r>
        <w:rPr>
          <w:rFonts w:ascii="Times New Roman" w:hAnsi="Times New Roman" w:cs="Times New Roman"/>
          <w:b/>
          <w:color w:val="000000"/>
          <w:sz w:val="22"/>
          <w:szCs w:val="22"/>
          <w:lang w:val="en-GB"/>
        </w:rPr>
        <w:t xml:space="preserve">Additional file 4: </w:t>
      </w:r>
      <w:r w:rsidRPr="00BE6F4A">
        <w:rPr>
          <w:rFonts w:ascii="Times New Roman" w:hAnsi="Times New Roman" w:cs="Times New Roman"/>
          <w:b/>
          <w:color w:val="000000"/>
          <w:sz w:val="22"/>
          <w:szCs w:val="22"/>
          <w:lang w:val="en-GB"/>
        </w:rPr>
        <w:t xml:space="preserve">Table </w:t>
      </w:r>
      <w:r>
        <w:rPr>
          <w:rFonts w:ascii="Times New Roman" w:hAnsi="Times New Roman" w:cs="Times New Roman"/>
          <w:b/>
          <w:color w:val="000000"/>
          <w:sz w:val="22"/>
          <w:szCs w:val="22"/>
          <w:lang w:val="en-GB"/>
        </w:rPr>
        <w:t>S4</w:t>
      </w:r>
      <w:r w:rsidRPr="00BE6F4A">
        <w:rPr>
          <w:rFonts w:ascii="Times New Roman" w:eastAsia="Times New Roman" w:hAnsi="Times New Roman" w:cs="Times New Roman"/>
          <w:b/>
          <w:sz w:val="22"/>
          <w:szCs w:val="22"/>
          <w:lang w:val="en-GB"/>
        </w:rPr>
        <w:t>.</w:t>
      </w:r>
      <w:r w:rsidRPr="00BE6F4A">
        <w:rPr>
          <w:rFonts w:ascii="Times New Roman" w:eastAsia="Times New Roman" w:hAnsi="Times New Roman" w:cs="Times New Roman"/>
          <w:sz w:val="22"/>
          <w:szCs w:val="22"/>
          <w:lang w:val="en-GB"/>
        </w:rPr>
        <w:t xml:space="preserve"> Patients with ocular and non-ocular adverse events at 5 years: Safety and primary treated eye set</w:t>
      </w:r>
    </w:p>
    <w:tbl>
      <w:tblPr>
        <w:tblW w:w="9419" w:type="dxa"/>
        <w:tblCellMar>
          <w:left w:w="0" w:type="dxa"/>
          <w:right w:w="0" w:type="dxa"/>
        </w:tblCellMar>
        <w:tblLook w:val="0420" w:firstRow="1" w:lastRow="0" w:firstColumn="0" w:lastColumn="0" w:noHBand="0" w:noVBand="1"/>
      </w:tblPr>
      <w:tblGrid>
        <w:gridCol w:w="2515"/>
        <w:gridCol w:w="2500"/>
        <w:gridCol w:w="2364"/>
        <w:gridCol w:w="2040"/>
      </w:tblGrid>
      <w:tr w:rsidR="00462367" w:rsidRPr="00BE6F4A" w14:paraId="43C6C4F1" w14:textId="77777777" w:rsidTr="00082AAB">
        <w:trPr>
          <w:trHeight w:val="20"/>
        </w:trPr>
        <w:tc>
          <w:tcPr>
            <w:tcW w:w="2515"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0901B932" w14:textId="77777777" w:rsidR="00462367" w:rsidRPr="00BE6F4A" w:rsidRDefault="00462367"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Preferred term, n (%)</w:t>
            </w:r>
          </w:p>
        </w:tc>
        <w:tc>
          <w:tcPr>
            <w:tcW w:w="2500"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222A570F"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Treatment-naïve</w:t>
            </w:r>
          </w:p>
          <w:p w14:paraId="4D5AA525"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n=152</w:t>
            </w:r>
          </w:p>
        </w:tc>
        <w:tc>
          <w:tcPr>
            <w:tcW w:w="2364"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297E4AB5"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Prior-treated</w:t>
            </w:r>
          </w:p>
          <w:p w14:paraId="6D04BDD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n=215</w:t>
            </w:r>
          </w:p>
        </w:tc>
        <w:tc>
          <w:tcPr>
            <w:tcW w:w="2040" w:type="dxa"/>
            <w:tcBorders>
              <w:top w:val="single" w:sz="4" w:space="0" w:color="auto"/>
              <w:bottom w:val="single" w:sz="4" w:space="0" w:color="auto"/>
            </w:tcBorders>
            <w:vAlign w:val="center"/>
          </w:tcPr>
          <w:p w14:paraId="69F3FB3B"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Total</w:t>
            </w:r>
          </w:p>
          <w:p w14:paraId="4FF9F8B3"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N=367</w:t>
            </w:r>
          </w:p>
        </w:tc>
      </w:tr>
      <w:tr w:rsidR="00462367" w:rsidRPr="00BE6F4A" w14:paraId="0A40614F" w14:textId="77777777" w:rsidTr="00082AAB">
        <w:trPr>
          <w:trHeight w:val="20"/>
        </w:trPr>
        <w:tc>
          <w:tcPr>
            <w:tcW w:w="2515" w:type="dxa"/>
            <w:tcBorders>
              <w:top w:val="single" w:sz="4" w:space="0" w:color="auto"/>
            </w:tcBorders>
            <w:shd w:val="clear" w:color="auto" w:fill="auto"/>
            <w:tcMar>
              <w:top w:w="15" w:type="dxa"/>
              <w:left w:w="105" w:type="dxa"/>
              <w:bottom w:w="0" w:type="dxa"/>
              <w:right w:w="105" w:type="dxa"/>
            </w:tcMar>
            <w:vAlign w:val="center"/>
            <w:hideMark/>
          </w:tcPr>
          <w:p w14:paraId="3B7E2A31" w14:textId="77777777" w:rsidR="00462367" w:rsidRPr="00BE6F4A" w:rsidRDefault="00462367"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Ocular AEs, total</w:t>
            </w:r>
          </w:p>
        </w:tc>
        <w:tc>
          <w:tcPr>
            <w:tcW w:w="2500" w:type="dxa"/>
            <w:tcBorders>
              <w:top w:val="single" w:sz="4" w:space="0" w:color="auto"/>
            </w:tcBorders>
            <w:shd w:val="clear" w:color="auto" w:fill="auto"/>
            <w:tcMar>
              <w:top w:w="15" w:type="dxa"/>
              <w:left w:w="105" w:type="dxa"/>
              <w:bottom w:w="0" w:type="dxa"/>
              <w:right w:w="105" w:type="dxa"/>
            </w:tcMar>
            <w:vAlign w:val="center"/>
            <w:hideMark/>
          </w:tcPr>
          <w:p w14:paraId="72256F11"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16 (10.5)</w:t>
            </w:r>
          </w:p>
        </w:tc>
        <w:tc>
          <w:tcPr>
            <w:tcW w:w="2364" w:type="dxa"/>
            <w:tcBorders>
              <w:top w:val="single" w:sz="4" w:space="0" w:color="auto"/>
            </w:tcBorders>
            <w:shd w:val="clear" w:color="auto" w:fill="auto"/>
            <w:tcMar>
              <w:top w:w="15" w:type="dxa"/>
              <w:left w:w="105" w:type="dxa"/>
              <w:bottom w:w="0" w:type="dxa"/>
              <w:right w:w="105" w:type="dxa"/>
            </w:tcMar>
            <w:vAlign w:val="center"/>
            <w:hideMark/>
          </w:tcPr>
          <w:p w14:paraId="2122D424"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15 (7.0)</w:t>
            </w:r>
          </w:p>
        </w:tc>
        <w:tc>
          <w:tcPr>
            <w:tcW w:w="2040" w:type="dxa"/>
            <w:tcBorders>
              <w:top w:val="single" w:sz="4" w:space="0" w:color="auto"/>
            </w:tcBorders>
            <w:vAlign w:val="center"/>
          </w:tcPr>
          <w:p w14:paraId="50313162"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31 (8.4)</w:t>
            </w:r>
          </w:p>
        </w:tc>
      </w:tr>
      <w:tr w:rsidR="00462367" w:rsidRPr="00BE6F4A" w14:paraId="0E20DD0E" w14:textId="77777777" w:rsidTr="00082AAB">
        <w:trPr>
          <w:trHeight w:val="20"/>
        </w:trPr>
        <w:tc>
          <w:tcPr>
            <w:tcW w:w="2515" w:type="dxa"/>
            <w:shd w:val="clear" w:color="auto" w:fill="auto"/>
            <w:tcMar>
              <w:top w:w="15" w:type="dxa"/>
              <w:left w:w="105" w:type="dxa"/>
              <w:bottom w:w="0" w:type="dxa"/>
              <w:right w:w="105" w:type="dxa"/>
            </w:tcMar>
            <w:vAlign w:val="center"/>
            <w:hideMark/>
          </w:tcPr>
          <w:p w14:paraId="62E1CBF8"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Cataract</w:t>
            </w:r>
          </w:p>
        </w:tc>
        <w:tc>
          <w:tcPr>
            <w:tcW w:w="2500" w:type="dxa"/>
            <w:shd w:val="clear" w:color="auto" w:fill="auto"/>
            <w:tcMar>
              <w:top w:w="15" w:type="dxa"/>
              <w:left w:w="105" w:type="dxa"/>
              <w:bottom w:w="0" w:type="dxa"/>
              <w:right w:w="105" w:type="dxa"/>
            </w:tcMar>
            <w:vAlign w:val="center"/>
            <w:hideMark/>
          </w:tcPr>
          <w:p w14:paraId="0B5AD2BF"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3 (2.0)</w:t>
            </w:r>
          </w:p>
        </w:tc>
        <w:tc>
          <w:tcPr>
            <w:tcW w:w="2364" w:type="dxa"/>
            <w:shd w:val="clear" w:color="auto" w:fill="auto"/>
            <w:tcMar>
              <w:top w:w="15" w:type="dxa"/>
              <w:left w:w="105" w:type="dxa"/>
              <w:bottom w:w="0" w:type="dxa"/>
              <w:right w:w="105" w:type="dxa"/>
            </w:tcMar>
            <w:vAlign w:val="center"/>
            <w:hideMark/>
          </w:tcPr>
          <w:p w14:paraId="3653A136"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5 (2.3)</w:t>
            </w:r>
          </w:p>
        </w:tc>
        <w:tc>
          <w:tcPr>
            <w:tcW w:w="2040" w:type="dxa"/>
            <w:vAlign w:val="center"/>
          </w:tcPr>
          <w:p w14:paraId="415C5475"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8 (2.2)</w:t>
            </w:r>
          </w:p>
        </w:tc>
      </w:tr>
      <w:tr w:rsidR="00462367" w:rsidRPr="00BE6F4A" w14:paraId="71416C12" w14:textId="77777777" w:rsidTr="00082AAB">
        <w:trPr>
          <w:trHeight w:val="20"/>
        </w:trPr>
        <w:tc>
          <w:tcPr>
            <w:tcW w:w="2515" w:type="dxa"/>
            <w:shd w:val="clear" w:color="auto" w:fill="auto"/>
            <w:tcMar>
              <w:top w:w="15" w:type="dxa"/>
              <w:left w:w="105" w:type="dxa"/>
              <w:bottom w:w="0" w:type="dxa"/>
              <w:right w:w="105" w:type="dxa"/>
            </w:tcMar>
            <w:vAlign w:val="center"/>
            <w:hideMark/>
          </w:tcPr>
          <w:p w14:paraId="1DCD1FAE"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Conjunctival haemorrhage</w:t>
            </w:r>
          </w:p>
        </w:tc>
        <w:tc>
          <w:tcPr>
            <w:tcW w:w="2500" w:type="dxa"/>
            <w:shd w:val="clear" w:color="auto" w:fill="auto"/>
            <w:tcMar>
              <w:top w:w="15" w:type="dxa"/>
              <w:left w:w="105" w:type="dxa"/>
              <w:bottom w:w="0" w:type="dxa"/>
              <w:right w:w="105" w:type="dxa"/>
            </w:tcMar>
            <w:vAlign w:val="center"/>
            <w:hideMark/>
          </w:tcPr>
          <w:p w14:paraId="61451586"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4 (2.6)</w:t>
            </w:r>
          </w:p>
        </w:tc>
        <w:tc>
          <w:tcPr>
            <w:tcW w:w="2364" w:type="dxa"/>
            <w:shd w:val="clear" w:color="auto" w:fill="auto"/>
            <w:tcMar>
              <w:top w:w="15" w:type="dxa"/>
              <w:left w:w="105" w:type="dxa"/>
              <w:bottom w:w="0" w:type="dxa"/>
              <w:right w:w="105" w:type="dxa"/>
            </w:tcMar>
            <w:vAlign w:val="center"/>
            <w:hideMark/>
          </w:tcPr>
          <w:p w14:paraId="3257A22D"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(0.5)</w:t>
            </w:r>
          </w:p>
        </w:tc>
        <w:tc>
          <w:tcPr>
            <w:tcW w:w="2040" w:type="dxa"/>
            <w:vAlign w:val="center"/>
          </w:tcPr>
          <w:p w14:paraId="66F572C9"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5 (1.4)</w:t>
            </w:r>
          </w:p>
        </w:tc>
      </w:tr>
      <w:tr w:rsidR="00462367" w:rsidRPr="00BE6F4A" w14:paraId="03BAEA45" w14:textId="77777777" w:rsidTr="00082AAB">
        <w:trPr>
          <w:trHeight w:val="20"/>
        </w:trPr>
        <w:tc>
          <w:tcPr>
            <w:tcW w:w="2515" w:type="dxa"/>
            <w:shd w:val="clear" w:color="auto" w:fill="auto"/>
            <w:tcMar>
              <w:top w:w="15" w:type="dxa"/>
              <w:left w:w="105" w:type="dxa"/>
              <w:bottom w:w="0" w:type="dxa"/>
              <w:right w:w="105" w:type="dxa"/>
            </w:tcMar>
            <w:vAlign w:val="center"/>
            <w:hideMark/>
          </w:tcPr>
          <w:p w14:paraId="75DBF3AF"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Dry eyes</w:t>
            </w:r>
          </w:p>
        </w:tc>
        <w:tc>
          <w:tcPr>
            <w:tcW w:w="2500" w:type="dxa"/>
            <w:shd w:val="clear" w:color="auto" w:fill="auto"/>
            <w:tcMar>
              <w:top w:w="15" w:type="dxa"/>
              <w:left w:w="105" w:type="dxa"/>
              <w:bottom w:w="0" w:type="dxa"/>
              <w:right w:w="105" w:type="dxa"/>
            </w:tcMar>
            <w:vAlign w:val="center"/>
            <w:hideMark/>
          </w:tcPr>
          <w:p w14:paraId="1220783D"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3 (2.0)</w:t>
            </w:r>
          </w:p>
        </w:tc>
        <w:tc>
          <w:tcPr>
            <w:tcW w:w="2364" w:type="dxa"/>
            <w:shd w:val="clear" w:color="auto" w:fill="auto"/>
            <w:tcMar>
              <w:top w:w="15" w:type="dxa"/>
              <w:left w:w="105" w:type="dxa"/>
              <w:bottom w:w="0" w:type="dxa"/>
              <w:right w:w="105" w:type="dxa"/>
            </w:tcMar>
            <w:vAlign w:val="center"/>
            <w:hideMark/>
          </w:tcPr>
          <w:p w14:paraId="02B172C9"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(0.9)</w:t>
            </w:r>
          </w:p>
        </w:tc>
        <w:tc>
          <w:tcPr>
            <w:tcW w:w="2040" w:type="dxa"/>
            <w:vAlign w:val="center"/>
          </w:tcPr>
          <w:p w14:paraId="6C8D4C74"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5 (1.4)</w:t>
            </w:r>
          </w:p>
        </w:tc>
      </w:tr>
      <w:tr w:rsidR="00462367" w:rsidRPr="00BE6F4A" w14:paraId="03E647D5" w14:textId="77777777" w:rsidTr="00082AAB">
        <w:trPr>
          <w:trHeight w:val="20"/>
        </w:trPr>
        <w:tc>
          <w:tcPr>
            <w:tcW w:w="2515" w:type="dxa"/>
            <w:shd w:val="clear" w:color="auto" w:fill="auto"/>
            <w:tcMar>
              <w:top w:w="15" w:type="dxa"/>
              <w:left w:w="105" w:type="dxa"/>
              <w:bottom w:w="0" w:type="dxa"/>
              <w:right w:w="105" w:type="dxa"/>
            </w:tcMar>
            <w:vAlign w:val="center"/>
            <w:hideMark/>
          </w:tcPr>
          <w:p w14:paraId="34BA014E"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Conjunctivitis allergic</w:t>
            </w:r>
          </w:p>
        </w:tc>
        <w:tc>
          <w:tcPr>
            <w:tcW w:w="2500" w:type="dxa"/>
            <w:shd w:val="clear" w:color="auto" w:fill="auto"/>
            <w:tcMar>
              <w:top w:w="15" w:type="dxa"/>
              <w:left w:w="105" w:type="dxa"/>
              <w:bottom w:w="0" w:type="dxa"/>
              <w:right w:w="105" w:type="dxa"/>
            </w:tcMar>
            <w:vAlign w:val="center"/>
            <w:hideMark/>
          </w:tcPr>
          <w:p w14:paraId="5ED0D591"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3 (2.0)</w:t>
            </w:r>
          </w:p>
        </w:tc>
        <w:tc>
          <w:tcPr>
            <w:tcW w:w="2364" w:type="dxa"/>
            <w:shd w:val="clear" w:color="auto" w:fill="auto"/>
            <w:tcMar>
              <w:top w:w="15" w:type="dxa"/>
              <w:left w:w="105" w:type="dxa"/>
              <w:bottom w:w="0" w:type="dxa"/>
              <w:right w:w="105" w:type="dxa"/>
            </w:tcMar>
            <w:vAlign w:val="center"/>
            <w:hideMark/>
          </w:tcPr>
          <w:p w14:paraId="0C9DF96A"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(0.5)</w:t>
            </w:r>
          </w:p>
        </w:tc>
        <w:tc>
          <w:tcPr>
            <w:tcW w:w="2040" w:type="dxa"/>
            <w:vAlign w:val="center"/>
          </w:tcPr>
          <w:p w14:paraId="237613E7"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4 (1.1)</w:t>
            </w:r>
          </w:p>
        </w:tc>
      </w:tr>
      <w:tr w:rsidR="00462367" w:rsidRPr="00BE6F4A" w14:paraId="46D82D3C" w14:textId="77777777" w:rsidTr="00082AAB">
        <w:trPr>
          <w:trHeight w:val="20"/>
        </w:trPr>
        <w:tc>
          <w:tcPr>
            <w:tcW w:w="2515" w:type="dxa"/>
            <w:shd w:val="clear" w:color="auto" w:fill="auto"/>
            <w:tcMar>
              <w:top w:w="15" w:type="dxa"/>
              <w:left w:w="105" w:type="dxa"/>
              <w:bottom w:w="0" w:type="dxa"/>
              <w:right w:w="105" w:type="dxa"/>
            </w:tcMar>
            <w:vAlign w:val="center"/>
            <w:hideMark/>
          </w:tcPr>
          <w:p w14:paraId="345E71B9"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Posterior capsule opacification</w:t>
            </w:r>
          </w:p>
        </w:tc>
        <w:tc>
          <w:tcPr>
            <w:tcW w:w="2500" w:type="dxa"/>
            <w:shd w:val="clear" w:color="auto" w:fill="auto"/>
            <w:tcMar>
              <w:top w:w="15" w:type="dxa"/>
              <w:left w:w="105" w:type="dxa"/>
              <w:bottom w:w="0" w:type="dxa"/>
              <w:right w:w="105" w:type="dxa"/>
            </w:tcMar>
            <w:vAlign w:val="center"/>
            <w:hideMark/>
          </w:tcPr>
          <w:p w14:paraId="263D9AA7"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shd w:val="clear" w:color="auto" w:fill="auto"/>
            <w:tcMar>
              <w:top w:w="15" w:type="dxa"/>
              <w:left w:w="105" w:type="dxa"/>
              <w:bottom w:w="0" w:type="dxa"/>
              <w:right w:w="105" w:type="dxa"/>
            </w:tcMar>
            <w:vAlign w:val="center"/>
            <w:hideMark/>
          </w:tcPr>
          <w:p w14:paraId="2462C75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040" w:type="dxa"/>
            <w:vAlign w:val="center"/>
          </w:tcPr>
          <w:p w14:paraId="7C864A2A"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14719E2F" w14:textId="77777777" w:rsidTr="00082AAB">
        <w:trPr>
          <w:trHeight w:val="20"/>
        </w:trPr>
        <w:tc>
          <w:tcPr>
            <w:tcW w:w="2515" w:type="dxa"/>
            <w:tcBorders>
              <w:bottom w:val="single" w:sz="4" w:space="0" w:color="auto"/>
            </w:tcBorders>
            <w:shd w:val="clear" w:color="auto" w:fill="auto"/>
            <w:tcMar>
              <w:top w:w="15" w:type="dxa"/>
              <w:left w:w="105" w:type="dxa"/>
              <w:bottom w:w="0" w:type="dxa"/>
              <w:right w:w="105" w:type="dxa"/>
            </w:tcMar>
            <w:vAlign w:val="center"/>
            <w:hideMark/>
          </w:tcPr>
          <w:p w14:paraId="6E4C39ED"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Vitreous haemorrhage</w:t>
            </w:r>
          </w:p>
        </w:tc>
        <w:tc>
          <w:tcPr>
            <w:tcW w:w="2500" w:type="dxa"/>
            <w:tcBorders>
              <w:bottom w:val="single" w:sz="4" w:space="0" w:color="auto"/>
            </w:tcBorders>
            <w:shd w:val="clear" w:color="auto" w:fill="auto"/>
            <w:tcMar>
              <w:top w:w="15" w:type="dxa"/>
              <w:left w:w="105" w:type="dxa"/>
              <w:bottom w:w="0" w:type="dxa"/>
              <w:right w:w="105" w:type="dxa"/>
            </w:tcMar>
            <w:vAlign w:val="center"/>
            <w:hideMark/>
          </w:tcPr>
          <w:p w14:paraId="7D571ED9"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tcBorders>
              <w:bottom w:val="single" w:sz="4" w:space="0" w:color="auto"/>
            </w:tcBorders>
            <w:shd w:val="clear" w:color="auto" w:fill="auto"/>
            <w:tcMar>
              <w:top w:w="15" w:type="dxa"/>
              <w:left w:w="105" w:type="dxa"/>
              <w:bottom w:w="0" w:type="dxa"/>
              <w:right w:w="105" w:type="dxa"/>
            </w:tcMar>
            <w:vAlign w:val="center"/>
            <w:hideMark/>
          </w:tcPr>
          <w:p w14:paraId="12475E73"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040" w:type="dxa"/>
            <w:tcBorders>
              <w:bottom w:val="single" w:sz="4" w:space="0" w:color="auto"/>
            </w:tcBorders>
            <w:vAlign w:val="center"/>
          </w:tcPr>
          <w:p w14:paraId="56FF1FBE"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121F0138" w14:textId="77777777" w:rsidTr="00082AAB">
        <w:trPr>
          <w:trHeight w:val="20"/>
        </w:trPr>
        <w:tc>
          <w:tcPr>
            <w:tcW w:w="2515" w:type="dxa"/>
            <w:tcBorders>
              <w:top w:val="single" w:sz="4" w:space="0" w:color="auto"/>
            </w:tcBorders>
            <w:shd w:val="clear" w:color="auto" w:fill="auto"/>
            <w:tcMar>
              <w:top w:w="15" w:type="dxa"/>
              <w:left w:w="105" w:type="dxa"/>
              <w:bottom w:w="0" w:type="dxa"/>
              <w:right w:w="105" w:type="dxa"/>
            </w:tcMar>
            <w:vAlign w:val="center"/>
            <w:hideMark/>
          </w:tcPr>
          <w:p w14:paraId="65CE229A" w14:textId="77777777" w:rsidR="00462367" w:rsidRPr="00BE6F4A" w:rsidRDefault="00462367"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Non-ocular AEs, total</w:t>
            </w:r>
          </w:p>
        </w:tc>
        <w:tc>
          <w:tcPr>
            <w:tcW w:w="2500" w:type="dxa"/>
            <w:tcBorders>
              <w:top w:val="single" w:sz="4" w:space="0" w:color="auto"/>
            </w:tcBorders>
            <w:shd w:val="clear" w:color="auto" w:fill="auto"/>
            <w:tcMar>
              <w:top w:w="15" w:type="dxa"/>
              <w:left w:w="105" w:type="dxa"/>
              <w:bottom w:w="0" w:type="dxa"/>
              <w:right w:w="105" w:type="dxa"/>
            </w:tcMar>
            <w:vAlign w:val="center"/>
            <w:hideMark/>
          </w:tcPr>
          <w:p w14:paraId="30124A42"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18 (11.8)</w:t>
            </w:r>
          </w:p>
        </w:tc>
        <w:tc>
          <w:tcPr>
            <w:tcW w:w="2364" w:type="dxa"/>
            <w:tcBorders>
              <w:top w:val="single" w:sz="4" w:space="0" w:color="auto"/>
            </w:tcBorders>
            <w:shd w:val="clear" w:color="auto" w:fill="auto"/>
            <w:tcMar>
              <w:top w:w="15" w:type="dxa"/>
              <w:left w:w="105" w:type="dxa"/>
              <w:bottom w:w="0" w:type="dxa"/>
              <w:right w:w="105" w:type="dxa"/>
            </w:tcMar>
            <w:vAlign w:val="center"/>
            <w:hideMark/>
          </w:tcPr>
          <w:p w14:paraId="48B7976C"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19 (8.8)</w:t>
            </w:r>
          </w:p>
        </w:tc>
        <w:tc>
          <w:tcPr>
            <w:tcW w:w="2040" w:type="dxa"/>
            <w:tcBorders>
              <w:top w:val="single" w:sz="4" w:space="0" w:color="auto"/>
            </w:tcBorders>
            <w:vAlign w:val="center"/>
          </w:tcPr>
          <w:p w14:paraId="4638F515"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37 (10.1)</w:t>
            </w:r>
          </w:p>
        </w:tc>
      </w:tr>
      <w:tr w:rsidR="00462367" w:rsidRPr="00BE6F4A" w14:paraId="05FBE0E8" w14:textId="77777777" w:rsidTr="00082AAB">
        <w:trPr>
          <w:trHeight w:val="20"/>
        </w:trPr>
        <w:tc>
          <w:tcPr>
            <w:tcW w:w="2515" w:type="dxa"/>
            <w:shd w:val="clear" w:color="auto" w:fill="auto"/>
            <w:tcMar>
              <w:top w:w="15" w:type="dxa"/>
              <w:left w:w="105" w:type="dxa"/>
              <w:bottom w:w="0" w:type="dxa"/>
              <w:right w:w="105" w:type="dxa"/>
            </w:tcMar>
            <w:hideMark/>
          </w:tcPr>
          <w:p w14:paraId="4A7E8BF9"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Gastric ulcer</w:t>
            </w:r>
          </w:p>
        </w:tc>
        <w:tc>
          <w:tcPr>
            <w:tcW w:w="2500" w:type="dxa"/>
            <w:shd w:val="clear" w:color="auto" w:fill="auto"/>
            <w:tcMar>
              <w:top w:w="15" w:type="dxa"/>
              <w:left w:w="105" w:type="dxa"/>
              <w:bottom w:w="0" w:type="dxa"/>
              <w:right w:w="105" w:type="dxa"/>
            </w:tcMar>
            <w:vAlign w:val="center"/>
            <w:hideMark/>
          </w:tcPr>
          <w:p w14:paraId="73CCA5FF"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shd w:val="clear" w:color="auto" w:fill="auto"/>
            <w:tcMar>
              <w:top w:w="15" w:type="dxa"/>
              <w:left w:w="105" w:type="dxa"/>
              <w:bottom w:w="0" w:type="dxa"/>
              <w:right w:w="105" w:type="dxa"/>
            </w:tcMar>
            <w:vAlign w:val="center"/>
            <w:hideMark/>
          </w:tcPr>
          <w:p w14:paraId="0D091FFA"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040" w:type="dxa"/>
            <w:vAlign w:val="center"/>
          </w:tcPr>
          <w:p w14:paraId="321C6282"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46375E6D" w14:textId="77777777" w:rsidTr="00082AAB">
        <w:trPr>
          <w:trHeight w:val="20"/>
        </w:trPr>
        <w:tc>
          <w:tcPr>
            <w:tcW w:w="2515" w:type="dxa"/>
            <w:shd w:val="clear" w:color="auto" w:fill="auto"/>
            <w:tcMar>
              <w:top w:w="15" w:type="dxa"/>
              <w:left w:w="105" w:type="dxa"/>
              <w:bottom w:w="0" w:type="dxa"/>
              <w:right w:w="105" w:type="dxa"/>
            </w:tcMar>
            <w:hideMark/>
          </w:tcPr>
          <w:p w14:paraId="2AEFE94B"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Large intestine polyp</w:t>
            </w:r>
          </w:p>
        </w:tc>
        <w:tc>
          <w:tcPr>
            <w:tcW w:w="2500" w:type="dxa"/>
            <w:shd w:val="clear" w:color="auto" w:fill="auto"/>
            <w:tcMar>
              <w:top w:w="15" w:type="dxa"/>
              <w:left w:w="105" w:type="dxa"/>
              <w:bottom w:w="0" w:type="dxa"/>
              <w:right w:w="105" w:type="dxa"/>
            </w:tcMar>
            <w:vAlign w:val="center"/>
            <w:hideMark/>
          </w:tcPr>
          <w:p w14:paraId="50D5A0E3"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364" w:type="dxa"/>
            <w:shd w:val="clear" w:color="auto" w:fill="auto"/>
            <w:tcMar>
              <w:top w:w="15" w:type="dxa"/>
              <w:left w:w="105" w:type="dxa"/>
              <w:bottom w:w="0" w:type="dxa"/>
              <w:right w:w="105" w:type="dxa"/>
            </w:tcMar>
            <w:vAlign w:val="center"/>
            <w:hideMark/>
          </w:tcPr>
          <w:p w14:paraId="2E89F89C"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(0.9)</w:t>
            </w:r>
          </w:p>
        </w:tc>
        <w:tc>
          <w:tcPr>
            <w:tcW w:w="2040" w:type="dxa"/>
            <w:vAlign w:val="center"/>
          </w:tcPr>
          <w:p w14:paraId="7E1351D5"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23B87CE4" w14:textId="77777777" w:rsidTr="00082AAB">
        <w:trPr>
          <w:trHeight w:val="20"/>
        </w:trPr>
        <w:tc>
          <w:tcPr>
            <w:tcW w:w="2515" w:type="dxa"/>
            <w:shd w:val="clear" w:color="auto" w:fill="auto"/>
            <w:tcMar>
              <w:top w:w="15" w:type="dxa"/>
              <w:left w:w="105" w:type="dxa"/>
              <w:bottom w:w="0" w:type="dxa"/>
              <w:right w:w="105" w:type="dxa"/>
            </w:tcMar>
            <w:hideMark/>
          </w:tcPr>
          <w:p w14:paraId="552E53CA"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Herpes zoster infection</w:t>
            </w:r>
          </w:p>
        </w:tc>
        <w:tc>
          <w:tcPr>
            <w:tcW w:w="2500" w:type="dxa"/>
            <w:shd w:val="clear" w:color="auto" w:fill="auto"/>
            <w:tcMar>
              <w:top w:w="15" w:type="dxa"/>
              <w:left w:w="105" w:type="dxa"/>
              <w:bottom w:w="0" w:type="dxa"/>
              <w:right w:w="105" w:type="dxa"/>
            </w:tcMar>
            <w:vAlign w:val="center"/>
            <w:hideMark/>
          </w:tcPr>
          <w:p w14:paraId="6D513E34"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shd w:val="clear" w:color="auto" w:fill="auto"/>
            <w:tcMar>
              <w:top w:w="15" w:type="dxa"/>
              <w:left w:w="105" w:type="dxa"/>
              <w:bottom w:w="0" w:type="dxa"/>
              <w:right w:w="105" w:type="dxa"/>
            </w:tcMar>
            <w:vAlign w:val="center"/>
            <w:hideMark/>
          </w:tcPr>
          <w:p w14:paraId="60CC3837"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(0.5)</w:t>
            </w:r>
          </w:p>
        </w:tc>
        <w:tc>
          <w:tcPr>
            <w:tcW w:w="2040" w:type="dxa"/>
            <w:vAlign w:val="center"/>
          </w:tcPr>
          <w:p w14:paraId="1595826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3 (0.8)</w:t>
            </w:r>
          </w:p>
        </w:tc>
      </w:tr>
      <w:tr w:rsidR="00462367" w:rsidRPr="00BE6F4A" w14:paraId="5E79BA0F" w14:textId="77777777" w:rsidTr="00082AAB">
        <w:trPr>
          <w:trHeight w:val="20"/>
        </w:trPr>
        <w:tc>
          <w:tcPr>
            <w:tcW w:w="2515" w:type="dxa"/>
            <w:shd w:val="clear" w:color="auto" w:fill="auto"/>
            <w:tcMar>
              <w:top w:w="15" w:type="dxa"/>
              <w:left w:w="105" w:type="dxa"/>
              <w:bottom w:w="0" w:type="dxa"/>
              <w:right w:w="105" w:type="dxa"/>
            </w:tcMar>
            <w:hideMark/>
          </w:tcPr>
          <w:p w14:paraId="779BF7A3"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Dizziness</w:t>
            </w:r>
          </w:p>
        </w:tc>
        <w:tc>
          <w:tcPr>
            <w:tcW w:w="2500" w:type="dxa"/>
            <w:shd w:val="clear" w:color="auto" w:fill="auto"/>
            <w:tcMar>
              <w:top w:w="15" w:type="dxa"/>
              <w:left w:w="105" w:type="dxa"/>
              <w:bottom w:w="0" w:type="dxa"/>
              <w:right w:w="105" w:type="dxa"/>
            </w:tcMar>
            <w:vAlign w:val="center"/>
            <w:hideMark/>
          </w:tcPr>
          <w:p w14:paraId="35782CFD"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shd w:val="clear" w:color="auto" w:fill="auto"/>
            <w:tcMar>
              <w:top w:w="15" w:type="dxa"/>
              <w:left w:w="105" w:type="dxa"/>
              <w:bottom w:w="0" w:type="dxa"/>
              <w:right w:w="105" w:type="dxa"/>
            </w:tcMar>
            <w:vAlign w:val="center"/>
            <w:hideMark/>
          </w:tcPr>
          <w:p w14:paraId="5E62BAA7"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040" w:type="dxa"/>
            <w:vAlign w:val="center"/>
          </w:tcPr>
          <w:p w14:paraId="0C9F833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2F558326" w14:textId="77777777" w:rsidTr="00082AAB">
        <w:trPr>
          <w:trHeight w:val="20"/>
        </w:trPr>
        <w:tc>
          <w:tcPr>
            <w:tcW w:w="2515" w:type="dxa"/>
            <w:shd w:val="clear" w:color="auto" w:fill="auto"/>
            <w:tcMar>
              <w:top w:w="15" w:type="dxa"/>
              <w:left w:w="105" w:type="dxa"/>
              <w:bottom w:w="0" w:type="dxa"/>
              <w:right w:w="105" w:type="dxa"/>
            </w:tcMar>
            <w:hideMark/>
          </w:tcPr>
          <w:p w14:paraId="7EE3AC8F"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Headache</w:t>
            </w:r>
          </w:p>
        </w:tc>
        <w:tc>
          <w:tcPr>
            <w:tcW w:w="2500" w:type="dxa"/>
            <w:shd w:val="clear" w:color="auto" w:fill="auto"/>
            <w:tcMar>
              <w:top w:w="15" w:type="dxa"/>
              <w:left w:w="105" w:type="dxa"/>
              <w:bottom w:w="0" w:type="dxa"/>
              <w:right w:w="105" w:type="dxa"/>
            </w:tcMar>
            <w:vAlign w:val="center"/>
            <w:hideMark/>
          </w:tcPr>
          <w:p w14:paraId="7F5FE55A"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(0.7)</w:t>
            </w:r>
          </w:p>
        </w:tc>
        <w:tc>
          <w:tcPr>
            <w:tcW w:w="2364" w:type="dxa"/>
            <w:shd w:val="clear" w:color="auto" w:fill="auto"/>
            <w:tcMar>
              <w:top w:w="15" w:type="dxa"/>
              <w:left w:w="105" w:type="dxa"/>
              <w:bottom w:w="0" w:type="dxa"/>
              <w:right w:w="105" w:type="dxa"/>
            </w:tcMar>
            <w:vAlign w:val="center"/>
            <w:hideMark/>
          </w:tcPr>
          <w:p w14:paraId="1CEEB432"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(0.5)</w:t>
            </w:r>
          </w:p>
        </w:tc>
        <w:tc>
          <w:tcPr>
            <w:tcW w:w="2040" w:type="dxa"/>
            <w:vAlign w:val="center"/>
          </w:tcPr>
          <w:p w14:paraId="0C839771"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4667E8F8" w14:textId="77777777" w:rsidTr="00082AAB">
        <w:trPr>
          <w:trHeight w:val="20"/>
        </w:trPr>
        <w:tc>
          <w:tcPr>
            <w:tcW w:w="2515" w:type="dxa"/>
            <w:shd w:val="clear" w:color="auto" w:fill="auto"/>
            <w:tcMar>
              <w:top w:w="15" w:type="dxa"/>
              <w:left w:w="105" w:type="dxa"/>
              <w:bottom w:w="0" w:type="dxa"/>
              <w:right w:w="105" w:type="dxa"/>
            </w:tcMar>
            <w:hideMark/>
          </w:tcPr>
          <w:p w14:paraId="7E950C03"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Diabetes mellitus</w:t>
            </w:r>
          </w:p>
        </w:tc>
        <w:tc>
          <w:tcPr>
            <w:tcW w:w="2500" w:type="dxa"/>
            <w:shd w:val="clear" w:color="auto" w:fill="auto"/>
            <w:tcMar>
              <w:top w:w="15" w:type="dxa"/>
              <w:left w:w="105" w:type="dxa"/>
              <w:bottom w:w="0" w:type="dxa"/>
              <w:right w:w="105" w:type="dxa"/>
            </w:tcMar>
            <w:vAlign w:val="center"/>
            <w:hideMark/>
          </w:tcPr>
          <w:p w14:paraId="36FACCAC"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364" w:type="dxa"/>
            <w:shd w:val="clear" w:color="auto" w:fill="auto"/>
            <w:tcMar>
              <w:top w:w="15" w:type="dxa"/>
              <w:left w:w="105" w:type="dxa"/>
              <w:bottom w:w="0" w:type="dxa"/>
              <w:right w:w="105" w:type="dxa"/>
            </w:tcMar>
            <w:vAlign w:val="center"/>
            <w:hideMark/>
          </w:tcPr>
          <w:p w14:paraId="4E8AA672"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(0.9)</w:t>
            </w:r>
          </w:p>
        </w:tc>
        <w:tc>
          <w:tcPr>
            <w:tcW w:w="2040" w:type="dxa"/>
            <w:vAlign w:val="center"/>
          </w:tcPr>
          <w:p w14:paraId="38203397"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7213BF7B" w14:textId="77777777" w:rsidTr="00082AAB">
        <w:trPr>
          <w:trHeight w:val="20"/>
        </w:trPr>
        <w:tc>
          <w:tcPr>
            <w:tcW w:w="2515" w:type="dxa"/>
            <w:shd w:val="clear" w:color="auto" w:fill="auto"/>
            <w:tcMar>
              <w:top w:w="15" w:type="dxa"/>
              <w:left w:w="105" w:type="dxa"/>
              <w:bottom w:w="0" w:type="dxa"/>
              <w:right w:w="105" w:type="dxa"/>
            </w:tcMar>
            <w:hideMark/>
          </w:tcPr>
          <w:p w14:paraId="1B614604"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Anaemia</w:t>
            </w:r>
          </w:p>
        </w:tc>
        <w:tc>
          <w:tcPr>
            <w:tcW w:w="2500" w:type="dxa"/>
            <w:shd w:val="clear" w:color="auto" w:fill="auto"/>
            <w:tcMar>
              <w:top w:w="15" w:type="dxa"/>
              <w:left w:w="105" w:type="dxa"/>
              <w:bottom w:w="0" w:type="dxa"/>
              <w:right w:w="105" w:type="dxa"/>
            </w:tcMar>
            <w:vAlign w:val="center"/>
            <w:hideMark/>
          </w:tcPr>
          <w:p w14:paraId="7DC7CBB6"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(0.7)</w:t>
            </w:r>
          </w:p>
        </w:tc>
        <w:tc>
          <w:tcPr>
            <w:tcW w:w="2364" w:type="dxa"/>
            <w:shd w:val="clear" w:color="auto" w:fill="auto"/>
            <w:tcMar>
              <w:top w:w="15" w:type="dxa"/>
              <w:left w:w="105" w:type="dxa"/>
              <w:bottom w:w="0" w:type="dxa"/>
              <w:right w:w="105" w:type="dxa"/>
            </w:tcMar>
            <w:vAlign w:val="center"/>
            <w:hideMark/>
          </w:tcPr>
          <w:p w14:paraId="74DEF129"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1 (0.5)</w:t>
            </w:r>
          </w:p>
        </w:tc>
        <w:tc>
          <w:tcPr>
            <w:tcW w:w="2040" w:type="dxa"/>
            <w:vAlign w:val="center"/>
          </w:tcPr>
          <w:p w14:paraId="27D6AF67" w14:textId="77777777" w:rsidR="00462367" w:rsidRPr="00BE6F4A" w:rsidRDefault="00462367" w:rsidP="00082AAB">
            <w:pPr>
              <w:pStyle w:val="ListParagraph"/>
              <w:numPr>
                <w:ilvl w:val="0"/>
                <w:numId w:val="1"/>
              </w:numPr>
              <w:autoSpaceDE w:val="0"/>
              <w:autoSpaceDN w:val="0"/>
              <w:adjustRightInd w:val="0"/>
              <w:spacing w:line="360" w:lineRule="auto"/>
              <w:contextualSpacing w:val="0"/>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(0.5)</w:t>
            </w:r>
          </w:p>
        </w:tc>
      </w:tr>
      <w:tr w:rsidR="00462367" w:rsidRPr="00BE6F4A" w14:paraId="61D60454" w14:textId="77777777" w:rsidTr="00082AAB">
        <w:trPr>
          <w:trHeight w:val="20"/>
        </w:trPr>
        <w:tc>
          <w:tcPr>
            <w:tcW w:w="2515" w:type="dxa"/>
            <w:shd w:val="clear" w:color="auto" w:fill="auto"/>
            <w:tcMar>
              <w:top w:w="15" w:type="dxa"/>
              <w:left w:w="105" w:type="dxa"/>
              <w:bottom w:w="0" w:type="dxa"/>
              <w:right w:w="105" w:type="dxa"/>
            </w:tcMar>
            <w:hideMark/>
          </w:tcPr>
          <w:p w14:paraId="7AA5D34E"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Insomnia</w:t>
            </w:r>
          </w:p>
        </w:tc>
        <w:tc>
          <w:tcPr>
            <w:tcW w:w="2500" w:type="dxa"/>
            <w:shd w:val="clear" w:color="auto" w:fill="auto"/>
            <w:tcMar>
              <w:top w:w="15" w:type="dxa"/>
              <w:left w:w="105" w:type="dxa"/>
              <w:bottom w:w="0" w:type="dxa"/>
              <w:right w:w="105" w:type="dxa"/>
            </w:tcMar>
            <w:vAlign w:val="center"/>
            <w:hideMark/>
          </w:tcPr>
          <w:p w14:paraId="46A860D4"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(1.3)</w:t>
            </w:r>
          </w:p>
        </w:tc>
        <w:tc>
          <w:tcPr>
            <w:tcW w:w="2364" w:type="dxa"/>
            <w:shd w:val="clear" w:color="auto" w:fill="auto"/>
            <w:tcMar>
              <w:top w:w="15" w:type="dxa"/>
              <w:left w:w="105" w:type="dxa"/>
              <w:bottom w:w="0" w:type="dxa"/>
              <w:right w:w="105" w:type="dxa"/>
            </w:tcMar>
            <w:vAlign w:val="center"/>
            <w:hideMark/>
          </w:tcPr>
          <w:p w14:paraId="44978AD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040" w:type="dxa"/>
            <w:vAlign w:val="center"/>
          </w:tcPr>
          <w:p w14:paraId="04B6548B"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r w:rsidR="00462367" w:rsidRPr="00BE6F4A" w14:paraId="24CF3E12" w14:textId="77777777" w:rsidTr="00082AAB">
        <w:trPr>
          <w:trHeight w:val="20"/>
        </w:trPr>
        <w:tc>
          <w:tcPr>
            <w:tcW w:w="2515" w:type="dxa"/>
            <w:tcBorders>
              <w:bottom w:val="single" w:sz="4" w:space="0" w:color="auto"/>
            </w:tcBorders>
            <w:shd w:val="clear" w:color="auto" w:fill="auto"/>
            <w:tcMar>
              <w:top w:w="15" w:type="dxa"/>
              <w:left w:w="105" w:type="dxa"/>
              <w:bottom w:w="0" w:type="dxa"/>
              <w:right w:w="105" w:type="dxa"/>
            </w:tcMar>
            <w:hideMark/>
          </w:tcPr>
          <w:p w14:paraId="6A70EE51" w14:textId="77777777" w:rsidR="00462367" w:rsidRPr="00BE6F4A" w:rsidRDefault="00462367"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Hypertension</w:t>
            </w:r>
          </w:p>
        </w:tc>
        <w:tc>
          <w:tcPr>
            <w:tcW w:w="2500" w:type="dxa"/>
            <w:tcBorders>
              <w:bottom w:val="single" w:sz="4" w:space="0" w:color="auto"/>
            </w:tcBorders>
            <w:shd w:val="clear" w:color="auto" w:fill="auto"/>
            <w:tcMar>
              <w:top w:w="15" w:type="dxa"/>
              <w:left w:w="105" w:type="dxa"/>
              <w:bottom w:w="0" w:type="dxa"/>
              <w:right w:w="105" w:type="dxa"/>
            </w:tcMar>
            <w:vAlign w:val="center"/>
            <w:hideMark/>
          </w:tcPr>
          <w:p w14:paraId="09739789"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0 (0.0)</w:t>
            </w:r>
          </w:p>
        </w:tc>
        <w:tc>
          <w:tcPr>
            <w:tcW w:w="2364" w:type="dxa"/>
            <w:tcBorders>
              <w:bottom w:val="single" w:sz="4" w:space="0" w:color="auto"/>
            </w:tcBorders>
            <w:shd w:val="clear" w:color="auto" w:fill="auto"/>
            <w:tcMar>
              <w:top w:w="15" w:type="dxa"/>
              <w:left w:w="105" w:type="dxa"/>
              <w:bottom w:w="0" w:type="dxa"/>
              <w:right w:w="105" w:type="dxa"/>
            </w:tcMar>
            <w:vAlign w:val="center"/>
            <w:hideMark/>
          </w:tcPr>
          <w:p w14:paraId="32890AC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(0.9)</w:t>
            </w:r>
          </w:p>
        </w:tc>
        <w:tc>
          <w:tcPr>
            <w:tcW w:w="2040" w:type="dxa"/>
            <w:tcBorders>
              <w:bottom w:val="single" w:sz="4" w:space="0" w:color="auto"/>
            </w:tcBorders>
            <w:vAlign w:val="center"/>
          </w:tcPr>
          <w:p w14:paraId="4E6F7458" w14:textId="77777777" w:rsidR="00462367" w:rsidRPr="00BE6F4A" w:rsidRDefault="00462367" w:rsidP="00082AAB">
            <w:pPr>
              <w:autoSpaceDE w:val="0"/>
              <w:autoSpaceDN w:val="0"/>
              <w:adjustRightInd w:val="0"/>
              <w:spacing w:after="0" w:line="360" w:lineRule="auto"/>
              <w:jc w:val="center"/>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2 (0.5)</w:t>
            </w:r>
          </w:p>
        </w:tc>
      </w:tr>
    </w:tbl>
    <w:p w14:paraId="3D8CF3CF" w14:textId="77777777" w:rsidR="00462367" w:rsidRPr="00461561" w:rsidRDefault="00462367" w:rsidP="00462367">
      <w:pPr>
        <w:autoSpaceDE w:val="0"/>
        <w:autoSpaceDN w:val="0"/>
        <w:adjustRightInd w:val="0"/>
        <w:spacing w:after="0" w:line="360" w:lineRule="auto"/>
        <w:rPr>
          <w:rFonts w:ascii="Times New Roman" w:hAnsi="Times New Roman" w:cs="Times New Roman"/>
          <w:sz w:val="22"/>
          <w:szCs w:val="22"/>
          <w:lang w:val="en-GB"/>
        </w:rPr>
      </w:pPr>
      <w:r w:rsidRPr="00461561">
        <w:rPr>
          <w:rFonts w:ascii="Times New Roman" w:hAnsi="Times New Roman" w:cs="Times New Roman"/>
          <w:color w:val="000000"/>
          <w:sz w:val="22"/>
          <w:szCs w:val="22"/>
          <w:lang w:val="en-GB"/>
        </w:rPr>
        <w:t>Ocular AEs were assessed for the primary treated eye set and non-ocular AEs were assessed for the safety set</w:t>
      </w:r>
      <w:r w:rsidRPr="00461561">
        <w:rPr>
          <w:rFonts w:ascii="Times New Roman" w:hAnsi="Times New Roman" w:cs="Times New Roman"/>
          <w:sz w:val="22"/>
          <w:szCs w:val="22"/>
          <w:lang w:val="en-GB"/>
        </w:rPr>
        <w:t xml:space="preserve"> </w:t>
      </w:r>
    </w:p>
    <w:p w14:paraId="637219AC" w14:textId="77777777" w:rsidR="00462367" w:rsidRPr="00461561" w:rsidRDefault="00462367" w:rsidP="00462367">
      <w:pPr>
        <w:autoSpaceDE w:val="0"/>
        <w:autoSpaceDN w:val="0"/>
        <w:adjustRightInd w:val="0"/>
        <w:spacing w:after="0" w:line="360" w:lineRule="auto"/>
        <w:rPr>
          <w:rFonts w:ascii="Times New Roman" w:hAnsi="Times New Roman" w:cs="Times New Roman"/>
          <w:sz w:val="22"/>
          <w:szCs w:val="22"/>
          <w:lang w:val="en-GB"/>
        </w:rPr>
      </w:pPr>
      <w:r w:rsidRPr="00461561">
        <w:rPr>
          <w:rFonts w:ascii="Times New Roman" w:hAnsi="Times New Roman" w:cs="Times New Roman"/>
          <w:color w:val="000000"/>
          <w:sz w:val="22"/>
          <w:szCs w:val="22"/>
          <w:lang w:val="en-GB"/>
        </w:rPr>
        <w:t xml:space="preserve">The safety set comprised patients in the enrolled set who were treated with at least one dose of ranibizumab during the study or prior to study initiation and had at least one safety assessment post-initial treatment. Primary treated eye set included all primary treated eyes in patients included in the safety set </w:t>
      </w:r>
    </w:p>
    <w:p w14:paraId="2B4FD4A5" w14:textId="77777777" w:rsidR="00462367" w:rsidRPr="00461561" w:rsidRDefault="00462367" w:rsidP="00462367">
      <w:pPr>
        <w:suppressLineNumbers/>
        <w:adjustRightInd w:val="0"/>
        <w:spacing w:after="0" w:line="360" w:lineRule="auto"/>
        <w:rPr>
          <w:rFonts w:ascii="Times New Roman" w:hAnsi="Times New Roman" w:cs="Times New Roman"/>
          <w:bCs/>
          <w:color w:val="000000"/>
          <w:sz w:val="22"/>
          <w:szCs w:val="22"/>
          <w:lang w:val="en-GB"/>
        </w:rPr>
      </w:pPr>
      <w:r w:rsidRPr="00461561">
        <w:rPr>
          <w:rFonts w:ascii="Times New Roman" w:hAnsi="Times New Roman" w:cs="Times New Roman"/>
          <w:bCs/>
          <w:color w:val="000000"/>
          <w:sz w:val="22"/>
          <w:szCs w:val="22"/>
          <w:lang w:val="en-GB"/>
        </w:rPr>
        <w:lastRenderedPageBreak/>
        <w:t>Indication and pre-treatment status refers to the primary treated eye. Only AEs occurring during the safety observation period are included. Preferred terms are presented by descending order of frequency in the total column. A patient with multiple occurrences of an AE was counted once per preferred term. A patient with multiple AEs is counted only once in the total row. Patients with a baseline visit date present are included. Data collected until the last recorded follow-up date were used to perform the analyses.</w:t>
      </w:r>
      <w:r w:rsidRPr="00461561">
        <w:rPr>
          <w:rFonts w:ascii="Times New Roman" w:hAnsi="Times New Roman" w:cs="Times New Roman"/>
          <w:sz w:val="22"/>
          <w:szCs w:val="22"/>
          <w:lang w:val="en-GB"/>
        </w:rPr>
        <w:t xml:space="preserve"> Total </w:t>
      </w:r>
      <w:r w:rsidRPr="00461561">
        <w:rPr>
          <w:rFonts w:ascii="Times New Roman" w:hAnsi="Times New Roman" w:cs="Times New Roman"/>
          <w:bCs/>
          <w:color w:val="000000"/>
          <w:sz w:val="22"/>
          <w:szCs w:val="22"/>
          <w:lang w:val="en-GB"/>
        </w:rPr>
        <w:t>ocular and non-ocular AEs &gt;2 in number are shown</w:t>
      </w:r>
      <w:bookmarkStart w:id="0" w:name="_GoBack"/>
      <w:bookmarkEnd w:id="0"/>
    </w:p>
    <w:p w14:paraId="3C4D2791" w14:textId="309D8CC4" w:rsidR="00FF5FC9" w:rsidRPr="00F31F85" w:rsidRDefault="00462367" w:rsidP="00462367">
      <w:r w:rsidRPr="00461561">
        <w:rPr>
          <w:rFonts w:ascii="Times New Roman" w:hAnsi="Times New Roman" w:cs="Times New Roman"/>
          <w:bCs/>
          <w:color w:val="000000"/>
          <w:sz w:val="22"/>
          <w:szCs w:val="22"/>
          <w:lang w:val="en-GB"/>
        </w:rPr>
        <w:t>AE, adverse event</w:t>
      </w:r>
      <w:r w:rsidRPr="00461561">
        <w:rPr>
          <w:rFonts w:ascii="Times New Roman" w:hAnsi="Times New Roman" w:cs="Times New Roman"/>
          <w:sz w:val="22"/>
          <w:szCs w:val="22"/>
          <w:lang w:val="en-GB"/>
        </w:rPr>
        <w:t xml:space="preserve">; N, total number of patients; </w:t>
      </w:r>
      <w:r w:rsidRPr="00461561">
        <w:rPr>
          <w:rFonts w:ascii="Times New Roman" w:hAnsi="Times New Roman" w:cs="Times New Roman"/>
          <w:bCs/>
          <w:color w:val="000000"/>
          <w:sz w:val="22"/>
          <w:szCs w:val="22"/>
          <w:lang w:val="en-GB"/>
        </w:rPr>
        <w:t>n, number of patients</w:t>
      </w:r>
    </w:p>
    <w:sectPr w:rsidR="00FF5FC9" w:rsidRPr="00F31F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2179E" w14:textId="77777777" w:rsidR="005E5413" w:rsidRDefault="005E5413" w:rsidP="005E5413">
      <w:pPr>
        <w:spacing w:after="0" w:line="240" w:lineRule="auto"/>
      </w:pPr>
      <w:r>
        <w:separator/>
      </w:r>
    </w:p>
  </w:endnote>
  <w:endnote w:type="continuationSeparator" w:id="0">
    <w:p w14:paraId="3B022173" w14:textId="77777777" w:rsidR="005E5413" w:rsidRDefault="005E5413" w:rsidP="005E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A8CCB2" w14:textId="77777777" w:rsidR="005E5413" w:rsidRDefault="005E5413" w:rsidP="005E5413">
      <w:pPr>
        <w:spacing w:after="0" w:line="240" w:lineRule="auto"/>
      </w:pPr>
      <w:r>
        <w:separator/>
      </w:r>
    </w:p>
  </w:footnote>
  <w:footnote w:type="continuationSeparator" w:id="0">
    <w:p w14:paraId="5C9F81D5" w14:textId="77777777" w:rsidR="005E5413" w:rsidRDefault="005E5413" w:rsidP="005E5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B228F"/>
    <w:multiLevelType w:val="hybridMultilevel"/>
    <w:tmpl w:val="C7F826DC"/>
    <w:lvl w:ilvl="0" w:tplc="E9143D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A1"/>
    <w:rsid w:val="00462367"/>
    <w:rsid w:val="004D0E76"/>
    <w:rsid w:val="004E78A1"/>
    <w:rsid w:val="005E5413"/>
    <w:rsid w:val="00B87BA9"/>
    <w:rsid w:val="00E27154"/>
    <w:rsid w:val="00F31F85"/>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F472"/>
  <w15:chartTrackingRefBased/>
  <w15:docId w15:val="{CBD044D6-F589-4466-A699-0543C80A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3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8A1"/>
    <w:pPr>
      <w:spacing w:after="0" w:line="480" w:lineRule="auto"/>
      <w:ind w:left="720"/>
      <w:contextualSpacing/>
    </w:pPr>
    <w:rPr>
      <w:rFonts w:asciiTheme="minorHAnsi" w:hAnsiTheme="minorHAnsi"/>
      <w:sz w:val="24"/>
      <w:lang w:eastAsia="en-US"/>
    </w:rPr>
  </w:style>
  <w:style w:type="character" w:styleId="LineNumber">
    <w:name w:val="line number"/>
    <w:basedOn w:val="DefaultParagraphFont"/>
    <w:uiPriority w:val="99"/>
    <w:semiHidden/>
    <w:unhideWhenUsed/>
    <w:rsid w:val="005E5413"/>
  </w:style>
  <w:style w:type="paragraph" w:styleId="Header">
    <w:name w:val="header"/>
    <w:basedOn w:val="Normal"/>
    <w:link w:val="HeaderChar"/>
    <w:uiPriority w:val="99"/>
    <w:unhideWhenUsed/>
    <w:rsid w:val="005E54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413"/>
  </w:style>
  <w:style w:type="paragraph" w:styleId="Footer">
    <w:name w:val="footer"/>
    <w:basedOn w:val="Normal"/>
    <w:link w:val="FooterChar"/>
    <w:uiPriority w:val="99"/>
    <w:unhideWhenUsed/>
    <w:rsid w:val="005E54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416F81E86DD24F94FD5646FB4099AC" ma:contentTypeVersion="13" ma:contentTypeDescription="Create a new document." ma:contentTypeScope="" ma:versionID="94df65de764007e3507b82e3bcdd0151">
  <xsd:schema xmlns:xsd="http://www.w3.org/2001/XMLSchema" xmlns:xs="http://www.w3.org/2001/XMLSchema" xmlns:p="http://schemas.microsoft.com/office/2006/metadata/properties" xmlns:ns3="d454384b-4fc8-48c1-a44f-cf5a86a0e10f" xmlns:ns4="c258f4b0-6f9c-4821-a845-c90e956e54cf" targetNamespace="http://schemas.microsoft.com/office/2006/metadata/properties" ma:root="true" ma:fieldsID="0a79dcea46c2de3afb1f8f127a0bdf58" ns3:_="" ns4:_="">
    <xsd:import namespace="d454384b-4fc8-48c1-a44f-cf5a86a0e10f"/>
    <xsd:import namespace="c258f4b0-6f9c-4821-a845-c90e956e54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54384b-4fc8-48c1-a44f-cf5a86a0e1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58f4b0-6f9c-4821-a845-c90e956e54c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54BD79-BDB6-4B82-988C-57EE3A172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54384b-4fc8-48c1-a44f-cf5a86a0e10f"/>
    <ds:schemaRef ds:uri="c258f4b0-6f9c-4821-a845-c90e956e5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86432C-2866-4A43-A3B2-12D0EBB2180F}">
  <ds:schemaRefs>
    <ds:schemaRef ds:uri="http://schemas.microsoft.com/sharepoint/v3/contenttype/forms"/>
  </ds:schemaRefs>
</ds:datastoreItem>
</file>

<file path=customXml/itemProps3.xml><?xml version="1.0" encoding="utf-8"?>
<ds:datastoreItem xmlns:ds="http://schemas.openxmlformats.org/officeDocument/2006/customXml" ds:itemID="{F79AF51E-96B0-4E0F-A45B-9D580B527CB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c258f4b0-6f9c-4821-a845-c90e956e54cf"/>
    <ds:schemaRef ds:uri="http://purl.org/dc/elements/1.1/"/>
    <ds:schemaRef ds:uri="http://schemas.microsoft.com/office/2006/metadata/properties"/>
    <ds:schemaRef ds:uri="d454384b-4fc8-48c1-a44f-cf5a86a0e10f"/>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332</Words>
  <Characters>1663</Characters>
  <Application>Microsoft Office Word</Application>
  <DocSecurity>0</DocSecurity>
  <Lines>110</Lines>
  <Paragraphs>83</Paragraphs>
  <ScaleCrop>false</ScaleCrop>
  <HeadingPairs>
    <vt:vector size="2" baseType="variant">
      <vt:variant>
        <vt:lpstr>Title</vt:lpstr>
      </vt:variant>
      <vt:variant>
        <vt:i4>1</vt:i4>
      </vt:variant>
    </vt:vector>
  </HeadingPairs>
  <TitlesOfParts>
    <vt:vector size="1" baseType="lpstr">
      <vt:lpstr/>
    </vt:vector>
  </TitlesOfParts>
  <Company>Novartis</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Choo, Khi Khi</dc:creator>
  <cp:keywords/>
  <dc:description/>
  <cp:lastModifiedBy>Choo, Khi Khi</cp:lastModifiedBy>
  <cp:revision>2</cp:revision>
  <dcterms:created xsi:type="dcterms:W3CDTF">2020-06-09T03:43:00Z</dcterms:created>
  <dcterms:modified xsi:type="dcterms:W3CDTF">2020-06-09T03:43:00Z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0x01010041416F81E86DD24F94FD5646FB4099AC</vt:lpwstr>
  </property>
</Properties>
</file>