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7D95C" w14:textId="77777777" w:rsidR="00C86B02" w:rsidRPr="00923A5B" w:rsidRDefault="00C86B02" w:rsidP="00C86B02">
      <w:pPr>
        <w:spacing w:line="480" w:lineRule="auto"/>
        <w:jc w:val="both"/>
        <w:rPr>
          <w:b/>
          <w:bCs/>
          <w:lang w:val="en-US"/>
        </w:rPr>
      </w:pPr>
      <w:r w:rsidRPr="00923A5B">
        <w:rPr>
          <w:b/>
          <w:bCs/>
          <w:lang w:val="en-US"/>
        </w:rPr>
        <w:t>Additional table 1: Inclusion and exclusion criteria</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488"/>
      </w:tblGrid>
      <w:tr w:rsidR="00C86B02" w:rsidRPr="00FD7E29" w14:paraId="42270D6B" w14:textId="77777777" w:rsidTr="00A17B57">
        <w:tc>
          <w:tcPr>
            <w:tcW w:w="8488" w:type="dxa"/>
          </w:tcPr>
          <w:p w14:paraId="5A6A7C15" w14:textId="77777777" w:rsidR="00C86B02" w:rsidRPr="00923A5B" w:rsidRDefault="00C86B02" w:rsidP="00A17B57">
            <w:pPr>
              <w:spacing w:line="480" w:lineRule="auto"/>
              <w:jc w:val="both"/>
              <w:rPr>
                <w:b/>
                <w:bCs/>
                <w:lang w:val="en-US"/>
              </w:rPr>
            </w:pPr>
          </w:p>
        </w:tc>
      </w:tr>
      <w:tr w:rsidR="00C86B02" w14:paraId="33A2E740" w14:textId="77777777" w:rsidTr="00A17B57">
        <w:tc>
          <w:tcPr>
            <w:tcW w:w="8488" w:type="dxa"/>
          </w:tcPr>
          <w:p w14:paraId="6F3A88E7" w14:textId="77777777" w:rsidR="00C86B02" w:rsidRDefault="00C86B02" w:rsidP="00A17B57">
            <w:pPr>
              <w:spacing w:line="480" w:lineRule="auto"/>
              <w:jc w:val="both"/>
              <w:rPr>
                <w:b/>
                <w:bCs/>
              </w:rPr>
            </w:pPr>
            <w:r w:rsidRPr="00F80C07">
              <w:rPr>
                <w:b/>
                <w:bCs/>
              </w:rPr>
              <w:t>Inclusion criteria</w:t>
            </w:r>
          </w:p>
        </w:tc>
      </w:tr>
      <w:tr w:rsidR="00C86B02" w:rsidRPr="00FD7E29" w14:paraId="6F2AB321" w14:textId="77777777" w:rsidTr="00A17B57">
        <w:tc>
          <w:tcPr>
            <w:tcW w:w="8488" w:type="dxa"/>
          </w:tcPr>
          <w:p w14:paraId="0B8E5A4B" w14:textId="77777777" w:rsidR="00C86B02" w:rsidRPr="00923A5B" w:rsidRDefault="00C86B02" w:rsidP="00A17B57">
            <w:pPr>
              <w:spacing w:line="480" w:lineRule="auto"/>
              <w:jc w:val="both"/>
              <w:rPr>
                <w:lang w:val="en-US"/>
              </w:rPr>
            </w:pPr>
            <w:r w:rsidRPr="00923A5B">
              <w:rPr>
                <w:lang w:val="en-US"/>
              </w:rPr>
              <w:t xml:space="preserve">1. </w:t>
            </w:r>
            <w:r>
              <w:rPr>
                <w:lang w:val="en-US"/>
              </w:rPr>
              <w:t>S</w:t>
            </w:r>
            <w:r w:rsidRPr="00923A5B">
              <w:rPr>
                <w:lang w:val="en-US"/>
              </w:rPr>
              <w:t xml:space="preserve">igned </w:t>
            </w:r>
            <w:r>
              <w:rPr>
                <w:lang w:val="en-US"/>
              </w:rPr>
              <w:t>i</w:t>
            </w:r>
            <w:r w:rsidRPr="00923A5B">
              <w:rPr>
                <w:lang w:val="en-US"/>
              </w:rPr>
              <w:t>nformed consent before the screening evaluations</w:t>
            </w:r>
          </w:p>
        </w:tc>
      </w:tr>
      <w:tr w:rsidR="00C86B02" w:rsidRPr="00FD7E29" w14:paraId="73B47B41" w14:textId="77777777" w:rsidTr="00A17B57">
        <w:tc>
          <w:tcPr>
            <w:tcW w:w="8488" w:type="dxa"/>
          </w:tcPr>
          <w:p w14:paraId="5426E88E" w14:textId="77777777" w:rsidR="00C86B02" w:rsidRPr="00923A5B" w:rsidRDefault="00C86B02" w:rsidP="00A17B57">
            <w:pPr>
              <w:spacing w:line="480" w:lineRule="auto"/>
              <w:jc w:val="both"/>
              <w:rPr>
                <w:lang w:val="en-US"/>
              </w:rPr>
            </w:pPr>
            <w:r w:rsidRPr="00923A5B">
              <w:rPr>
                <w:lang w:val="en-US"/>
              </w:rPr>
              <w:t>2. Good physical and mental health</w:t>
            </w:r>
          </w:p>
        </w:tc>
      </w:tr>
      <w:tr w:rsidR="00C86B02" w:rsidRPr="00FD7E29" w14:paraId="2F1A3E6F" w14:textId="77777777" w:rsidTr="00A17B57">
        <w:tc>
          <w:tcPr>
            <w:tcW w:w="8488" w:type="dxa"/>
          </w:tcPr>
          <w:p w14:paraId="6DE96D7D" w14:textId="77777777" w:rsidR="00C86B02" w:rsidRPr="00923A5B" w:rsidRDefault="00C86B02" w:rsidP="00A17B57">
            <w:pPr>
              <w:spacing w:line="480" w:lineRule="auto"/>
              <w:jc w:val="both"/>
              <w:rPr>
                <w:lang w:val="en-US"/>
              </w:rPr>
            </w:pPr>
            <w:r w:rsidRPr="00923A5B">
              <w:rPr>
                <w:lang w:val="en-US"/>
              </w:rPr>
              <w:t>3. Pre-menopausal women between the ages of 18 and 40. At least 18 years old at the time of signing the consent form and no more than 40 years old at the start of stimulation</w:t>
            </w:r>
          </w:p>
        </w:tc>
      </w:tr>
      <w:tr w:rsidR="00C86B02" w:rsidRPr="00FD7E29" w14:paraId="72B45560" w14:textId="77777777" w:rsidTr="00A17B57">
        <w:tc>
          <w:tcPr>
            <w:tcW w:w="8488" w:type="dxa"/>
          </w:tcPr>
          <w:p w14:paraId="1CDA0311" w14:textId="77777777" w:rsidR="00C86B02" w:rsidRPr="00923A5B" w:rsidRDefault="00C86B02" w:rsidP="00A17B57">
            <w:pPr>
              <w:spacing w:line="480" w:lineRule="auto"/>
              <w:jc w:val="both"/>
              <w:rPr>
                <w:lang w:val="en-US"/>
              </w:rPr>
            </w:pPr>
            <w:r w:rsidRPr="00923A5B">
              <w:rPr>
                <w:lang w:val="en-US"/>
              </w:rPr>
              <w:t>4. Infertility diagnosed by tubal factor, unexplained infertility, stage I/II endometriosis, male factor, eligible for IVF or ICSI with ejaculated semen or semen bank</w:t>
            </w:r>
          </w:p>
        </w:tc>
      </w:tr>
      <w:tr w:rsidR="00C86B02" w:rsidRPr="00FD7E29" w14:paraId="2051D8EE" w14:textId="77777777" w:rsidTr="00A17B57">
        <w:tc>
          <w:tcPr>
            <w:tcW w:w="8488" w:type="dxa"/>
          </w:tcPr>
          <w:p w14:paraId="0B3C388B" w14:textId="77777777" w:rsidR="00C86B02" w:rsidRPr="00923A5B" w:rsidRDefault="00C86B02" w:rsidP="00A17B57">
            <w:pPr>
              <w:spacing w:line="480" w:lineRule="auto"/>
              <w:jc w:val="both"/>
              <w:rPr>
                <w:lang w:val="en-US"/>
              </w:rPr>
            </w:pPr>
            <w:r w:rsidRPr="00923A5B">
              <w:rPr>
                <w:lang w:val="en-US"/>
              </w:rPr>
              <w:t>5. Infertility for at least 1 year prior to screening for women ≤ 37 years or 6 months for women ≥ 38 years (except severe tubal or male factor)</w:t>
            </w:r>
          </w:p>
        </w:tc>
      </w:tr>
      <w:tr w:rsidR="00C86B02" w:rsidRPr="00FD7E29" w14:paraId="22645AA8" w14:textId="77777777" w:rsidTr="00A17B57">
        <w:tc>
          <w:tcPr>
            <w:tcW w:w="8488" w:type="dxa"/>
          </w:tcPr>
          <w:p w14:paraId="7EFBF148" w14:textId="77777777" w:rsidR="00C86B02" w:rsidRPr="00923A5B" w:rsidRDefault="00C86B02" w:rsidP="00A17B57">
            <w:pPr>
              <w:spacing w:line="480" w:lineRule="auto"/>
              <w:jc w:val="both"/>
              <w:rPr>
                <w:lang w:val="en-US"/>
              </w:rPr>
            </w:pPr>
            <w:r w:rsidRPr="00923A5B">
              <w:rPr>
                <w:lang w:val="en-US"/>
              </w:rPr>
              <w:t>6. The study cycle was the first ovarian stimulation cycle for IVF/ICSI</w:t>
            </w:r>
          </w:p>
        </w:tc>
      </w:tr>
      <w:tr w:rsidR="00C86B02" w:rsidRPr="00FD7E29" w14:paraId="58DD232B" w14:textId="77777777" w:rsidTr="00A17B57">
        <w:tc>
          <w:tcPr>
            <w:tcW w:w="8488" w:type="dxa"/>
          </w:tcPr>
          <w:p w14:paraId="7EF6B07A" w14:textId="77777777" w:rsidR="00C86B02" w:rsidRPr="00923A5B" w:rsidRDefault="00C86B02" w:rsidP="00A17B57">
            <w:pPr>
              <w:spacing w:line="480" w:lineRule="auto"/>
              <w:jc w:val="both"/>
              <w:rPr>
                <w:lang w:val="en-US"/>
              </w:rPr>
            </w:pPr>
            <w:r w:rsidRPr="00923A5B">
              <w:rPr>
                <w:lang w:val="en-US"/>
              </w:rPr>
              <w:t>7. Regular menstrual cycles between 24 and 35 days, presumed to be ovulatory</w:t>
            </w:r>
          </w:p>
        </w:tc>
      </w:tr>
      <w:tr w:rsidR="00C86B02" w:rsidRPr="00FD7E29" w14:paraId="73DCB8FC" w14:textId="77777777" w:rsidTr="00A17B57">
        <w:tc>
          <w:tcPr>
            <w:tcW w:w="8488" w:type="dxa"/>
          </w:tcPr>
          <w:p w14:paraId="369B035C" w14:textId="77777777" w:rsidR="00C86B02" w:rsidRPr="00923A5B" w:rsidRDefault="00C86B02" w:rsidP="00A17B57">
            <w:pPr>
              <w:spacing w:line="480" w:lineRule="auto"/>
              <w:jc w:val="both"/>
              <w:rPr>
                <w:lang w:val="en-US"/>
              </w:rPr>
            </w:pPr>
            <w:r w:rsidRPr="00923A5B">
              <w:rPr>
                <w:lang w:val="en-US"/>
              </w:rPr>
              <w:t>8.Hysterosalpingography, hysteroscopy, hysterosonography, or transvaginal ultrasound documenting a uterus consistent with pregnancy (i.e., no evidence of submucosal or intramural fibroids &gt;3 cm in diameter, no polyps, no congenital abnormalities that are associated with a reduced chance of pregnancy) within one year of starting the study.</w:t>
            </w:r>
          </w:p>
        </w:tc>
      </w:tr>
      <w:tr w:rsidR="00C86B02" w:rsidRPr="00FD7E29" w14:paraId="37F63A6A" w14:textId="77777777" w:rsidTr="00A17B57">
        <w:tc>
          <w:tcPr>
            <w:tcW w:w="8488" w:type="dxa"/>
          </w:tcPr>
          <w:p w14:paraId="75B19035" w14:textId="77777777" w:rsidR="00C86B02" w:rsidRPr="00923A5B" w:rsidRDefault="00C86B02" w:rsidP="00A17B57">
            <w:pPr>
              <w:spacing w:line="480" w:lineRule="auto"/>
              <w:jc w:val="both"/>
              <w:rPr>
                <w:lang w:val="en-US"/>
              </w:rPr>
            </w:pPr>
            <w:r w:rsidRPr="00923A5B">
              <w:rPr>
                <w:lang w:val="en-US"/>
              </w:rPr>
              <w:t xml:space="preserve">9. Ultrasound documenting the presence of both ovaries, with no evidence of significant abnormalities (endometrioma &gt;3 cm or enlarged ovaries that </w:t>
            </w:r>
            <w:r w:rsidRPr="00923A5B">
              <w:rPr>
                <w:lang w:val="en-US"/>
              </w:rPr>
              <w:lastRenderedPageBreak/>
              <w:t>contraindicate the use of gonadotropins) and normal appendages (no hydrosalpinx) within one year of the start of the study.</w:t>
            </w:r>
          </w:p>
        </w:tc>
      </w:tr>
      <w:tr w:rsidR="00C86B02" w:rsidRPr="00FD7E29" w14:paraId="35F450E3" w14:textId="77777777" w:rsidTr="00A17B57">
        <w:tc>
          <w:tcPr>
            <w:tcW w:w="8488" w:type="dxa"/>
          </w:tcPr>
          <w:p w14:paraId="7C2BC367" w14:textId="77777777" w:rsidR="00C86B02" w:rsidRPr="00923A5B" w:rsidRDefault="00C86B02" w:rsidP="00A17B57">
            <w:pPr>
              <w:spacing w:line="480" w:lineRule="auto"/>
              <w:jc w:val="both"/>
              <w:rPr>
                <w:lang w:val="en-US"/>
              </w:rPr>
            </w:pPr>
            <w:r w:rsidRPr="00923A5B">
              <w:rPr>
                <w:lang w:val="en-US"/>
              </w:rPr>
              <w:lastRenderedPageBreak/>
              <w:t>10. Serum FSH levels (between days 2 and 4 of the cycle) between 1 and 15 IU/L, results obtained within 3 months of the start of the study.</w:t>
            </w:r>
          </w:p>
        </w:tc>
      </w:tr>
      <w:tr w:rsidR="00C86B02" w:rsidRPr="00FD7E29" w14:paraId="5A130DBC" w14:textId="77777777" w:rsidTr="00A17B57">
        <w:tc>
          <w:tcPr>
            <w:tcW w:w="8488" w:type="dxa"/>
          </w:tcPr>
          <w:p w14:paraId="78CFE1B6" w14:textId="77777777" w:rsidR="00C86B02" w:rsidRPr="004D66B2" w:rsidRDefault="00C86B02" w:rsidP="00A17B57">
            <w:pPr>
              <w:spacing w:line="480" w:lineRule="auto"/>
              <w:jc w:val="both"/>
              <w:rPr>
                <w:lang w:val="en-GB"/>
              </w:rPr>
            </w:pPr>
            <w:r w:rsidRPr="00923A5B">
              <w:rPr>
                <w:lang w:val="en-US"/>
              </w:rPr>
              <w:t>11. Negative serologies for hepatitis B, hepatitis C, HIV, p</w:t>
            </w:r>
            <w:r w:rsidRPr="0031068B">
              <w:rPr>
                <w:lang w:val="en-GB"/>
              </w:rPr>
              <w:t>rimate T-lymphotropic virus</w:t>
            </w:r>
            <w:r w:rsidRPr="00923A5B">
              <w:rPr>
                <w:lang w:val="en-US"/>
              </w:rPr>
              <w:t>, syphilis, and Zika virus within 6 months of egg collection</w:t>
            </w:r>
          </w:p>
        </w:tc>
      </w:tr>
      <w:tr w:rsidR="00C86B02" w:rsidRPr="00FD7E29" w14:paraId="0CA4F0CE" w14:textId="77777777" w:rsidTr="00A17B57">
        <w:tc>
          <w:tcPr>
            <w:tcW w:w="8488" w:type="dxa"/>
          </w:tcPr>
          <w:p w14:paraId="2802C0A3" w14:textId="77777777" w:rsidR="00C86B02" w:rsidRPr="00923A5B" w:rsidRDefault="00C86B02" w:rsidP="00A17B57">
            <w:pPr>
              <w:spacing w:line="480" w:lineRule="auto"/>
              <w:jc w:val="both"/>
              <w:rPr>
                <w:lang w:val="en-US"/>
              </w:rPr>
            </w:pPr>
            <w:r w:rsidRPr="00923A5B">
              <w:rPr>
                <w:lang w:val="en-US"/>
              </w:rPr>
              <w:t>12. Body mass index between 17.5 and 32 kg/m</w:t>
            </w:r>
            <w:r w:rsidRPr="00923A5B">
              <w:rPr>
                <w:vertAlign w:val="superscript"/>
                <w:lang w:val="en-US"/>
              </w:rPr>
              <w:t>2</w:t>
            </w:r>
            <w:r w:rsidRPr="00923A5B">
              <w:rPr>
                <w:lang w:val="en-US"/>
              </w:rPr>
              <w:t xml:space="preserve"> at the time of screening</w:t>
            </w:r>
          </w:p>
        </w:tc>
      </w:tr>
      <w:tr w:rsidR="00C86B02" w:rsidRPr="00FD7E29" w14:paraId="335D9357" w14:textId="77777777" w:rsidTr="00A17B57">
        <w:tc>
          <w:tcPr>
            <w:tcW w:w="8488" w:type="dxa"/>
          </w:tcPr>
          <w:p w14:paraId="2EB6BC2B" w14:textId="77777777" w:rsidR="00C86B02" w:rsidRPr="00923A5B" w:rsidRDefault="00C86B02" w:rsidP="00A17B57">
            <w:pPr>
              <w:spacing w:line="480" w:lineRule="auto"/>
              <w:jc w:val="both"/>
              <w:rPr>
                <w:lang w:val="en-US"/>
              </w:rPr>
            </w:pPr>
            <w:r w:rsidRPr="00923A5B">
              <w:rPr>
                <w:lang w:val="en-US"/>
              </w:rPr>
              <w:t xml:space="preserve">13. </w:t>
            </w:r>
            <w:r>
              <w:rPr>
                <w:lang w:val="en-US"/>
              </w:rPr>
              <w:t>A</w:t>
            </w:r>
            <w:r w:rsidRPr="00923A5B">
              <w:rPr>
                <w:lang w:val="en-US"/>
              </w:rPr>
              <w:t>gree to transfer preferably one embryo and no more than two embryos, regardless of age, for fresh cycles</w:t>
            </w:r>
          </w:p>
        </w:tc>
      </w:tr>
      <w:tr w:rsidR="00C86B02" w:rsidRPr="00FD7E29" w14:paraId="610BD689" w14:textId="77777777" w:rsidTr="00A17B57">
        <w:tc>
          <w:tcPr>
            <w:tcW w:w="8488" w:type="dxa"/>
          </w:tcPr>
          <w:p w14:paraId="27EA42A7" w14:textId="77777777" w:rsidR="00C86B02" w:rsidRPr="00923A5B" w:rsidRDefault="00C86B02" w:rsidP="00A17B57">
            <w:pPr>
              <w:spacing w:line="480" w:lineRule="auto"/>
              <w:jc w:val="both"/>
              <w:rPr>
                <w:b/>
                <w:bCs/>
                <w:lang w:val="en-US"/>
              </w:rPr>
            </w:pPr>
            <w:r w:rsidRPr="00923A5B">
              <w:rPr>
                <w:lang w:val="en-US"/>
              </w:rPr>
              <w:t xml:space="preserve">14. </w:t>
            </w:r>
            <w:r>
              <w:rPr>
                <w:lang w:val="en-US"/>
              </w:rPr>
              <w:t>A</w:t>
            </w:r>
            <w:r w:rsidRPr="00923A5B">
              <w:rPr>
                <w:lang w:val="en-US"/>
              </w:rPr>
              <w:t>gree to transfer preferably one embryo and no more than two embryos, regardless of age, for the first frozen cycle within 3 years of egg collection</w:t>
            </w:r>
          </w:p>
        </w:tc>
      </w:tr>
      <w:tr w:rsidR="00C86B02" w:rsidRPr="00FD7E29" w14:paraId="04DF2ABE" w14:textId="77777777" w:rsidTr="00A17B57">
        <w:tc>
          <w:tcPr>
            <w:tcW w:w="8488" w:type="dxa"/>
          </w:tcPr>
          <w:p w14:paraId="1E3225C1" w14:textId="77777777" w:rsidR="00C86B02" w:rsidRPr="00923A5B" w:rsidRDefault="00C86B02" w:rsidP="00A17B57">
            <w:pPr>
              <w:spacing w:line="480" w:lineRule="auto"/>
              <w:jc w:val="both"/>
              <w:rPr>
                <w:lang w:val="en-US"/>
              </w:rPr>
            </w:pPr>
            <w:r w:rsidRPr="00923A5B">
              <w:rPr>
                <w:lang w:val="en-US"/>
              </w:rPr>
              <w:t>15. Serum AMH between 0.1 and 2.1 ng/mL, results obtained within 6 months of the start of the study</w:t>
            </w:r>
          </w:p>
        </w:tc>
      </w:tr>
      <w:tr w:rsidR="00C86B02" w14:paraId="01DF6A47" w14:textId="77777777" w:rsidTr="00A17B57">
        <w:tc>
          <w:tcPr>
            <w:tcW w:w="8488" w:type="dxa"/>
          </w:tcPr>
          <w:p w14:paraId="00777566" w14:textId="77777777" w:rsidR="00C86B02" w:rsidRDefault="00C86B02" w:rsidP="00A17B57">
            <w:pPr>
              <w:spacing w:line="480" w:lineRule="auto"/>
              <w:jc w:val="both"/>
              <w:rPr>
                <w:b/>
                <w:bCs/>
              </w:rPr>
            </w:pPr>
            <w:r w:rsidRPr="00F80C07">
              <w:rPr>
                <w:b/>
                <w:bCs/>
              </w:rPr>
              <w:t>Exclusion criteria</w:t>
            </w:r>
          </w:p>
        </w:tc>
      </w:tr>
      <w:tr w:rsidR="00C86B02" w14:paraId="69C34240" w14:textId="77777777" w:rsidTr="00A17B57">
        <w:tc>
          <w:tcPr>
            <w:tcW w:w="8488" w:type="dxa"/>
          </w:tcPr>
          <w:p w14:paraId="72FCDD50" w14:textId="77777777" w:rsidR="00C86B02" w:rsidRDefault="00C86B02" w:rsidP="00A17B57">
            <w:pPr>
              <w:spacing w:line="480" w:lineRule="auto"/>
              <w:jc w:val="both"/>
            </w:pPr>
            <w:r>
              <w:t>1. Stage III/IV endometriosis</w:t>
            </w:r>
          </w:p>
        </w:tc>
      </w:tr>
      <w:tr w:rsidR="00C86B02" w:rsidRPr="00FD7E29" w14:paraId="3C9DA2A0" w14:textId="77777777" w:rsidTr="00A17B57">
        <w:tc>
          <w:tcPr>
            <w:tcW w:w="8488" w:type="dxa"/>
          </w:tcPr>
          <w:p w14:paraId="02D19068" w14:textId="77777777" w:rsidR="00C86B02" w:rsidRPr="00923A5B" w:rsidRDefault="00C86B02" w:rsidP="00A17B57">
            <w:pPr>
              <w:spacing w:line="480" w:lineRule="auto"/>
              <w:jc w:val="both"/>
              <w:rPr>
                <w:lang w:val="en-US"/>
              </w:rPr>
            </w:pPr>
            <w:r w:rsidRPr="00923A5B">
              <w:rPr>
                <w:lang w:val="en-US"/>
              </w:rPr>
              <w:t>2. One or more follicles ≥10 mm observed on transvaginal ultrasound at the start of stimulation</w:t>
            </w:r>
          </w:p>
        </w:tc>
      </w:tr>
      <w:tr w:rsidR="00C86B02" w:rsidRPr="00FD7E29" w14:paraId="42576708" w14:textId="77777777" w:rsidTr="00A17B57">
        <w:tc>
          <w:tcPr>
            <w:tcW w:w="8488" w:type="dxa"/>
          </w:tcPr>
          <w:p w14:paraId="06749A7D" w14:textId="77777777" w:rsidR="00C86B02" w:rsidRPr="00923A5B" w:rsidRDefault="00C86B02" w:rsidP="00A17B57">
            <w:pPr>
              <w:spacing w:line="480" w:lineRule="auto"/>
              <w:jc w:val="both"/>
              <w:rPr>
                <w:lang w:val="en-US"/>
              </w:rPr>
            </w:pPr>
            <w:r w:rsidRPr="00923A5B">
              <w:rPr>
                <w:lang w:val="en-US"/>
              </w:rPr>
              <w:t>3. Known history of recurrent miscarriage (3 or more consecutive miscarriages confirmed by ultrasound before 24 weeks of gestation, except ectopic pregnancy</w:t>
            </w:r>
          </w:p>
        </w:tc>
      </w:tr>
      <w:tr w:rsidR="00C86B02" w:rsidRPr="00FD7E29" w14:paraId="79E22123" w14:textId="77777777" w:rsidTr="00A17B57">
        <w:tc>
          <w:tcPr>
            <w:tcW w:w="8488" w:type="dxa"/>
          </w:tcPr>
          <w:p w14:paraId="2E186B89" w14:textId="77777777" w:rsidR="00C86B02" w:rsidRPr="00923A5B" w:rsidRDefault="00C86B02" w:rsidP="00A17B57">
            <w:pPr>
              <w:spacing w:line="480" w:lineRule="auto"/>
              <w:jc w:val="both"/>
              <w:rPr>
                <w:lang w:val="en-US"/>
              </w:rPr>
            </w:pPr>
            <w:r w:rsidRPr="00923A5B">
              <w:rPr>
                <w:lang w:val="en-US"/>
              </w:rPr>
              <w:t xml:space="preserve">4. Known karyotype abnormality. If the sperm concentration is &lt;1 million/mL, karyotyping and Y chromosome microdeletion research are mandatory. </w:t>
            </w:r>
          </w:p>
        </w:tc>
      </w:tr>
      <w:tr w:rsidR="00C86B02" w:rsidRPr="00FD7E29" w14:paraId="670AB96D" w14:textId="77777777" w:rsidTr="00A17B57">
        <w:tc>
          <w:tcPr>
            <w:tcW w:w="8488" w:type="dxa"/>
          </w:tcPr>
          <w:p w14:paraId="731E28A8" w14:textId="77777777" w:rsidR="00C86B02" w:rsidRPr="00923A5B" w:rsidRDefault="00C86B02" w:rsidP="00A17B57">
            <w:pPr>
              <w:spacing w:line="480" w:lineRule="auto"/>
              <w:jc w:val="both"/>
              <w:rPr>
                <w:lang w:val="en-US"/>
              </w:rPr>
            </w:pPr>
            <w:r w:rsidRPr="00923A5B">
              <w:rPr>
                <w:lang w:val="en-US"/>
              </w:rPr>
              <w:t xml:space="preserve">5. Any significant clinical systemic disease </w:t>
            </w:r>
          </w:p>
        </w:tc>
      </w:tr>
      <w:tr w:rsidR="00C86B02" w14:paraId="28382EBC" w14:textId="77777777" w:rsidTr="00A17B57">
        <w:tc>
          <w:tcPr>
            <w:tcW w:w="8488" w:type="dxa"/>
          </w:tcPr>
          <w:p w14:paraId="2178894E" w14:textId="77777777" w:rsidR="00C86B02" w:rsidRDefault="00C86B02" w:rsidP="00A17B57">
            <w:pPr>
              <w:spacing w:line="480" w:lineRule="auto"/>
              <w:jc w:val="both"/>
            </w:pPr>
            <w:r>
              <w:lastRenderedPageBreak/>
              <w:t>6. Hereditary or acquired thrombophilia</w:t>
            </w:r>
          </w:p>
        </w:tc>
      </w:tr>
      <w:tr w:rsidR="00C86B02" w:rsidRPr="00FD7E29" w14:paraId="6AF8D58C" w14:textId="77777777" w:rsidTr="00A17B57">
        <w:tc>
          <w:tcPr>
            <w:tcW w:w="8488" w:type="dxa"/>
          </w:tcPr>
          <w:p w14:paraId="0E659B05" w14:textId="77777777" w:rsidR="00C86B02" w:rsidRPr="00923A5B" w:rsidRDefault="00C86B02" w:rsidP="00A17B57">
            <w:pPr>
              <w:spacing w:line="480" w:lineRule="auto"/>
              <w:jc w:val="both"/>
              <w:rPr>
                <w:lang w:val="en-US"/>
              </w:rPr>
            </w:pPr>
            <w:r w:rsidRPr="00923A5B">
              <w:rPr>
                <w:lang w:val="en-US"/>
              </w:rPr>
              <w:t>7. Arterial or venous thromboembolism or severe thrombophlebitis, or a history of these events</w:t>
            </w:r>
          </w:p>
        </w:tc>
      </w:tr>
      <w:tr w:rsidR="00C86B02" w14:paraId="1C3BC6BD" w14:textId="77777777" w:rsidTr="00A17B57">
        <w:tc>
          <w:tcPr>
            <w:tcW w:w="8488" w:type="dxa"/>
          </w:tcPr>
          <w:p w14:paraId="672547AE" w14:textId="77777777" w:rsidR="00C86B02" w:rsidRDefault="00C86B02" w:rsidP="00A17B57">
            <w:pPr>
              <w:spacing w:line="480" w:lineRule="auto"/>
              <w:jc w:val="both"/>
            </w:pPr>
            <w:r>
              <w:t>8. Known porphyria</w:t>
            </w:r>
          </w:p>
        </w:tc>
      </w:tr>
      <w:tr w:rsidR="00C86B02" w:rsidRPr="00FD7E29" w14:paraId="1835BAA7" w14:textId="77777777" w:rsidTr="00A17B57">
        <w:tc>
          <w:tcPr>
            <w:tcW w:w="8488" w:type="dxa"/>
          </w:tcPr>
          <w:p w14:paraId="3C44030C" w14:textId="77777777" w:rsidR="00C86B02" w:rsidRPr="00923A5B" w:rsidRDefault="00C86B02" w:rsidP="00A17B57">
            <w:pPr>
              <w:spacing w:line="480" w:lineRule="auto"/>
              <w:jc w:val="both"/>
              <w:rPr>
                <w:lang w:val="en-US"/>
              </w:rPr>
            </w:pPr>
            <w:r w:rsidRPr="00923A5B">
              <w:rPr>
                <w:lang w:val="en-US"/>
              </w:rPr>
              <w:t>9. Any endocrine or metabolic disease (pituitary, adrenal, pancreas, liver, or kidney) that compromises participation in the study, except well-controlled thyroid disease</w:t>
            </w:r>
          </w:p>
        </w:tc>
      </w:tr>
      <w:tr w:rsidR="00C86B02" w:rsidRPr="00FD7E29" w14:paraId="0767B0A3" w14:textId="77777777" w:rsidTr="00A17B57">
        <w:tc>
          <w:tcPr>
            <w:tcW w:w="8488" w:type="dxa"/>
          </w:tcPr>
          <w:p w14:paraId="60466398" w14:textId="77777777" w:rsidR="00C86B02" w:rsidRPr="00923A5B" w:rsidRDefault="00C86B02" w:rsidP="00A17B57">
            <w:pPr>
              <w:spacing w:line="480" w:lineRule="auto"/>
              <w:jc w:val="both"/>
              <w:rPr>
                <w:lang w:val="en-US"/>
              </w:rPr>
            </w:pPr>
            <w:r w:rsidRPr="00923A5B">
              <w:rPr>
                <w:lang w:val="en-US"/>
              </w:rPr>
              <w:t>10. Known presence of anti-FSH antibodies</w:t>
            </w:r>
          </w:p>
        </w:tc>
      </w:tr>
      <w:tr w:rsidR="00C86B02" w:rsidRPr="00FD7E29" w14:paraId="29D6AFCA" w14:textId="77777777" w:rsidTr="00A17B57">
        <w:tc>
          <w:tcPr>
            <w:tcW w:w="8488" w:type="dxa"/>
          </w:tcPr>
          <w:p w14:paraId="2FF01EB4" w14:textId="77777777" w:rsidR="00C86B02" w:rsidRPr="00923A5B" w:rsidRDefault="00C86B02" w:rsidP="00A17B57">
            <w:pPr>
              <w:spacing w:line="480" w:lineRule="auto"/>
              <w:jc w:val="both"/>
              <w:rPr>
                <w:lang w:val="en-US"/>
              </w:rPr>
            </w:pPr>
            <w:r w:rsidRPr="00923A5B">
              <w:rPr>
                <w:lang w:val="en-US"/>
              </w:rPr>
              <w:t>11. Known tumors in the breast, ovary, adrenal, pituitary, or hypothalamus) that contraindicate the use of gonadotropins</w:t>
            </w:r>
          </w:p>
        </w:tc>
      </w:tr>
      <w:tr w:rsidR="00C86B02" w:rsidRPr="00FD7E29" w14:paraId="49896CF9" w14:textId="77777777" w:rsidTr="00A17B57">
        <w:tc>
          <w:tcPr>
            <w:tcW w:w="8488" w:type="dxa"/>
          </w:tcPr>
          <w:p w14:paraId="2C22AE67" w14:textId="77777777" w:rsidR="00C86B02" w:rsidRPr="00923A5B" w:rsidRDefault="00C86B02" w:rsidP="00A17B57">
            <w:pPr>
              <w:spacing w:line="480" w:lineRule="auto"/>
              <w:jc w:val="both"/>
              <w:rPr>
                <w:lang w:val="en-US"/>
              </w:rPr>
            </w:pPr>
            <w:r w:rsidRPr="00923A5B">
              <w:rPr>
                <w:lang w:val="en-US"/>
              </w:rPr>
              <w:t>12. Known moderate or severe impairment of hepatic or renal function</w:t>
            </w:r>
          </w:p>
        </w:tc>
      </w:tr>
      <w:tr w:rsidR="00C86B02" w14:paraId="36DE4460" w14:textId="77777777" w:rsidTr="00A17B57">
        <w:tc>
          <w:tcPr>
            <w:tcW w:w="8488" w:type="dxa"/>
          </w:tcPr>
          <w:p w14:paraId="38267834" w14:textId="77777777" w:rsidR="00C86B02" w:rsidRDefault="00C86B02" w:rsidP="00A17B57">
            <w:pPr>
              <w:spacing w:line="480" w:lineRule="auto"/>
              <w:jc w:val="both"/>
            </w:pPr>
            <w:r>
              <w:t>13. Current breastfeeding</w:t>
            </w:r>
          </w:p>
        </w:tc>
      </w:tr>
      <w:tr w:rsidR="00C86B02" w14:paraId="63BB7B8B" w14:textId="77777777" w:rsidTr="00A17B57">
        <w:tc>
          <w:tcPr>
            <w:tcW w:w="8488" w:type="dxa"/>
          </w:tcPr>
          <w:p w14:paraId="07F1D66B" w14:textId="77777777" w:rsidR="00C86B02" w:rsidRDefault="00C86B02" w:rsidP="00A17B57">
            <w:pPr>
              <w:spacing w:line="480" w:lineRule="auto"/>
              <w:jc w:val="both"/>
            </w:pPr>
            <w:r>
              <w:t>14. Vaginal bleeding without diagnosis</w:t>
            </w:r>
          </w:p>
        </w:tc>
      </w:tr>
      <w:tr w:rsidR="00C86B02" w:rsidRPr="00FD7E29" w14:paraId="7728F000" w14:textId="77777777" w:rsidTr="00A17B57">
        <w:tc>
          <w:tcPr>
            <w:tcW w:w="8488" w:type="dxa"/>
          </w:tcPr>
          <w:p w14:paraId="2A7F77F0" w14:textId="77777777" w:rsidR="00C86B02" w:rsidRPr="00923A5B" w:rsidRDefault="00C86B02" w:rsidP="00A17B57">
            <w:pPr>
              <w:spacing w:line="480" w:lineRule="auto"/>
              <w:jc w:val="both"/>
              <w:rPr>
                <w:lang w:val="en-US"/>
              </w:rPr>
            </w:pPr>
            <w:r w:rsidRPr="00923A5B">
              <w:rPr>
                <w:lang w:val="en-US"/>
              </w:rPr>
              <w:t>15. Cervical cytology abnormality of clinical significance not resolved within 3 years of the start of the study</w:t>
            </w:r>
          </w:p>
        </w:tc>
      </w:tr>
      <w:tr w:rsidR="00C86B02" w:rsidRPr="00FD7E29" w14:paraId="344A7643" w14:textId="77777777" w:rsidTr="00A17B57">
        <w:tc>
          <w:tcPr>
            <w:tcW w:w="8488" w:type="dxa"/>
          </w:tcPr>
          <w:p w14:paraId="788C2A94" w14:textId="77777777" w:rsidR="00C86B02" w:rsidRPr="00923A5B" w:rsidRDefault="00C86B02" w:rsidP="00A17B57">
            <w:pPr>
              <w:spacing w:line="480" w:lineRule="auto"/>
              <w:jc w:val="both"/>
              <w:rPr>
                <w:lang w:val="en-US"/>
              </w:rPr>
            </w:pPr>
            <w:r w:rsidRPr="00923A5B">
              <w:rPr>
                <w:lang w:val="en-US"/>
              </w:rPr>
              <w:t>16. Gynecological examination findings during screening that contraindicate the use of gonadotropins or contraindicate pregnancy (congenital anomalies of the uterus or retained intrauterine device)</w:t>
            </w:r>
          </w:p>
        </w:tc>
      </w:tr>
      <w:tr w:rsidR="00C86B02" w:rsidRPr="00FD7E29" w14:paraId="6A162D47" w14:textId="77777777" w:rsidTr="00A17B57">
        <w:tc>
          <w:tcPr>
            <w:tcW w:w="8488" w:type="dxa"/>
          </w:tcPr>
          <w:p w14:paraId="27A7C3FB" w14:textId="77777777" w:rsidR="00C86B02" w:rsidRPr="00923A5B" w:rsidRDefault="00C86B02" w:rsidP="00A17B57">
            <w:pPr>
              <w:spacing w:line="480" w:lineRule="auto"/>
              <w:jc w:val="both"/>
              <w:rPr>
                <w:lang w:val="en-US"/>
              </w:rPr>
            </w:pPr>
            <w:r w:rsidRPr="00923A5B">
              <w:rPr>
                <w:lang w:val="en-US"/>
              </w:rPr>
              <w:t>17. Pregnancy (positive urine test performed on the day the study begins) or contraindication to pregnancy</w:t>
            </w:r>
          </w:p>
        </w:tc>
      </w:tr>
      <w:tr w:rsidR="00C86B02" w14:paraId="2F397B5E" w14:textId="77777777" w:rsidTr="00A17B57">
        <w:tc>
          <w:tcPr>
            <w:tcW w:w="8488" w:type="dxa"/>
          </w:tcPr>
          <w:p w14:paraId="6FD3E65D" w14:textId="77777777" w:rsidR="00C86B02" w:rsidRDefault="00C86B02" w:rsidP="00A17B57">
            <w:pPr>
              <w:spacing w:line="480" w:lineRule="auto"/>
              <w:jc w:val="both"/>
            </w:pPr>
            <w:r>
              <w:t>18. Active pelvic inflammatory disease</w:t>
            </w:r>
          </w:p>
        </w:tc>
      </w:tr>
      <w:tr w:rsidR="00C86B02" w:rsidRPr="00FD7E29" w14:paraId="391EC759" w14:textId="77777777" w:rsidTr="00A17B57">
        <w:tc>
          <w:tcPr>
            <w:tcW w:w="8488" w:type="dxa"/>
          </w:tcPr>
          <w:p w14:paraId="4B3E891C" w14:textId="77777777" w:rsidR="00C86B02" w:rsidRPr="00923A5B" w:rsidRDefault="00C86B02" w:rsidP="00A17B57">
            <w:pPr>
              <w:spacing w:line="480" w:lineRule="auto"/>
              <w:jc w:val="both"/>
              <w:rPr>
                <w:lang w:val="en-US"/>
              </w:rPr>
            </w:pPr>
            <w:r w:rsidRPr="00923A5B">
              <w:rPr>
                <w:lang w:val="en-US"/>
              </w:rPr>
              <w:t>19. Use of fertility modifiers in the cycle prior to treatment with dehydroepiandrosterone, contraceptives, progestogens or estrogens</w:t>
            </w:r>
          </w:p>
        </w:tc>
      </w:tr>
      <w:tr w:rsidR="00C86B02" w:rsidRPr="00FD7E29" w14:paraId="5E178355" w14:textId="77777777" w:rsidTr="00A17B57">
        <w:tc>
          <w:tcPr>
            <w:tcW w:w="8488" w:type="dxa"/>
          </w:tcPr>
          <w:p w14:paraId="6CD26271" w14:textId="77777777" w:rsidR="00C86B02" w:rsidRPr="00923A5B" w:rsidRDefault="00C86B02" w:rsidP="00A17B57">
            <w:pPr>
              <w:spacing w:line="480" w:lineRule="auto"/>
              <w:jc w:val="both"/>
              <w:rPr>
                <w:lang w:val="en-US"/>
              </w:rPr>
            </w:pPr>
            <w:r w:rsidRPr="00923A5B">
              <w:rPr>
                <w:lang w:val="en-US"/>
              </w:rPr>
              <w:lastRenderedPageBreak/>
              <w:t>20. Use of hormonal preparations (except thyroid hormones) in the month prior to the study</w:t>
            </w:r>
          </w:p>
        </w:tc>
      </w:tr>
      <w:tr w:rsidR="00C86B02" w:rsidRPr="00FD7E29" w14:paraId="3B68A08C" w14:textId="77777777" w:rsidTr="00A17B57">
        <w:tc>
          <w:tcPr>
            <w:tcW w:w="8488" w:type="dxa"/>
          </w:tcPr>
          <w:p w14:paraId="47163E80" w14:textId="77777777" w:rsidR="00C86B02" w:rsidRPr="00923A5B" w:rsidRDefault="00C86B02" w:rsidP="00A17B57">
            <w:pPr>
              <w:spacing w:line="480" w:lineRule="auto"/>
              <w:jc w:val="both"/>
              <w:rPr>
                <w:lang w:val="en-US"/>
              </w:rPr>
            </w:pPr>
            <w:r w:rsidRPr="00923A5B">
              <w:rPr>
                <w:lang w:val="en-US"/>
              </w:rPr>
              <w:t>21. Previous history of chemotherapy (except for gestational conditions) or radiotherapy</w:t>
            </w:r>
          </w:p>
        </w:tc>
      </w:tr>
      <w:tr w:rsidR="00C86B02" w:rsidRPr="00FD7E29" w14:paraId="3EC20D9D" w14:textId="77777777" w:rsidTr="00A17B57">
        <w:tc>
          <w:tcPr>
            <w:tcW w:w="8488" w:type="dxa"/>
          </w:tcPr>
          <w:p w14:paraId="37E3F1DA" w14:textId="77777777" w:rsidR="00C86B02" w:rsidRPr="00923A5B" w:rsidRDefault="00C86B02" w:rsidP="00A17B57">
            <w:pPr>
              <w:spacing w:line="480" w:lineRule="auto"/>
              <w:jc w:val="both"/>
              <w:rPr>
                <w:lang w:val="en-US"/>
              </w:rPr>
            </w:pPr>
            <w:r w:rsidRPr="00923A5B">
              <w:rPr>
                <w:lang w:val="en-US"/>
              </w:rPr>
              <w:t>22. Drug or alcohol abuse in the year prior to the study or drinking more than 14 units of alcohol per week in the month prior to the study</w:t>
            </w:r>
          </w:p>
        </w:tc>
      </w:tr>
      <w:tr w:rsidR="00C86B02" w:rsidRPr="00FD7E29" w14:paraId="1B01F365" w14:textId="77777777" w:rsidTr="00A17B57">
        <w:tc>
          <w:tcPr>
            <w:tcW w:w="8488" w:type="dxa"/>
          </w:tcPr>
          <w:p w14:paraId="35911C93" w14:textId="77777777" w:rsidR="00C86B02" w:rsidRPr="00923A5B" w:rsidRDefault="00C86B02" w:rsidP="00A17B57">
            <w:pPr>
              <w:spacing w:line="480" w:lineRule="auto"/>
              <w:jc w:val="both"/>
              <w:rPr>
                <w:lang w:val="en-US"/>
              </w:rPr>
            </w:pPr>
            <w:r w:rsidRPr="00923A5B">
              <w:rPr>
                <w:lang w:val="en-US"/>
              </w:rPr>
              <w:t>23. Smoking more than ten cigarettes/day in the 3 months prior to the study</w:t>
            </w:r>
          </w:p>
        </w:tc>
      </w:tr>
      <w:tr w:rsidR="00C86B02" w:rsidRPr="00FD7E29" w14:paraId="08950447" w14:textId="77777777" w:rsidTr="00A17B57">
        <w:tc>
          <w:tcPr>
            <w:tcW w:w="8488" w:type="dxa"/>
          </w:tcPr>
          <w:p w14:paraId="34E321D0" w14:textId="77777777" w:rsidR="00C86B02" w:rsidRPr="00923A5B" w:rsidRDefault="00C86B02" w:rsidP="00A17B57">
            <w:pPr>
              <w:spacing w:line="480" w:lineRule="auto"/>
              <w:jc w:val="both"/>
              <w:rPr>
                <w:lang w:val="en-US"/>
              </w:rPr>
            </w:pPr>
            <w:r w:rsidRPr="00923A5B">
              <w:rPr>
                <w:lang w:val="en-US"/>
              </w:rPr>
              <w:t>24. Known hypersensitivity to the drugs to be used in the study</w:t>
            </w:r>
          </w:p>
        </w:tc>
      </w:tr>
      <w:tr w:rsidR="00C86B02" w14:paraId="2852D203" w14:textId="77777777" w:rsidTr="00A17B57">
        <w:tc>
          <w:tcPr>
            <w:tcW w:w="8488" w:type="dxa"/>
          </w:tcPr>
          <w:p w14:paraId="57D1D7DB" w14:textId="77777777" w:rsidR="00C86B02" w:rsidRDefault="00C86B02" w:rsidP="00A17B57">
            <w:pPr>
              <w:spacing w:line="480" w:lineRule="auto"/>
              <w:jc w:val="both"/>
            </w:pPr>
            <w:r>
              <w:t>25. Participation in previous studies</w:t>
            </w:r>
          </w:p>
        </w:tc>
      </w:tr>
      <w:tr w:rsidR="00C86B02" w:rsidRPr="00FD7E29" w14:paraId="6407BE03" w14:textId="77777777" w:rsidTr="00A17B57">
        <w:tc>
          <w:tcPr>
            <w:tcW w:w="8488" w:type="dxa"/>
          </w:tcPr>
          <w:p w14:paraId="0C4F94AF" w14:textId="77777777" w:rsidR="00C86B02" w:rsidRPr="00923A5B" w:rsidRDefault="00C86B02" w:rsidP="00A17B57">
            <w:pPr>
              <w:spacing w:line="480" w:lineRule="auto"/>
              <w:jc w:val="both"/>
              <w:rPr>
                <w:lang w:val="en-US"/>
              </w:rPr>
            </w:pPr>
            <w:r w:rsidRPr="00923A5B">
              <w:rPr>
                <w:lang w:val="en-US"/>
              </w:rPr>
              <w:t>26. Use of any unregistered experimental drug in the 3 months prior to the start of this study</w:t>
            </w:r>
          </w:p>
        </w:tc>
      </w:tr>
    </w:tbl>
    <w:p w14:paraId="18115B06" w14:textId="77777777" w:rsidR="00C86B02" w:rsidRDefault="00C86B02" w:rsidP="00C86B02">
      <w:pPr>
        <w:spacing w:line="480" w:lineRule="auto"/>
        <w:rPr>
          <w:lang w:val="en-US"/>
        </w:rPr>
      </w:pPr>
    </w:p>
    <w:p w14:paraId="0511A2CB" w14:textId="77777777" w:rsidR="002F0F5E" w:rsidRDefault="00C86B02"/>
    <w:sectPr w:rsidR="002F0F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B02"/>
    <w:rsid w:val="0021090F"/>
    <w:rsid w:val="003A76DF"/>
    <w:rsid w:val="00C52827"/>
    <w:rsid w:val="00C86B02"/>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AE92D"/>
  <w15:chartTrackingRefBased/>
  <w15:docId w15:val="{CB848D80-7CF1-4FCA-AEF8-72D52E0EE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B02"/>
    <w:pPr>
      <w:spacing w:after="0" w:line="240" w:lineRule="auto"/>
    </w:pPr>
    <w:rPr>
      <w:rFonts w:ascii="Calibri" w:eastAsia="Calibri" w:hAnsi="Calibri" w:cs="Calibri"/>
      <w:sz w:val="24"/>
      <w:szCs w:val="24"/>
      <w:lang w:val="pt-BR"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6B02"/>
    <w:pPr>
      <w:spacing w:after="0" w:line="240" w:lineRule="auto"/>
    </w:pPr>
    <w:rPr>
      <w:rFonts w:ascii="Calibri" w:eastAsia="Calibri" w:hAnsi="Calibri" w:cs="Calibri"/>
      <w:sz w:val="24"/>
      <w:szCs w:val="24"/>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669</Words>
  <Characters>3814</Characters>
  <Application>Microsoft Office Word</Application>
  <DocSecurity>0</DocSecurity>
  <Lines>31</Lines>
  <Paragraphs>8</Paragraphs>
  <ScaleCrop>false</ScaleCrop>
  <Company>Springer Nature</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2023-10-23T13:02:00Z</dcterms:created>
  <dcterms:modified xsi:type="dcterms:W3CDTF">2023-10-23T13:02:00Z</dcterms:modified>
</cp:coreProperties>
</file>