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940D3" w14:textId="77777777" w:rsidR="008460E2" w:rsidRPr="006054D0" w:rsidRDefault="008460E2" w:rsidP="008460E2">
      <w:pPr>
        <w:rPr>
          <w:rFonts w:ascii="Times" w:hAnsi="Times"/>
          <w:color w:val="000000" w:themeColor="text1"/>
        </w:rPr>
      </w:pPr>
      <w:r>
        <w:rPr>
          <w:rFonts w:ascii="Times" w:hAnsi="Times"/>
          <w:noProof/>
          <w:color w:val="000000" w:themeColor="text1"/>
        </w:rPr>
        <w:drawing>
          <wp:inline distT="0" distB="0" distL="0" distR="0" wp14:anchorId="04C033B4" wp14:editId="5C8C2734">
            <wp:extent cx="5290840" cy="6017260"/>
            <wp:effectExtent l="0" t="0" r="0" b="2540"/>
            <wp:docPr id="184030699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39" cy="602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8A144" w14:textId="77777777" w:rsidR="008460E2" w:rsidRPr="005B2A74" w:rsidRDefault="008460E2" w:rsidP="008460E2">
      <w:pPr>
        <w:pStyle w:val="Heading2"/>
        <w:rPr>
          <w:rFonts w:ascii="Arial" w:hAnsi="Arial" w:cs="Arial"/>
          <w:b/>
          <w:bCs/>
        </w:rPr>
      </w:pPr>
      <w:r w:rsidRPr="005B2A74">
        <w:rPr>
          <w:rFonts w:ascii="Arial" w:hAnsi="Arial" w:cs="Arial"/>
          <w:b/>
          <w:bCs/>
        </w:rPr>
        <w:t xml:space="preserve">Figure S1. </w:t>
      </w:r>
      <w:r w:rsidRPr="00E93D85">
        <w:rPr>
          <w:rFonts w:ascii="Arial" w:hAnsi="Arial" w:cs="Arial"/>
          <w:b/>
          <w:bCs/>
        </w:rPr>
        <w:t>C3</w:t>
      </w:r>
      <w:r>
        <w:rPr>
          <w:rFonts w:ascii="Arial" w:hAnsi="Arial" w:cs="Arial"/>
          <w:b/>
          <w:bCs/>
        </w:rPr>
        <w:t>-</w:t>
      </w:r>
      <w:r w:rsidRPr="00E93D85">
        <w:rPr>
          <w:rFonts w:ascii="Arial" w:hAnsi="Arial" w:cs="Arial"/>
          <w:b/>
          <w:bCs/>
        </w:rPr>
        <w:t>positive reactive</w:t>
      </w:r>
      <w:r w:rsidRPr="005B2A74">
        <w:rPr>
          <w:rFonts w:ascii="Arial" w:hAnsi="Arial" w:cs="Arial"/>
          <w:b/>
          <w:bCs/>
        </w:rPr>
        <w:t xml:space="preserve"> astrocyte differentiation elongates primary cilium length.</w:t>
      </w:r>
    </w:p>
    <w:p w14:paraId="0DBF738A" w14:textId="77777777" w:rsidR="008460E2" w:rsidRDefault="008460E2" w:rsidP="008460E2">
      <w:pPr>
        <w:rPr>
          <w:rFonts w:ascii="Times New Roman" w:hAnsi="Times New Roman" w:cs="Times New Roman"/>
        </w:rPr>
      </w:pPr>
      <w:r w:rsidRPr="005B2A74">
        <w:rPr>
          <w:rFonts w:ascii="Times" w:hAnsi="Times" w:hint="eastAsia"/>
          <w:color w:val="000000" w:themeColor="text1"/>
        </w:rPr>
        <w:t>(</w:t>
      </w:r>
      <w:r w:rsidRPr="005B2A74">
        <w:rPr>
          <w:rFonts w:ascii="Times" w:hAnsi="Times"/>
          <w:color w:val="000000" w:themeColor="text1"/>
        </w:rPr>
        <w:t xml:space="preserve">A) </w:t>
      </w:r>
      <w:r w:rsidRPr="005B2A74">
        <w:rPr>
          <w:rFonts w:ascii="Times" w:hAnsi="Times" w:hint="eastAsia"/>
          <w:color w:val="000000" w:themeColor="text1"/>
        </w:rPr>
        <w:t>R</w:t>
      </w:r>
      <w:r w:rsidRPr="005B2A74">
        <w:rPr>
          <w:rFonts w:ascii="Times" w:hAnsi="Times"/>
          <w:color w:val="000000" w:themeColor="text1"/>
        </w:rPr>
        <w:t>epresentative immunostaining image of C3 (</w:t>
      </w:r>
      <w:r w:rsidRPr="005B2A74">
        <w:rPr>
          <w:rFonts w:ascii="Times" w:eastAsia="Yu Mincho" w:hAnsi="Times" w:cs="Times New Roman"/>
          <w:color w:val="000000"/>
        </w:rPr>
        <w:t>green</w:t>
      </w:r>
      <w:r w:rsidRPr="005B2A74">
        <w:rPr>
          <w:rFonts w:ascii="Times" w:hAnsi="Times"/>
          <w:color w:val="000000" w:themeColor="text1"/>
        </w:rPr>
        <w:t xml:space="preserve">) and GFAP (astrocyte marker, red). Mixed cortical glial cells were treated with 100 ng/ml LPS for 24 h, 48 h, and 72 h. </w:t>
      </w:r>
      <w:r w:rsidRPr="005B2A74">
        <w:rPr>
          <w:rFonts w:ascii="Times" w:eastAsia="Yu Mincho" w:hAnsi="Times" w:cs="Times New Roman"/>
          <w:color w:val="000000"/>
        </w:rPr>
        <w:t>Scale</w:t>
      </w:r>
      <w:r w:rsidRPr="005B2A74">
        <w:rPr>
          <w:rFonts w:ascii="Times" w:hAnsi="Times"/>
          <w:color w:val="000000" w:themeColor="text1"/>
        </w:rPr>
        <w:t xml:space="preserve"> bar; 20 </w:t>
      </w:r>
      <w:r w:rsidRPr="005B2A74">
        <w:rPr>
          <w:rFonts w:ascii="Symbol" w:hAnsi="Symbol"/>
        </w:rPr>
        <w:sym w:font="Symbol" w:char="F06D"/>
      </w:r>
      <w:r w:rsidRPr="005B2A74">
        <w:rPr>
          <w:rFonts w:ascii="Times" w:hAnsi="Times"/>
          <w:color w:val="000000" w:themeColor="text1"/>
        </w:rPr>
        <w:t xml:space="preserve">m. (B) </w:t>
      </w:r>
      <w:r w:rsidRPr="009F2D99">
        <w:rPr>
          <w:rFonts w:ascii="Times New Roman" w:hAnsi="Times New Roman" w:cs="Times New Roman"/>
          <w:color w:val="000000" w:themeColor="text1"/>
        </w:rPr>
        <w:t>Astrocytic primary cilium length shown in Figure S1A. Three independent experiments were performed. ***</w:t>
      </w:r>
      <w:r w:rsidRPr="009F2D99">
        <w:rPr>
          <w:rFonts w:ascii="Times New Roman" w:hAnsi="Times New Roman" w:cs="Times New Roman"/>
        </w:rPr>
        <w:t xml:space="preserve">, P &lt;0.001 (Mann‒Whitney U test). (C) </w:t>
      </w:r>
      <w:r>
        <w:rPr>
          <w:rFonts w:ascii="Times New Roman" w:hAnsi="Times New Roman" w:cs="Times New Roman"/>
        </w:rPr>
        <w:t>Temporally-dependent</w:t>
      </w:r>
      <w:r w:rsidRPr="009F2D99">
        <w:rPr>
          <w:rFonts w:ascii="Times New Roman" w:hAnsi="Times New Roman" w:cs="Times New Roman"/>
        </w:rPr>
        <w:t xml:space="preserve"> C3 expression</w:t>
      </w:r>
      <w:r>
        <w:rPr>
          <w:rFonts w:ascii="Times New Roman" w:hAnsi="Times New Roman" w:cs="Times New Roman"/>
        </w:rPr>
        <w:t xml:space="preserve"> levels</w:t>
      </w:r>
      <w:r w:rsidRPr="009F2D99">
        <w:rPr>
          <w:rFonts w:ascii="Times New Roman" w:hAnsi="Times New Roman" w:cs="Times New Roman"/>
        </w:rPr>
        <w:t xml:space="preserve"> and cilium length </w:t>
      </w:r>
      <w:r>
        <w:rPr>
          <w:rFonts w:ascii="Times New Roman" w:hAnsi="Times New Roman" w:cs="Times New Roman"/>
        </w:rPr>
        <w:t>were increased</w:t>
      </w:r>
      <w:r w:rsidRPr="009F2D99">
        <w:rPr>
          <w:rFonts w:ascii="Times New Roman" w:hAnsi="Times New Roman" w:cs="Times New Roman"/>
        </w:rPr>
        <w:t xml:space="preserve"> </w:t>
      </w:r>
      <w:r w:rsidRPr="009F2D99">
        <w:rPr>
          <w:rFonts w:ascii="Times New Roman" w:eastAsia="Yu Mincho" w:hAnsi="Times New Roman" w:cs="Times New Roman"/>
        </w:rPr>
        <w:t>astrocyte cultures</w:t>
      </w:r>
      <w:r w:rsidRPr="009F2D99">
        <w:rPr>
          <w:rFonts w:ascii="Times New Roman" w:hAnsi="Times New Roman" w:cs="Times New Roman"/>
        </w:rPr>
        <w:t xml:space="preserve"> treated with 3 ng/mL IL-1</w:t>
      </w:r>
      <w:r w:rsidRPr="007E0F5F">
        <w:rPr>
          <w:rFonts w:ascii="Cambria Math" w:hAnsi="Cambria Math" w:cs="Cambria Math"/>
        </w:rPr>
        <w:t>⍺</w:t>
      </w:r>
      <w:r w:rsidRPr="009F2D99">
        <w:rPr>
          <w:rFonts w:ascii="Times New Roman" w:hAnsi="Times New Roman" w:cs="Times New Roman"/>
        </w:rPr>
        <w:t>, 30 ng/ml TNF-</w:t>
      </w:r>
      <w:r w:rsidRPr="007E0F5F">
        <w:rPr>
          <w:rFonts w:ascii="Cambria Math" w:hAnsi="Cambria Math" w:cs="Cambria Math"/>
        </w:rPr>
        <w:t>⍺</w:t>
      </w:r>
      <w:r w:rsidRPr="009F2D99">
        <w:rPr>
          <w:rFonts w:ascii="Times New Roman" w:hAnsi="Times New Roman" w:cs="Times New Roman"/>
        </w:rPr>
        <w:t xml:space="preserve">, and 400 ng/ml C1q. Representative images of Arl13B (red), C3 (green) and nuclei (Hoechst 33342, blue) </w:t>
      </w:r>
      <w:r w:rsidRPr="009F2D99">
        <w:rPr>
          <w:rFonts w:ascii="Times New Roman" w:eastAsia="Yu Mincho" w:hAnsi="Times New Roman" w:cs="Times New Roman"/>
        </w:rPr>
        <w:t>are</w:t>
      </w:r>
      <w:r w:rsidRPr="009F2D99">
        <w:rPr>
          <w:rFonts w:ascii="Times New Roman" w:hAnsi="Times New Roman" w:cs="Times New Roman"/>
        </w:rPr>
        <w:t xml:space="preserve"> shown. Three independent experiments were performed. </w:t>
      </w:r>
      <w:r w:rsidRPr="009F2D99">
        <w:rPr>
          <w:rFonts w:ascii="Times New Roman" w:eastAsia="Yu Mincho" w:hAnsi="Times New Roman" w:cs="Times New Roman"/>
          <w:color w:val="000000"/>
        </w:rPr>
        <w:t>Scale</w:t>
      </w:r>
      <w:r w:rsidRPr="009F2D99">
        <w:rPr>
          <w:rFonts w:ascii="Times New Roman" w:hAnsi="Times New Roman" w:cs="Times New Roman"/>
          <w:color w:val="000000" w:themeColor="text1"/>
        </w:rPr>
        <w:t xml:space="preserve"> bar; 5 </w:t>
      </w:r>
      <w:r w:rsidRPr="009F2D99">
        <w:rPr>
          <w:rFonts w:ascii="Times New Roman" w:hAnsi="Times New Roman" w:cs="Times New Roman" w:hint="eastAsia"/>
        </w:rPr>
        <w:sym w:font="Symbol" w:char="F06D"/>
      </w:r>
      <w:r w:rsidRPr="009F2D99">
        <w:rPr>
          <w:rFonts w:ascii="Times New Roman" w:hAnsi="Times New Roman" w:cs="Times New Roman"/>
          <w:color w:val="000000" w:themeColor="text1"/>
        </w:rPr>
        <w:t>m.</w:t>
      </w:r>
      <w:r w:rsidRPr="009F2D99">
        <w:rPr>
          <w:rFonts w:ascii="Times New Roman" w:hAnsi="Times New Roman" w:cs="Times New Roman"/>
        </w:rPr>
        <w:t xml:space="preserve"> (D) </w:t>
      </w:r>
      <w:r w:rsidRPr="009F2D99">
        <w:rPr>
          <w:rFonts w:ascii="Times New Roman" w:hAnsi="Times New Roman" w:cs="Times New Roman"/>
          <w:color w:val="000000" w:themeColor="text1"/>
        </w:rPr>
        <w:t>The percentage of C3</w:t>
      </w:r>
      <w:r w:rsidRPr="009F2D99">
        <w:rPr>
          <w:rFonts w:ascii="Times New Roman" w:eastAsia="Yu Mincho" w:hAnsi="Times New Roman" w:cs="Times New Roman"/>
          <w:color w:val="000000"/>
        </w:rPr>
        <w:t>-</w:t>
      </w:r>
      <w:r w:rsidRPr="009F2D99">
        <w:rPr>
          <w:rFonts w:ascii="Times New Roman" w:hAnsi="Times New Roman" w:cs="Times New Roman"/>
          <w:color w:val="000000" w:themeColor="text1"/>
        </w:rPr>
        <w:t>positive cells (left)</w:t>
      </w:r>
      <w:r>
        <w:rPr>
          <w:rFonts w:ascii="Times New Roman" w:hAnsi="Times New Roman" w:cs="Times New Roman"/>
          <w:color w:val="000000" w:themeColor="text1"/>
        </w:rPr>
        <w:t xml:space="preserve"> and </w:t>
      </w:r>
      <w:r w:rsidRPr="009F2D99">
        <w:rPr>
          <w:rFonts w:ascii="Times New Roman" w:hAnsi="Times New Roman" w:cs="Times New Roman"/>
          <w:color w:val="000000" w:themeColor="text1"/>
        </w:rPr>
        <w:t>ciliated cells (middle) and cilium length (right) shown in Figure S1C. Three independent experiments were performed. *</w:t>
      </w:r>
      <w:r w:rsidRPr="009F2D99">
        <w:rPr>
          <w:rFonts w:ascii="Times New Roman" w:hAnsi="Times New Roman" w:cs="Times New Roman"/>
        </w:rPr>
        <w:t xml:space="preserve">, P &lt;0.05, </w:t>
      </w:r>
      <w:r w:rsidRPr="009F2D99">
        <w:rPr>
          <w:rFonts w:ascii="Times New Roman" w:hAnsi="Times New Roman" w:cs="Times New Roman"/>
          <w:color w:val="000000" w:themeColor="text1"/>
        </w:rPr>
        <w:t>****</w:t>
      </w:r>
      <w:r w:rsidRPr="009F2D99">
        <w:rPr>
          <w:rFonts w:ascii="Times New Roman" w:hAnsi="Times New Roman" w:cs="Times New Roman"/>
        </w:rPr>
        <w:t>, P &lt;0.0001, ns, nonsignificant. (Tukey’s multiple comparison).</w:t>
      </w:r>
    </w:p>
    <w:p w14:paraId="79A01C65" w14:textId="039BCBF0" w:rsidR="003F1652" w:rsidRDefault="003F1652"/>
    <w:p w14:paraId="0AEB603A" w14:textId="02D740BB" w:rsidR="008460E2" w:rsidRDefault="008460E2"/>
    <w:p w14:paraId="16DAE721" w14:textId="30A5483B" w:rsidR="008460E2" w:rsidRDefault="008460E2"/>
    <w:p w14:paraId="4FD0BDEC" w14:textId="1612F34F" w:rsidR="008460E2" w:rsidRDefault="008460E2"/>
    <w:p w14:paraId="72B5F1EA" w14:textId="77777777" w:rsidR="008460E2" w:rsidRDefault="008460E2" w:rsidP="008460E2">
      <w:pPr>
        <w:rPr>
          <w:rFonts w:ascii="Times" w:hAnsi="Times"/>
          <w:color w:val="000000" w:themeColor="text1"/>
        </w:rPr>
      </w:pPr>
      <w:r>
        <w:rPr>
          <w:rFonts w:ascii="Times" w:hAnsi="Times"/>
          <w:noProof/>
          <w:color w:val="000000" w:themeColor="text1"/>
        </w:rPr>
        <w:lastRenderedPageBreak/>
        <w:drawing>
          <wp:inline distT="0" distB="0" distL="0" distR="0" wp14:anchorId="50A6818F" wp14:editId="1EC528C3">
            <wp:extent cx="5452180" cy="5037455"/>
            <wp:effectExtent l="0" t="0" r="0" b="0"/>
            <wp:docPr id="1927991354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894" cy="504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E8E53" w14:textId="77777777" w:rsidR="008460E2" w:rsidRDefault="008460E2" w:rsidP="008460E2">
      <w:pPr>
        <w:rPr>
          <w:rFonts w:ascii="Times" w:hAnsi="Times"/>
          <w:color w:val="000000" w:themeColor="text1"/>
        </w:rPr>
      </w:pPr>
    </w:p>
    <w:p w14:paraId="4E76EAC8" w14:textId="77777777" w:rsidR="008460E2" w:rsidRPr="005B2A74" w:rsidRDefault="008460E2" w:rsidP="008460E2">
      <w:pPr>
        <w:pStyle w:val="Heading2"/>
        <w:rPr>
          <w:rFonts w:ascii="Arial" w:hAnsi="Arial" w:cs="Arial"/>
          <w:b/>
          <w:bCs/>
        </w:rPr>
      </w:pPr>
      <w:r w:rsidRPr="005B2A74">
        <w:rPr>
          <w:rFonts w:ascii="Arial" w:hAnsi="Arial" w:cs="Arial"/>
          <w:b/>
          <w:bCs/>
        </w:rPr>
        <w:t xml:space="preserve">Figure S2. LPS injection </w:t>
      </w:r>
      <w:r w:rsidRPr="005B2A74">
        <w:rPr>
          <w:rFonts w:ascii="Arial" w:eastAsia="Yu Gothic Light" w:hAnsi="Arial" w:cs="Arial"/>
          <w:b/>
          <w:bCs/>
        </w:rPr>
        <w:t>into</w:t>
      </w:r>
      <w:r w:rsidRPr="005B2A74">
        <w:rPr>
          <w:rFonts w:ascii="Arial" w:hAnsi="Arial" w:cs="Arial"/>
          <w:b/>
          <w:bCs/>
        </w:rPr>
        <w:t xml:space="preserve"> mice elongates</w:t>
      </w:r>
      <w:r w:rsidRPr="005B2A74">
        <w:rPr>
          <w:rFonts w:ascii="Arial" w:eastAsia="Yu Gothic Light" w:hAnsi="Arial" w:cs="Arial"/>
          <w:b/>
          <w:bCs/>
        </w:rPr>
        <w:t xml:space="preserve"> the</w:t>
      </w:r>
      <w:r w:rsidRPr="005B2A74">
        <w:rPr>
          <w:rFonts w:ascii="Arial" w:hAnsi="Arial" w:cs="Arial"/>
          <w:b/>
          <w:bCs/>
        </w:rPr>
        <w:t xml:space="preserve"> astrocytic primary cilium </w:t>
      </w:r>
      <w:r>
        <w:rPr>
          <w:rFonts w:ascii="Arial" w:hAnsi="Arial" w:cs="Arial"/>
          <w:b/>
          <w:bCs/>
        </w:rPr>
        <w:t>and induces</w:t>
      </w:r>
      <w:r w:rsidRPr="005B2A74">
        <w:rPr>
          <w:rFonts w:ascii="Arial" w:hAnsi="Arial" w:cs="Arial"/>
          <w:b/>
          <w:bCs/>
        </w:rPr>
        <w:t xml:space="preserve"> cognitive decline.</w:t>
      </w:r>
    </w:p>
    <w:p w14:paraId="4319D253" w14:textId="77777777" w:rsidR="008460E2" w:rsidRPr="005B2A74" w:rsidRDefault="008460E2" w:rsidP="008460E2">
      <w:pPr>
        <w:rPr>
          <w:rFonts w:ascii="Times" w:hAnsi="Times"/>
          <w:color w:val="000000" w:themeColor="text1"/>
        </w:rPr>
      </w:pPr>
      <w:r w:rsidRPr="005B2A74">
        <w:rPr>
          <w:rFonts w:ascii="Times" w:hAnsi="Times" w:hint="eastAsia"/>
          <w:color w:val="000000" w:themeColor="text1"/>
        </w:rPr>
        <w:t>(</w:t>
      </w:r>
      <w:r w:rsidRPr="005B2A74">
        <w:rPr>
          <w:rFonts w:ascii="Times" w:hAnsi="Times"/>
          <w:color w:val="000000" w:themeColor="text1"/>
        </w:rPr>
        <w:t xml:space="preserve">A) Representative images of GFAP (red), C3 (green), and nuclei (blue) in </w:t>
      </w:r>
      <w:r w:rsidRPr="005B2A74">
        <w:rPr>
          <w:rFonts w:ascii="Times" w:eastAsia="Yu Mincho" w:hAnsi="Times" w:cs="Times New Roman"/>
          <w:color w:val="000000"/>
        </w:rPr>
        <w:t xml:space="preserve">the </w:t>
      </w:r>
      <w:r w:rsidRPr="005B2A74">
        <w:rPr>
          <w:rFonts w:ascii="Times" w:hAnsi="Times"/>
          <w:color w:val="000000" w:themeColor="text1"/>
        </w:rPr>
        <w:t>mouse brain. Mice were i.p. injected with 1 mg/kg LPS twice a week for 6 weeks. PBS</w:t>
      </w:r>
      <w:r w:rsidRPr="005B2A74">
        <w:rPr>
          <w:rFonts w:ascii="Times" w:eastAsia="Yu Mincho" w:hAnsi="Times" w:cs="Times New Roman"/>
          <w:color w:val="000000"/>
        </w:rPr>
        <w:t>-</w:t>
      </w:r>
      <w:r w:rsidRPr="005B2A74">
        <w:rPr>
          <w:rFonts w:ascii="Times" w:hAnsi="Times"/>
          <w:color w:val="000000" w:themeColor="text1"/>
        </w:rPr>
        <w:t>treated mice; n=5. LPS</w:t>
      </w:r>
      <w:r w:rsidRPr="005B2A74">
        <w:rPr>
          <w:rFonts w:ascii="Times" w:eastAsia="Yu Mincho" w:hAnsi="Times" w:cs="Times New Roman"/>
          <w:color w:val="000000"/>
        </w:rPr>
        <w:t>-</w:t>
      </w:r>
      <w:r w:rsidRPr="005B2A74">
        <w:rPr>
          <w:rFonts w:ascii="Times" w:hAnsi="Times"/>
          <w:color w:val="000000" w:themeColor="text1"/>
        </w:rPr>
        <w:t>treated mice; n=5. Scale bar: 5 µm. (B) Percentage of GFAP</w:t>
      </w:r>
      <w:r w:rsidRPr="005B2A74">
        <w:rPr>
          <w:rFonts w:ascii="Times" w:eastAsia="Yu Mincho" w:hAnsi="Times" w:cs="Times New Roman"/>
          <w:color w:val="000000"/>
        </w:rPr>
        <w:t>-</w:t>
      </w:r>
      <w:r w:rsidRPr="005B2A74">
        <w:rPr>
          <w:rFonts w:ascii="Times" w:hAnsi="Times"/>
          <w:color w:val="000000" w:themeColor="text1"/>
        </w:rPr>
        <w:t>positive, C3</w:t>
      </w:r>
      <w:r w:rsidRPr="005B2A74">
        <w:rPr>
          <w:rFonts w:ascii="Times" w:eastAsia="Yu Mincho" w:hAnsi="Times" w:cs="Times New Roman"/>
          <w:color w:val="000000"/>
        </w:rPr>
        <w:t>-</w:t>
      </w:r>
      <w:r w:rsidRPr="005B2A74">
        <w:rPr>
          <w:rFonts w:ascii="Times" w:hAnsi="Times"/>
          <w:color w:val="000000" w:themeColor="text1"/>
        </w:rPr>
        <w:t>positive cells shown in Figure S2A. **</w:t>
      </w:r>
      <w:r w:rsidRPr="005B2A74">
        <w:t>, P &lt;0.01 (Mann‒Whitney U test)</w:t>
      </w:r>
      <w:r w:rsidRPr="005B2A74">
        <w:rPr>
          <w:rFonts w:ascii="Yu Mincho" w:eastAsia="Yu Mincho" w:hAnsi="Yu Mincho" w:cs="Times New Roman"/>
        </w:rPr>
        <w:t>.</w:t>
      </w:r>
      <w:r w:rsidRPr="005B2A74">
        <w:rPr>
          <w:rFonts w:ascii="Times" w:hAnsi="Times"/>
          <w:color w:val="000000" w:themeColor="text1"/>
        </w:rPr>
        <w:t xml:space="preserve"> (C) Representative images of Arl13B (red), C3 (green), and nuclei (blue) in </w:t>
      </w:r>
      <w:r w:rsidRPr="005B2A74">
        <w:rPr>
          <w:rFonts w:ascii="Times" w:eastAsia="Yu Mincho" w:hAnsi="Times" w:cs="Times New Roman"/>
          <w:color w:val="000000"/>
        </w:rPr>
        <w:t xml:space="preserve">the </w:t>
      </w:r>
      <w:r w:rsidRPr="005B2A74">
        <w:rPr>
          <w:rFonts w:ascii="Times" w:hAnsi="Times"/>
          <w:color w:val="000000" w:themeColor="text1"/>
        </w:rPr>
        <w:t>mouse brain. PBS</w:t>
      </w:r>
      <w:r w:rsidRPr="005B2A74">
        <w:rPr>
          <w:rFonts w:ascii="Times" w:eastAsia="Yu Mincho" w:hAnsi="Times" w:cs="Times New Roman"/>
          <w:color w:val="000000"/>
        </w:rPr>
        <w:t>-</w:t>
      </w:r>
      <w:r w:rsidRPr="005B2A74">
        <w:rPr>
          <w:rFonts w:ascii="Times" w:hAnsi="Times"/>
          <w:color w:val="000000" w:themeColor="text1"/>
        </w:rPr>
        <w:t>treated mice; n=5. LPS</w:t>
      </w:r>
      <w:r w:rsidRPr="005B2A74">
        <w:rPr>
          <w:rFonts w:ascii="Times" w:eastAsia="Yu Mincho" w:hAnsi="Times" w:cs="Times New Roman"/>
          <w:color w:val="000000"/>
        </w:rPr>
        <w:t>-</w:t>
      </w:r>
      <w:r w:rsidRPr="005B2A74">
        <w:rPr>
          <w:rFonts w:ascii="Times" w:hAnsi="Times"/>
          <w:color w:val="000000" w:themeColor="text1"/>
        </w:rPr>
        <w:t>treated mice; n=5. Scale bar: 5 µm. (D) Percentage of C3</w:t>
      </w:r>
      <w:r w:rsidRPr="005B2A74">
        <w:rPr>
          <w:rFonts w:ascii="Times" w:eastAsia="Yu Mincho" w:hAnsi="Times" w:cs="Times New Roman"/>
          <w:color w:val="000000"/>
        </w:rPr>
        <w:t>-</w:t>
      </w:r>
      <w:r w:rsidRPr="005B2A74">
        <w:rPr>
          <w:rFonts w:ascii="Times" w:hAnsi="Times"/>
          <w:color w:val="000000" w:themeColor="text1"/>
        </w:rPr>
        <w:t>positive cells (left), percentage of ciliated cells (middle), and cilium length (right) shown in Figure S2C. **</w:t>
      </w:r>
      <w:r w:rsidRPr="005B2A74">
        <w:t xml:space="preserve">, P &lt;0.01, </w:t>
      </w:r>
      <w:r w:rsidRPr="005B2A74">
        <w:rPr>
          <w:rFonts w:ascii="Times" w:hAnsi="Times"/>
          <w:color w:val="000000" w:themeColor="text1"/>
        </w:rPr>
        <w:t>*</w:t>
      </w:r>
      <w:r w:rsidRPr="005B2A74">
        <w:rPr>
          <w:rFonts w:ascii="Times" w:hAnsi="Times" w:hint="eastAsia"/>
          <w:color w:val="000000" w:themeColor="text1"/>
        </w:rPr>
        <w:t>*</w:t>
      </w:r>
      <w:r w:rsidRPr="005B2A74">
        <w:rPr>
          <w:rFonts w:ascii="Times" w:hAnsi="Times"/>
          <w:color w:val="000000" w:themeColor="text1"/>
        </w:rPr>
        <w:t>**</w:t>
      </w:r>
      <w:r w:rsidRPr="005B2A74">
        <w:t>, P &lt;0.0</w:t>
      </w:r>
      <w:r w:rsidRPr="005B2A74">
        <w:rPr>
          <w:rFonts w:hint="eastAsia"/>
        </w:rPr>
        <w:t>0</w:t>
      </w:r>
      <w:r w:rsidRPr="005B2A74">
        <w:t xml:space="preserve">01, </w:t>
      </w:r>
      <w:r w:rsidRPr="009F2D99">
        <w:rPr>
          <w:rFonts w:ascii="Times New Roman" w:hAnsi="Times New Roman" w:cs="Times New Roman"/>
        </w:rPr>
        <w:t>ns, nonsignificant. (Mann‒Whitney U test).</w:t>
      </w:r>
    </w:p>
    <w:p w14:paraId="700CD8BD" w14:textId="54EB7073" w:rsidR="008460E2" w:rsidRDefault="008460E2"/>
    <w:p w14:paraId="6745D6C6" w14:textId="7D4D5274" w:rsidR="008460E2" w:rsidRDefault="008460E2"/>
    <w:p w14:paraId="1A6114E5" w14:textId="196B4646" w:rsidR="008460E2" w:rsidRDefault="008460E2"/>
    <w:p w14:paraId="43739DEE" w14:textId="457E9DA2" w:rsidR="008460E2" w:rsidRDefault="008460E2"/>
    <w:p w14:paraId="22B66D40" w14:textId="77777777" w:rsidR="008460E2" w:rsidRDefault="008460E2" w:rsidP="008460E2">
      <w:pPr>
        <w:rPr>
          <w:rFonts w:ascii="Times" w:hAnsi="Times"/>
          <w:color w:val="000000" w:themeColor="text1"/>
        </w:rPr>
      </w:pPr>
      <w:r>
        <w:rPr>
          <w:rFonts w:ascii="Times" w:hAnsi="Times"/>
          <w:noProof/>
          <w:color w:val="000000" w:themeColor="text1"/>
        </w:rPr>
        <w:lastRenderedPageBreak/>
        <w:drawing>
          <wp:anchor distT="0" distB="0" distL="114300" distR="114300" simplePos="0" relativeHeight="251659264" behindDoc="0" locked="0" layoutInCell="1" allowOverlap="1" wp14:anchorId="40DB3163" wp14:editId="340272FD">
            <wp:simplePos x="0" y="0"/>
            <wp:positionH relativeFrom="column">
              <wp:posOffset>-287655</wp:posOffset>
            </wp:positionH>
            <wp:positionV relativeFrom="paragraph">
              <wp:posOffset>15240</wp:posOffset>
            </wp:positionV>
            <wp:extent cx="5864860" cy="4295775"/>
            <wp:effectExtent l="0" t="0" r="0" b="0"/>
            <wp:wrapSquare wrapText="bothSides"/>
            <wp:docPr id="123722778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6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A085E" w14:textId="77777777" w:rsidR="008460E2" w:rsidRPr="005B2A74" w:rsidRDefault="008460E2" w:rsidP="008460E2">
      <w:pPr>
        <w:pStyle w:val="Heading2"/>
        <w:rPr>
          <w:rFonts w:ascii="Arial" w:hAnsi="Arial" w:cs="Arial"/>
          <w:b/>
          <w:bCs/>
        </w:rPr>
      </w:pPr>
      <w:r w:rsidRPr="005B2A74">
        <w:rPr>
          <w:rFonts w:ascii="Arial" w:hAnsi="Arial" w:cs="Arial"/>
          <w:b/>
          <w:bCs/>
        </w:rPr>
        <w:t xml:space="preserve">Figure S3. The transient </w:t>
      </w:r>
      <w:r>
        <w:rPr>
          <w:rFonts w:ascii="Arial" w:hAnsi="Arial" w:cs="Arial"/>
          <w:b/>
          <w:bCs/>
        </w:rPr>
        <w:t>downregulation</w:t>
      </w:r>
      <w:r w:rsidRPr="005B2A74">
        <w:rPr>
          <w:rFonts w:ascii="Arial" w:hAnsi="Arial" w:cs="Arial"/>
          <w:b/>
          <w:bCs/>
        </w:rPr>
        <w:t xml:space="preserve"> of </w:t>
      </w:r>
      <w:r w:rsidRPr="005B2A74">
        <w:rPr>
          <w:rFonts w:ascii="Arial" w:hAnsi="Arial" w:cs="Arial"/>
          <w:b/>
          <w:bCs/>
          <w:i/>
          <w:iCs/>
        </w:rPr>
        <w:t>IFT88</w:t>
      </w:r>
      <w:r w:rsidRPr="005B2A74">
        <w:rPr>
          <w:rFonts w:ascii="Arial" w:hAnsi="Arial" w:cs="Arial"/>
          <w:b/>
          <w:bCs/>
        </w:rPr>
        <w:t xml:space="preserve"> expression in </w:t>
      </w:r>
      <w:r w:rsidRPr="005B2A74">
        <w:rPr>
          <w:rFonts w:ascii="Arial" w:eastAsia="Yu Gothic Light" w:hAnsi="Arial" w:cs="Arial"/>
          <w:b/>
          <w:bCs/>
        </w:rPr>
        <w:t>astrocytes</w:t>
      </w:r>
      <w:r w:rsidRPr="005B2A74">
        <w:rPr>
          <w:rFonts w:ascii="Arial" w:hAnsi="Arial" w:cs="Arial"/>
          <w:b/>
          <w:bCs/>
        </w:rPr>
        <w:t xml:space="preserve"> reduces the expression levels of C3.</w:t>
      </w:r>
    </w:p>
    <w:p w14:paraId="096FC901" w14:textId="77777777" w:rsidR="008460E2" w:rsidRPr="009F2D99" w:rsidRDefault="008460E2" w:rsidP="008460E2">
      <w:pPr>
        <w:rPr>
          <w:rFonts w:ascii="Times New Roman" w:hAnsi="Times New Roman" w:cs="Times New Roman"/>
        </w:rPr>
      </w:pPr>
      <w:r w:rsidRPr="005B2A74">
        <w:rPr>
          <w:rFonts w:ascii="Times" w:hAnsi="Times" w:hint="eastAsia"/>
          <w:color w:val="000000" w:themeColor="text1"/>
        </w:rPr>
        <w:t>(</w:t>
      </w:r>
      <w:r w:rsidRPr="005B2A74">
        <w:rPr>
          <w:rFonts w:ascii="Times" w:hAnsi="Times"/>
          <w:color w:val="000000" w:themeColor="text1"/>
        </w:rPr>
        <w:t xml:space="preserve">A) </w:t>
      </w:r>
      <w:r w:rsidRPr="005B2A74">
        <w:rPr>
          <w:rFonts w:ascii="Times" w:hAnsi="Times" w:hint="eastAsia"/>
          <w:color w:val="000000" w:themeColor="text1"/>
        </w:rPr>
        <w:t>R</w:t>
      </w:r>
      <w:r w:rsidRPr="005B2A74">
        <w:rPr>
          <w:rFonts w:ascii="Times" w:hAnsi="Times"/>
          <w:color w:val="000000" w:themeColor="text1"/>
        </w:rPr>
        <w:t xml:space="preserve">epresentative image of Arl13B (red) and C3 (green) in primary enriched astrocytes transfected with siRNA targeting </w:t>
      </w:r>
      <w:r w:rsidRPr="005B2A74">
        <w:rPr>
          <w:rFonts w:ascii="Times" w:hAnsi="Times"/>
          <w:i/>
          <w:iCs/>
          <w:color w:val="000000" w:themeColor="text1"/>
        </w:rPr>
        <w:t>IFT88</w:t>
      </w:r>
      <w:r w:rsidRPr="005B2A74">
        <w:rPr>
          <w:rFonts w:ascii="Times" w:hAnsi="Times"/>
          <w:color w:val="000000" w:themeColor="text1"/>
        </w:rPr>
        <w:t xml:space="preserve"> (si</w:t>
      </w:r>
      <w:r w:rsidRPr="005B2A74">
        <w:rPr>
          <w:rFonts w:ascii="Times" w:hAnsi="Times"/>
          <w:i/>
          <w:iCs/>
          <w:color w:val="000000" w:themeColor="text1"/>
        </w:rPr>
        <w:t>IFT88</w:t>
      </w:r>
      <w:r w:rsidRPr="005B2A74">
        <w:rPr>
          <w:rFonts w:ascii="Times" w:hAnsi="Times"/>
          <w:color w:val="000000" w:themeColor="text1"/>
        </w:rPr>
        <w:t xml:space="preserve">). </w:t>
      </w:r>
      <w:r w:rsidRPr="005B2A74">
        <w:rPr>
          <w:rFonts w:ascii="Times" w:eastAsia="Yu Mincho" w:hAnsi="Times" w:cs="Times New Roman"/>
          <w:color w:val="000000"/>
        </w:rPr>
        <w:t xml:space="preserve">Nontarget </w:t>
      </w:r>
      <w:r w:rsidRPr="005B2A74">
        <w:rPr>
          <w:rFonts w:ascii="Times" w:hAnsi="Times"/>
          <w:color w:val="000000" w:themeColor="text1"/>
        </w:rPr>
        <w:t xml:space="preserve">siRNA was used as </w:t>
      </w:r>
      <w:r w:rsidRPr="005B2A74">
        <w:rPr>
          <w:rFonts w:ascii="Times" w:eastAsia="Yu Mincho" w:hAnsi="Times" w:cs="Times New Roman"/>
          <w:color w:val="000000"/>
        </w:rPr>
        <w:t xml:space="preserve">a </w:t>
      </w:r>
      <w:r w:rsidRPr="005B2A74">
        <w:rPr>
          <w:rFonts w:ascii="Times" w:hAnsi="Times"/>
          <w:color w:val="000000" w:themeColor="text1"/>
        </w:rPr>
        <w:t>control (siCtrl). Two days after transfection, cells were stimulated with 3 ng/mL</w:t>
      </w:r>
      <w:r w:rsidRPr="005B2A74">
        <w:t xml:space="preserve"> IL-1</w:t>
      </w:r>
      <w:r w:rsidRPr="005B2A74">
        <w:rPr>
          <w:rFonts w:ascii="Symbol" w:hAnsi="Symbol"/>
        </w:rPr>
        <w:sym w:font="Symbol" w:char="F061"/>
      </w:r>
      <w:r w:rsidRPr="005B2A74">
        <w:t xml:space="preserve">, </w:t>
      </w:r>
      <w:r w:rsidRPr="005B2A74">
        <w:rPr>
          <w:rFonts w:ascii="Times" w:hAnsi="Times"/>
          <w:color w:val="000000" w:themeColor="text1"/>
        </w:rPr>
        <w:t>30 ng/ml</w:t>
      </w:r>
      <w:r w:rsidRPr="005B2A74">
        <w:t xml:space="preserve"> TNF</w:t>
      </w:r>
      <w:r w:rsidRPr="005B2A74">
        <w:rPr>
          <w:rFonts w:ascii="Symbol" w:hAnsi="Symbol"/>
        </w:rPr>
        <w:sym w:font="Symbol" w:char="F061"/>
      </w:r>
      <w:r w:rsidRPr="005B2A74">
        <w:t xml:space="preserve">, </w:t>
      </w:r>
      <w:r w:rsidRPr="005B2A74">
        <w:rPr>
          <w:rFonts w:ascii="Yu Mincho" w:eastAsia="Yu Mincho" w:hAnsi="Yu Mincho" w:cs="Times New Roman"/>
        </w:rPr>
        <w:t xml:space="preserve">and </w:t>
      </w:r>
      <w:r w:rsidRPr="005B2A74">
        <w:rPr>
          <w:rFonts w:ascii="Times" w:hAnsi="Times"/>
          <w:color w:val="000000" w:themeColor="text1"/>
        </w:rPr>
        <w:t>400 ng</w:t>
      </w:r>
      <w:r w:rsidRPr="009F2D99">
        <w:rPr>
          <w:rFonts w:ascii="Times New Roman" w:hAnsi="Times New Roman" w:cs="Times New Roman"/>
          <w:color w:val="000000" w:themeColor="text1"/>
        </w:rPr>
        <w:t>/ml</w:t>
      </w:r>
      <w:r w:rsidRPr="009F2D99">
        <w:rPr>
          <w:rFonts w:ascii="Times New Roman" w:hAnsi="Times New Roman" w:cs="Times New Roman"/>
        </w:rPr>
        <w:t xml:space="preserve"> C1q</w:t>
      </w:r>
      <w:r w:rsidRPr="005B2A74">
        <w:rPr>
          <w:rFonts w:ascii="Times" w:hAnsi="Times"/>
          <w:color w:val="000000" w:themeColor="text1"/>
        </w:rPr>
        <w:t xml:space="preserve"> (Cyt) for 24 h. PBS was used as</w:t>
      </w:r>
      <w:r w:rsidRPr="005B2A74">
        <w:rPr>
          <w:rFonts w:ascii="Times" w:eastAsia="Yu Mincho" w:hAnsi="Times" w:cs="Times New Roman"/>
          <w:color w:val="000000"/>
        </w:rPr>
        <w:t xml:space="preserve"> a</w:t>
      </w:r>
      <w:r w:rsidRPr="005B2A74">
        <w:rPr>
          <w:rFonts w:ascii="Times" w:hAnsi="Times"/>
          <w:color w:val="000000" w:themeColor="text1"/>
        </w:rPr>
        <w:t xml:space="preserve"> negative control. Scale bar; 2 µm. n=6 independent experiments. (B) Representative image of IFT88 expression detected by western blotting. n=6 independent experiments. (C) Percentage of Arl13</w:t>
      </w:r>
      <w:r w:rsidRPr="005B2A74">
        <w:rPr>
          <w:rFonts w:ascii="Times" w:eastAsia="Yu Mincho" w:hAnsi="Times" w:cs="Times New Roman"/>
          <w:color w:val="000000"/>
        </w:rPr>
        <w:t>-</w:t>
      </w:r>
      <w:r w:rsidRPr="005B2A74">
        <w:rPr>
          <w:rFonts w:ascii="Times" w:hAnsi="Times"/>
          <w:color w:val="000000" w:themeColor="text1"/>
        </w:rPr>
        <w:t>positive primary ciliated cells shown in Figure S3A. *</w:t>
      </w:r>
      <w:r w:rsidRPr="005B2A74">
        <w:t xml:space="preserve">, P &lt;0.05, </w:t>
      </w:r>
      <w:r w:rsidRPr="005B2A74">
        <w:rPr>
          <w:rFonts w:ascii="Times" w:hAnsi="Times"/>
          <w:color w:val="000000" w:themeColor="text1"/>
        </w:rPr>
        <w:t>**</w:t>
      </w:r>
      <w:r w:rsidRPr="005B2A74">
        <w:t xml:space="preserve">, P &lt;0.01, </w:t>
      </w:r>
      <w:r w:rsidRPr="009F2D99">
        <w:rPr>
          <w:rFonts w:ascii="Times New Roman" w:hAnsi="Times New Roman" w:cs="Times New Roman"/>
        </w:rPr>
        <w:t>ns, nonsignificant. (Tukey’s multiple comparison).</w:t>
      </w:r>
      <w:r w:rsidRPr="009F2D99">
        <w:rPr>
          <w:rFonts w:ascii="Times New Roman" w:hAnsi="Times New Roman" w:cs="Times New Roman"/>
          <w:color w:val="000000" w:themeColor="text1"/>
        </w:rPr>
        <w:t xml:space="preserve"> (D) Percentage of C3</w:t>
      </w:r>
      <w:r w:rsidRPr="009F2D99">
        <w:rPr>
          <w:rFonts w:ascii="Times New Roman" w:eastAsia="Yu Mincho" w:hAnsi="Times New Roman" w:cs="Times New Roman"/>
          <w:color w:val="000000"/>
        </w:rPr>
        <w:t>-</w:t>
      </w:r>
      <w:r w:rsidRPr="009F2D99">
        <w:rPr>
          <w:rFonts w:ascii="Times New Roman" w:hAnsi="Times New Roman" w:cs="Times New Roman"/>
          <w:color w:val="000000" w:themeColor="text1"/>
        </w:rPr>
        <w:t>positive cells shown in Figure S3A. *</w:t>
      </w:r>
      <w:r w:rsidRPr="009F2D99">
        <w:rPr>
          <w:rFonts w:ascii="Times New Roman" w:hAnsi="Times New Roman" w:cs="Times New Roman"/>
        </w:rPr>
        <w:t xml:space="preserve">, P &lt;0.05, </w:t>
      </w:r>
      <w:r w:rsidRPr="009F2D99">
        <w:rPr>
          <w:rFonts w:ascii="Times New Roman" w:hAnsi="Times New Roman" w:cs="Times New Roman"/>
          <w:color w:val="000000" w:themeColor="text1"/>
        </w:rPr>
        <w:t>**</w:t>
      </w:r>
      <w:r w:rsidRPr="009F2D99">
        <w:rPr>
          <w:rFonts w:ascii="Times New Roman" w:hAnsi="Times New Roman" w:cs="Times New Roman"/>
        </w:rPr>
        <w:t>, P &lt;0.01,</w:t>
      </w:r>
      <w:r w:rsidRPr="009F2D99">
        <w:rPr>
          <w:rFonts w:ascii="Times New Roman" w:hAnsi="Times New Roman" w:cs="Times New Roman"/>
          <w:color w:val="000000" w:themeColor="text1"/>
        </w:rPr>
        <w:t xml:space="preserve"> ***</w:t>
      </w:r>
      <w:r w:rsidRPr="009F2D99">
        <w:rPr>
          <w:rFonts w:ascii="Times New Roman" w:hAnsi="Times New Roman" w:cs="Times New Roman"/>
        </w:rPr>
        <w:t>, P &lt;0.001, ns, nonsignificant. (Tukey’s multiple comparison).</w:t>
      </w:r>
    </w:p>
    <w:p w14:paraId="207EF073" w14:textId="77777777" w:rsidR="008460E2" w:rsidRDefault="008460E2" w:rsidP="008460E2">
      <w:pPr>
        <w:rPr>
          <w:rFonts w:ascii="Times" w:hAnsi="Times"/>
          <w:color w:val="000000" w:themeColor="text1"/>
        </w:rPr>
      </w:pPr>
    </w:p>
    <w:p w14:paraId="25723874" w14:textId="7E2002CE" w:rsidR="008460E2" w:rsidRDefault="008460E2"/>
    <w:p w14:paraId="212A439C" w14:textId="77777777" w:rsidR="008460E2" w:rsidRDefault="008460E2" w:rsidP="008460E2">
      <w:pPr>
        <w:rPr>
          <w:rFonts w:ascii="Times" w:hAnsi="Times"/>
          <w:color w:val="000000" w:themeColor="text1"/>
        </w:rPr>
      </w:pPr>
      <w:r>
        <w:rPr>
          <w:rFonts w:ascii="Times" w:hAnsi="Times"/>
          <w:noProof/>
          <w:color w:val="000000" w:themeColor="text1"/>
        </w:rPr>
        <w:lastRenderedPageBreak/>
        <w:drawing>
          <wp:anchor distT="0" distB="0" distL="114300" distR="114300" simplePos="0" relativeHeight="251661312" behindDoc="0" locked="0" layoutInCell="1" allowOverlap="1" wp14:anchorId="181F241D" wp14:editId="7DB938F5">
            <wp:simplePos x="0" y="0"/>
            <wp:positionH relativeFrom="column">
              <wp:posOffset>-395605</wp:posOffset>
            </wp:positionH>
            <wp:positionV relativeFrom="paragraph">
              <wp:posOffset>158750</wp:posOffset>
            </wp:positionV>
            <wp:extent cx="6082665" cy="8029575"/>
            <wp:effectExtent l="0" t="0" r="0" b="9525"/>
            <wp:wrapSquare wrapText="bothSides"/>
            <wp:docPr id="510491162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707C4E" w14:textId="77777777" w:rsidR="008460E2" w:rsidRDefault="008460E2" w:rsidP="008460E2"/>
    <w:p w14:paraId="0F5DA4DD" w14:textId="77777777" w:rsidR="008460E2" w:rsidRPr="005B2A74" w:rsidRDefault="008460E2" w:rsidP="008460E2"/>
    <w:p w14:paraId="168A74C0" w14:textId="77777777" w:rsidR="008460E2" w:rsidRPr="005B2A74" w:rsidRDefault="008460E2" w:rsidP="008460E2">
      <w:pPr>
        <w:pStyle w:val="Heading2"/>
        <w:rPr>
          <w:rFonts w:ascii="Arial" w:hAnsi="Arial" w:cs="Arial"/>
          <w:b/>
          <w:bCs/>
        </w:rPr>
      </w:pPr>
      <w:r w:rsidRPr="005B2A74">
        <w:rPr>
          <w:rFonts w:ascii="Arial" w:hAnsi="Arial" w:cs="Arial"/>
          <w:b/>
          <w:bCs/>
        </w:rPr>
        <w:t xml:space="preserve">Figure S4. Astrocyte-specific </w:t>
      </w:r>
      <w:r w:rsidRPr="005B2A74">
        <w:rPr>
          <w:rFonts w:ascii="Arial" w:hAnsi="Arial" w:cs="Arial"/>
          <w:b/>
          <w:bCs/>
          <w:i/>
          <w:iCs/>
        </w:rPr>
        <w:t>IFT88</w:t>
      </w:r>
      <w:r w:rsidRPr="005B2A74">
        <w:rPr>
          <w:rFonts w:ascii="Arial" w:hAnsi="Arial" w:cs="Arial"/>
          <w:b/>
          <w:bCs/>
        </w:rPr>
        <w:t xml:space="preserve"> gene knockout </w:t>
      </w:r>
      <w:r>
        <w:rPr>
          <w:rFonts w:ascii="Arial" w:hAnsi="Arial" w:cs="Arial"/>
          <w:b/>
          <w:bCs/>
        </w:rPr>
        <w:t>downregulates</w:t>
      </w:r>
      <w:r w:rsidRPr="005B2A74">
        <w:rPr>
          <w:rFonts w:ascii="Arial" w:hAnsi="Arial" w:cs="Arial"/>
          <w:b/>
          <w:bCs/>
        </w:rPr>
        <w:t xml:space="preserve"> C3 expression induced by LPS stimulation.</w:t>
      </w:r>
    </w:p>
    <w:p w14:paraId="58ADA1A5" w14:textId="77777777" w:rsidR="008460E2" w:rsidRPr="009F2D99" w:rsidRDefault="008460E2" w:rsidP="008460E2">
      <w:pPr>
        <w:rPr>
          <w:rFonts w:ascii="Times New Roman" w:hAnsi="Times New Roman" w:cs="Times New Roman"/>
          <w:color w:val="000000" w:themeColor="text1"/>
        </w:rPr>
      </w:pPr>
      <w:r w:rsidRPr="005B2A74">
        <w:rPr>
          <w:rFonts w:ascii="Times" w:hAnsi="Times"/>
          <w:color w:val="000000" w:themeColor="text1"/>
        </w:rPr>
        <w:t xml:space="preserve">(A) </w:t>
      </w:r>
      <w:r w:rsidRPr="005B2A74">
        <w:rPr>
          <w:rFonts w:ascii="Times" w:hAnsi="Times" w:hint="eastAsia"/>
          <w:color w:val="000000" w:themeColor="text1"/>
        </w:rPr>
        <w:t>Representative image of Cre</w:t>
      </w:r>
      <w:r w:rsidRPr="005B2A74">
        <w:rPr>
          <w:rFonts w:ascii="Times" w:eastAsia="Yu Mincho" w:hAnsi="Times" w:cs="Times New Roman"/>
          <w:color w:val="000000"/>
        </w:rPr>
        <w:t xml:space="preserve"> </w:t>
      </w:r>
      <w:r w:rsidRPr="005B2A74">
        <w:rPr>
          <w:rFonts w:ascii="Times" w:hAnsi="Times"/>
          <w:color w:val="000000" w:themeColor="text1"/>
        </w:rPr>
        <w:t>recombinase</w:t>
      </w:r>
      <w:r w:rsidRPr="005B2A74">
        <w:rPr>
          <w:rFonts w:ascii="Times" w:hAnsi="Times" w:hint="eastAsia"/>
          <w:color w:val="000000" w:themeColor="text1"/>
        </w:rPr>
        <w:t xml:space="preserve"> expression</w:t>
      </w:r>
      <w:r w:rsidRPr="005B2A74">
        <w:rPr>
          <w:rFonts w:ascii="Times" w:hAnsi="Times"/>
          <w:color w:val="000000" w:themeColor="text1"/>
        </w:rPr>
        <w:t xml:space="preserve"> in </w:t>
      </w:r>
      <w:r w:rsidRPr="005B2A74">
        <w:rPr>
          <w:rFonts w:ascii="Times" w:eastAsia="Yu Mincho" w:hAnsi="Times" w:cs="Times New Roman"/>
          <w:color w:val="000000"/>
        </w:rPr>
        <w:t xml:space="preserve">the </w:t>
      </w:r>
      <w:r w:rsidRPr="005B2A74">
        <w:rPr>
          <w:rFonts w:ascii="Times" w:hAnsi="Times"/>
          <w:color w:val="000000" w:themeColor="text1"/>
        </w:rPr>
        <w:t xml:space="preserve">mouse brain. Mouse brains were immunostained with GFAP (red), Cre (green), and Hoechst 33342 (blue). WT; C57BL/6J mice, n=3. GLAST-CrePR; </w:t>
      </w:r>
      <w:r w:rsidRPr="005B2A74">
        <w:rPr>
          <w:rFonts w:ascii="Times" w:hAnsi="Times"/>
          <w:i/>
          <w:iCs/>
          <w:color w:val="000000" w:themeColor="text1"/>
        </w:rPr>
        <w:t>GLAST-CrePR</w:t>
      </w:r>
      <w:r w:rsidRPr="005B2A74">
        <w:rPr>
          <w:rFonts w:ascii="Times" w:hAnsi="Times"/>
          <w:color w:val="000000" w:themeColor="text1"/>
          <w:vertAlign w:val="superscript"/>
        </w:rPr>
        <w:t>+/-</w:t>
      </w:r>
      <w:r w:rsidRPr="005B2A74">
        <w:rPr>
          <w:rFonts w:ascii="Times" w:hAnsi="Times"/>
          <w:color w:val="000000" w:themeColor="text1"/>
        </w:rPr>
        <w:t xml:space="preserve"> mice, n=3. Scale bar: 10 µm. (B) Representative image of Arl13B (green), GFAP (red), and </w:t>
      </w:r>
      <w:r w:rsidRPr="005B2A74">
        <w:rPr>
          <w:rFonts w:ascii="Times" w:eastAsia="Yu Mincho" w:hAnsi="Times" w:cs="Times New Roman"/>
          <w:color w:val="000000"/>
        </w:rPr>
        <w:t>Hoechst</w:t>
      </w:r>
      <w:r w:rsidRPr="005B2A74">
        <w:rPr>
          <w:rFonts w:ascii="Times" w:hAnsi="Times"/>
          <w:color w:val="000000" w:themeColor="text1"/>
        </w:rPr>
        <w:t xml:space="preserve"> 33342 (blue) in primary astrocytes. Glial mixture cultures were prepared from C57BL/6J (WT B6J) or </w:t>
      </w:r>
      <w:r w:rsidRPr="005B2A74">
        <w:rPr>
          <w:rFonts w:ascii="Times" w:hAnsi="Times"/>
          <w:i/>
          <w:iCs/>
          <w:color w:val="000000" w:themeColor="text1"/>
        </w:rPr>
        <w:t>IFT88</w:t>
      </w:r>
      <w:r w:rsidRPr="005B2A74">
        <w:rPr>
          <w:rFonts w:ascii="Times" w:hAnsi="Times"/>
          <w:color w:val="000000" w:themeColor="text1"/>
          <w:vertAlign w:val="superscript"/>
        </w:rPr>
        <w:t>flox/flox</w:t>
      </w:r>
      <w:r w:rsidRPr="005B2A74">
        <w:rPr>
          <w:rFonts w:ascii="Times" w:hAnsi="Times"/>
          <w:color w:val="000000" w:themeColor="text1"/>
        </w:rPr>
        <w:t xml:space="preserve">; </w:t>
      </w:r>
      <w:r w:rsidRPr="005B2A74">
        <w:rPr>
          <w:rFonts w:ascii="Times" w:hAnsi="Times"/>
          <w:i/>
          <w:iCs/>
          <w:color w:val="000000" w:themeColor="text1"/>
        </w:rPr>
        <w:t>GLAST-CrePR</w:t>
      </w:r>
      <w:r w:rsidRPr="005B2A74">
        <w:rPr>
          <w:rFonts w:ascii="Times" w:hAnsi="Times"/>
          <w:color w:val="000000" w:themeColor="text1"/>
          <w:vertAlign w:val="superscript"/>
        </w:rPr>
        <w:t>+/-</w:t>
      </w:r>
      <w:r w:rsidRPr="005B2A74">
        <w:rPr>
          <w:rFonts w:ascii="Times" w:hAnsi="Times"/>
          <w:color w:val="000000" w:themeColor="text1"/>
        </w:rPr>
        <w:t xml:space="preserve"> P7 pups. </w:t>
      </w:r>
      <w:r w:rsidRPr="005B2A74">
        <w:rPr>
          <w:rFonts w:ascii="Times" w:eastAsia="Yu Mincho" w:hAnsi="Times" w:cs="Times New Roman"/>
          <w:color w:val="000000"/>
        </w:rPr>
        <w:t>The arrow</w:t>
      </w:r>
      <w:r w:rsidRPr="005B2A74">
        <w:rPr>
          <w:rFonts w:ascii="Times" w:hAnsi="Times"/>
          <w:color w:val="000000" w:themeColor="text1"/>
        </w:rPr>
        <w:t xml:space="preserve"> indicates </w:t>
      </w:r>
      <w:r w:rsidRPr="005B2A74">
        <w:rPr>
          <w:rFonts w:ascii="Times" w:eastAsia="Yu Mincho" w:hAnsi="Times" w:cs="Times New Roman"/>
          <w:color w:val="000000"/>
        </w:rPr>
        <w:t xml:space="preserve">the </w:t>
      </w:r>
      <w:r w:rsidRPr="005B2A74">
        <w:rPr>
          <w:rFonts w:ascii="Times" w:hAnsi="Times"/>
          <w:color w:val="000000" w:themeColor="text1"/>
        </w:rPr>
        <w:t xml:space="preserve">primary cilium. Scale bar; 20 µm. (C) </w:t>
      </w:r>
      <w:r w:rsidRPr="005B2A74">
        <w:rPr>
          <w:rFonts w:ascii="Times" w:eastAsia="Yu Mincho" w:hAnsi="Times" w:cs="Times New Roman"/>
          <w:color w:val="000000"/>
        </w:rPr>
        <w:t>The percentage</w:t>
      </w:r>
      <w:r w:rsidRPr="005B2A74">
        <w:rPr>
          <w:rFonts w:ascii="Times" w:hAnsi="Times"/>
          <w:color w:val="000000" w:themeColor="text1"/>
        </w:rPr>
        <w:t xml:space="preserve"> of ciliated GFAP</w:t>
      </w:r>
      <w:r w:rsidRPr="005B2A74">
        <w:rPr>
          <w:rFonts w:ascii="Times" w:eastAsia="Yu Mincho" w:hAnsi="Times" w:cs="Times New Roman"/>
          <w:color w:val="000000"/>
        </w:rPr>
        <w:t>-</w:t>
      </w:r>
      <w:r w:rsidRPr="005B2A74">
        <w:rPr>
          <w:rFonts w:ascii="Times" w:hAnsi="Times"/>
          <w:color w:val="000000" w:themeColor="text1"/>
        </w:rPr>
        <w:t>positive astrocytes shown Figure S4B shows in</w:t>
      </w:r>
      <w:r w:rsidRPr="005B2A74">
        <w:rPr>
          <w:rFonts w:ascii="Times" w:eastAsia="Yu Mincho" w:hAnsi="Times" w:cs="Times New Roman"/>
          <w:color w:val="000000"/>
        </w:rPr>
        <w:t xml:space="preserve"> the</w:t>
      </w:r>
      <w:r w:rsidRPr="005B2A74">
        <w:rPr>
          <w:rFonts w:ascii="Times" w:hAnsi="Times"/>
          <w:color w:val="000000" w:themeColor="text1"/>
        </w:rPr>
        <w:t xml:space="preserve"> graph. </w:t>
      </w:r>
      <w:r w:rsidRPr="005B2A74">
        <w:t>ns</w:t>
      </w:r>
      <w:r w:rsidRPr="009F2D99">
        <w:rPr>
          <w:rFonts w:ascii="Times New Roman" w:hAnsi="Times New Roman" w:cs="Times New Roman"/>
        </w:rPr>
        <w:t>, nonsignificant. (Mann‒Whitney U test). n=4 independent experiments.</w:t>
      </w:r>
      <w:r w:rsidRPr="009F2D99">
        <w:rPr>
          <w:rFonts w:ascii="Times New Roman" w:hAnsi="Times New Roman" w:cs="Times New Roman"/>
          <w:color w:val="000000" w:themeColor="text1"/>
        </w:rPr>
        <w:t xml:space="preserve"> (D) </w:t>
      </w:r>
      <w:r w:rsidRPr="009F2D99">
        <w:rPr>
          <w:rFonts w:ascii="Times New Roman" w:eastAsia="Yu Mincho" w:hAnsi="Times New Roman" w:cs="Times New Roman"/>
          <w:color w:val="000000"/>
        </w:rPr>
        <w:t>Results</w:t>
      </w:r>
      <w:r w:rsidRPr="009F2D99">
        <w:rPr>
          <w:rFonts w:ascii="Times New Roman" w:hAnsi="Times New Roman" w:cs="Times New Roman"/>
          <w:color w:val="000000" w:themeColor="text1"/>
        </w:rPr>
        <w:t xml:space="preserve"> of behaviour</w:t>
      </w:r>
      <w:r>
        <w:rPr>
          <w:rFonts w:ascii="Times New Roman" w:hAnsi="Times New Roman" w:cs="Times New Roman"/>
          <w:color w:val="000000" w:themeColor="text1"/>
        </w:rPr>
        <w:t>al</w:t>
      </w:r>
      <w:r w:rsidRPr="009F2D99">
        <w:rPr>
          <w:rFonts w:ascii="Times New Roman" w:hAnsi="Times New Roman" w:cs="Times New Roman"/>
          <w:color w:val="000000" w:themeColor="text1"/>
        </w:rPr>
        <w:t xml:space="preserve"> (object recognition) studies in 3-month-old C57BL/6J (WT, n=6) and </w:t>
      </w:r>
      <w:r w:rsidRPr="009F2D99">
        <w:rPr>
          <w:rFonts w:ascii="Times New Roman" w:hAnsi="Times New Roman" w:cs="Times New Roman"/>
          <w:i/>
          <w:iCs/>
          <w:color w:val="000000" w:themeColor="text1"/>
        </w:rPr>
        <w:t>IFT88</w:t>
      </w:r>
      <w:r w:rsidRPr="009F2D99">
        <w:rPr>
          <w:rFonts w:ascii="Times New Roman" w:hAnsi="Times New Roman" w:cs="Times New Roman"/>
          <w:color w:val="000000" w:themeColor="text1"/>
          <w:vertAlign w:val="superscript"/>
        </w:rPr>
        <w:t>flox/flox</w:t>
      </w:r>
      <w:r w:rsidRPr="009F2D99">
        <w:rPr>
          <w:rFonts w:ascii="Times New Roman" w:hAnsi="Times New Roman" w:cs="Times New Roman"/>
          <w:color w:val="000000" w:themeColor="text1"/>
        </w:rPr>
        <w:t xml:space="preserve">; </w:t>
      </w:r>
      <w:r w:rsidRPr="009F2D99">
        <w:rPr>
          <w:rFonts w:ascii="Times New Roman" w:hAnsi="Times New Roman" w:cs="Times New Roman"/>
          <w:i/>
          <w:iCs/>
          <w:color w:val="000000" w:themeColor="text1"/>
        </w:rPr>
        <w:t>GLAST-CrePR</w:t>
      </w:r>
      <w:r w:rsidRPr="009F2D99">
        <w:rPr>
          <w:rFonts w:ascii="Times New Roman" w:hAnsi="Times New Roman" w:cs="Times New Roman"/>
          <w:color w:val="000000" w:themeColor="text1"/>
          <w:vertAlign w:val="superscript"/>
        </w:rPr>
        <w:t>+/-</w:t>
      </w:r>
      <w:r w:rsidRPr="009F2D99">
        <w:rPr>
          <w:rFonts w:ascii="Times New Roman" w:hAnsi="Times New Roman" w:cs="Times New Roman"/>
          <w:color w:val="000000" w:themeColor="text1"/>
        </w:rPr>
        <w:t xml:space="preserve"> mice (n=6). </w:t>
      </w:r>
      <w:r w:rsidRPr="009F2D99">
        <w:rPr>
          <w:rFonts w:ascii="Times New Roman" w:hAnsi="Times New Roman" w:cs="Times New Roman"/>
        </w:rPr>
        <w:t xml:space="preserve">ns, nonsignificant. (Mann‒Whitney U test). (E) Representative image of IFT88 (green), GFAP (red) and </w:t>
      </w:r>
      <w:r w:rsidRPr="009F2D99">
        <w:rPr>
          <w:rFonts w:ascii="Times New Roman" w:eastAsia="Yu Mincho" w:hAnsi="Times New Roman" w:cs="Times New Roman"/>
        </w:rPr>
        <w:t>Hoechst</w:t>
      </w:r>
      <w:r w:rsidRPr="009F2D99">
        <w:rPr>
          <w:rFonts w:ascii="Times New Roman" w:hAnsi="Times New Roman" w:cs="Times New Roman"/>
        </w:rPr>
        <w:t xml:space="preserve"> 33342 (blue) in glial mixture culture. </w:t>
      </w:r>
      <w:r w:rsidRPr="009F2D99">
        <w:rPr>
          <w:rFonts w:ascii="Times New Roman" w:hAnsi="Times New Roman" w:cs="Times New Roman"/>
          <w:color w:val="000000" w:themeColor="text1"/>
        </w:rPr>
        <w:t xml:space="preserve">Glial mixture cultures were prepared from P7 pups and stimulated with 10 nM RU486 for 48 h. After stimulation </w:t>
      </w:r>
      <w:r w:rsidRPr="009F2D99">
        <w:rPr>
          <w:rFonts w:ascii="Times New Roman" w:eastAsia="Yu Mincho" w:hAnsi="Times New Roman" w:cs="Times New Roman"/>
          <w:color w:val="000000"/>
        </w:rPr>
        <w:t>with</w:t>
      </w:r>
      <w:r w:rsidRPr="009F2D99">
        <w:rPr>
          <w:rFonts w:ascii="Times New Roman" w:hAnsi="Times New Roman" w:cs="Times New Roman"/>
          <w:color w:val="000000" w:themeColor="text1"/>
        </w:rPr>
        <w:t xml:space="preserve"> RU486, cells were stimulated with 100 ng/ml LPS for 24 h. </w:t>
      </w:r>
      <w:r w:rsidRPr="009F2D99">
        <w:rPr>
          <w:rFonts w:ascii="Times New Roman" w:eastAsia="Yu Mincho" w:hAnsi="Times New Roman" w:cs="Times New Roman"/>
          <w:color w:val="000000"/>
        </w:rPr>
        <w:t>The arrow</w:t>
      </w:r>
      <w:r w:rsidRPr="009F2D99">
        <w:rPr>
          <w:rFonts w:ascii="Times New Roman" w:hAnsi="Times New Roman" w:cs="Times New Roman"/>
          <w:color w:val="000000" w:themeColor="text1"/>
        </w:rPr>
        <w:t xml:space="preserve"> indicates </w:t>
      </w:r>
      <w:r w:rsidRPr="009F2D99">
        <w:rPr>
          <w:rFonts w:ascii="Times New Roman" w:eastAsia="Yu Mincho" w:hAnsi="Times New Roman" w:cs="Times New Roman"/>
          <w:color w:val="000000"/>
        </w:rPr>
        <w:t xml:space="preserve">the </w:t>
      </w:r>
      <w:r w:rsidRPr="009F2D99">
        <w:rPr>
          <w:rFonts w:ascii="Times New Roman" w:hAnsi="Times New Roman" w:cs="Times New Roman"/>
          <w:color w:val="000000" w:themeColor="text1"/>
        </w:rPr>
        <w:t xml:space="preserve">primary cilium. Scale bar; 20 µm. </w:t>
      </w:r>
      <w:r w:rsidRPr="009F2D99">
        <w:rPr>
          <w:rFonts w:ascii="Times New Roman" w:hAnsi="Times New Roman" w:cs="Times New Roman"/>
          <w:i/>
          <w:iCs/>
          <w:color w:val="000000" w:themeColor="text1"/>
        </w:rPr>
        <w:t>IFT88</w:t>
      </w:r>
      <w:r w:rsidRPr="009F2D99">
        <w:rPr>
          <w:rFonts w:ascii="Times New Roman" w:hAnsi="Times New Roman" w:cs="Times New Roman"/>
          <w:color w:val="000000" w:themeColor="text1"/>
          <w:vertAlign w:val="superscript"/>
        </w:rPr>
        <w:t>flox/flox</w:t>
      </w:r>
      <w:r w:rsidRPr="009F2D99">
        <w:rPr>
          <w:rFonts w:ascii="Times New Roman" w:hAnsi="Times New Roman" w:cs="Times New Roman"/>
          <w:color w:val="000000" w:themeColor="text1"/>
        </w:rPr>
        <w:t xml:space="preserve">; </w:t>
      </w:r>
      <w:r w:rsidRPr="009F2D99">
        <w:rPr>
          <w:rFonts w:ascii="Times New Roman" w:hAnsi="Times New Roman" w:cs="Times New Roman"/>
          <w:i/>
          <w:iCs/>
          <w:color w:val="000000" w:themeColor="text1"/>
        </w:rPr>
        <w:t>GLAST-CrePR</w:t>
      </w:r>
      <w:r w:rsidRPr="009F2D99">
        <w:rPr>
          <w:rFonts w:ascii="Times New Roman" w:hAnsi="Times New Roman" w:cs="Times New Roman"/>
          <w:color w:val="000000" w:themeColor="text1"/>
          <w:vertAlign w:val="superscript"/>
        </w:rPr>
        <w:t>-/-</w:t>
      </w:r>
      <w:r w:rsidRPr="009F2D99">
        <w:rPr>
          <w:rFonts w:ascii="Times New Roman" w:hAnsi="Times New Roman" w:cs="Times New Roman"/>
          <w:color w:val="000000" w:themeColor="text1"/>
        </w:rPr>
        <w:t xml:space="preserve"> (ctrl) pups (n=5), </w:t>
      </w:r>
      <w:r w:rsidRPr="009F2D99">
        <w:rPr>
          <w:rFonts w:ascii="Times New Roman" w:hAnsi="Times New Roman" w:cs="Times New Roman"/>
          <w:i/>
          <w:iCs/>
          <w:color w:val="000000" w:themeColor="text1"/>
        </w:rPr>
        <w:t>IFT88</w:t>
      </w:r>
      <w:r w:rsidRPr="009F2D99">
        <w:rPr>
          <w:rFonts w:ascii="Times New Roman" w:hAnsi="Times New Roman" w:cs="Times New Roman"/>
          <w:color w:val="000000" w:themeColor="text1"/>
          <w:vertAlign w:val="superscript"/>
        </w:rPr>
        <w:t>flox/flox</w:t>
      </w:r>
      <w:r w:rsidRPr="009F2D99">
        <w:rPr>
          <w:rFonts w:ascii="Times New Roman" w:hAnsi="Times New Roman" w:cs="Times New Roman"/>
          <w:color w:val="000000" w:themeColor="text1"/>
        </w:rPr>
        <w:t xml:space="preserve">; </w:t>
      </w:r>
      <w:r w:rsidRPr="009F2D99">
        <w:rPr>
          <w:rFonts w:ascii="Times New Roman" w:hAnsi="Times New Roman" w:cs="Times New Roman"/>
          <w:i/>
          <w:iCs/>
          <w:color w:val="000000" w:themeColor="text1"/>
        </w:rPr>
        <w:t>GLAST-CrePR</w:t>
      </w:r>
      <w:r w:rsidRPr="009F2D99">
        <w:rPr>
          <w:rFonts w:ascii="Times New Roman" w:hAnsi="Times New Roman" w:cs="Times New Roman"/>
          <w:color w:val="000000" w:themeColor="text1"/>
          <w:vertAlign w:val="superscript"/>
        </w:rPr>
        <w:t>+/-</w:t>
      </w:r>
      <w:r w:rsidRPr="009F2D99">
        <w:rPr>
          <w:rFonts w:ascii="Times New Roman" w:hAnsi="Times New Roman" w:cs="Times New Roman"/>
          <w:color w:val="000000" w:themeColor="text1"/>
        </w:rPr>
        <w:t xml:space="preserve"> (cKO) pups (n=6). (F) </w:t>
      </w:r>
      <w:r w:rsidRPr="009F2D99">
        <w:rPr>
          <w:rFonts w:ascii="Times New Roman" w:eastAsia="Yu Mincho" w:hAnsi="Times New Roman" w:cs="Times New Roman"/>
          <w:color w:val="000000"/>
        </w:rPr>
        <w:t>The percentage</w:t>
      </w:r>
      <w:r w:rsidRPr="009F2D99">
        <w:rPr>
          <w:rFonts w:ascii="Times New Roman" w:hAnsi="Times New Roman" w:cs="Times New Roman"/>
          <w:color w:val="000000" w:themeColor="text1"/>
        </w:rPr>
        <w:t xml:space="preserve"> of ciliated GFAP</w:t>
      </w:r>
      <w:r w:rsidRPr="009F2D99">
        <w:rPr>
          <w:rFonts w:ascii="Times New Roman" w:eastAsia="Yu Mincho" w:hAnsi="Times New Roman" w:cs="Times New Roman"/>
          <w:color w:val="000000"/>
        </w:rPr>
        <w:t>-</w:t>
      </w:r>
      <w:r w:rsidRPr="009F2D99">
        <w:rPr>
          <w:rFonts w:ascii="Times New Roman" w:hAnsi="Times New Roman" w:cs="Times New Roman"/>
          <w:color w:val="000000" w:themeColor="text1"/>
        </w:rPr>
        <w:t>positive astrocytes shown Figure S4E shows in</w:t>
      </w:r>
      <w:r w:rsidRPr="009F2D99">
        <w:rPr>
          <w:rFonts w:ascii="Times New Roman" w:eastAsia="Yu Mincho" w:hAnsi="Times New Roman" w:cs="Times New Roman"/>
          <w:color w:val="000000"/>
        </w:rPr>
        <w:t xml:space="preserve"> the</w:t>
      </w:r>
      <w:r w:rsidRPr="009F2D99">
        <w:rPr>
          <w:rFonts w:ascii="Times New Roman" w:hAnsi="Times New Roman" w:cs="Times New Roman"/>
          <w:color w:val="000000" w:themeColor="text1"/>
        </w:rPr>
        <w:t xml:space="preserve"> graph. ****</w:t>
      </w:r>
      <w:r w:rsidRPr="009F2D99">
        <w:rPr>
          <w:rFonts w:ascii="Times New Roman" w:hAnsi="Times New Roman" w:cs="Times New Roman"/>
        </w:rPr>
        <w:t xml:space="preserve">, P &lt;0.0001, ns, nonsignificant (Tukey’s multiple comparison). (G) Representative image of C3 (green), GFAP (red) and </w:t>
      </w:r>
      <w:r w:rsidRPr="009F2D99">
        <w:rPr>
          <w:rFonts w:ascii="Times New Roman" w:eastAsia="Yu Mincho" w:hAnsi="Times New Roman" w:cs="Times New Roman"/>
        </w:rPr>
        <w:t>Hoechst</w:t>
      </w:r>
      <w:r w:rsidRPr="009F2D99">
        <w:rPr>
          <w:rFonts w:ascii="Times New Roman" w:hAnsi="Times New Roman" w:cs="Times New Roman"/>
        </w:rPr>
        <w:t xml:space="preserve"> 33342 (blue) in glial mixture culture. </w:t>
      </w:r>
      <w:r w:rsidRPr="009F2D99">
        <w:rPr>
          <w:rFonts w:ascii="Times New Roman" w:hAnsi="Times New Roman" w:cs="Times New Roman"/>
          <w:color w:val="000000" w:themeColor="text1"/>
        </w:rPr>
        <w:t xml:space="preserve">Glial mixture cultures were prepared from P7 pups and stimulated with 10 nM RU486 for 48 h. After stimulation </w:t>
      </w:r>
      <w:r w:rsidRPr="009F2D99">
        <w:rPr>
          <w:rFonts w:ascii="Times New Roman" w:eastAsia="Yu Mincho" w:hAnsi="Times New Roman" w:cs="Times New Roman"/>
          <w:color w:val="000000"/>
        </w:rPr>
        <w:t>with</w:t>
      </w:r>
      <w:r w:rsidRPr="009F2D99">
        <w:rPr>
          <w:rFonts w:ascii="Times New Roman" w:hAnsi="Times New Roman" w:cs="Times New Roman"/>
          <w:color w:val="000000" w:themeColor="text1"/>
        </w:rPr>
        <w:t xml:space="preserve"> RU486, cells were stimulated with 100 ng/ml LPS for 24 h. Scale bar; 20 µm. </w:t>
      </w:r>
      <w:r w:rsidRPr="009F2D99">
        <w:rPr>
          <w:rFonts w:ascii="Times New Roman" w:hAnsi="Times New Roman" w:cs="Times New Roman"/>
          <w:i/>
          <w:iCs/>
          <w:color w:val="000000" w:themeColor="text1"/>
        </w:rPr>
        <w:t>IFT88</w:t>
      </w:r>
      <w:r w:rsidRPr="009F2D99">
        <w:rPr>
          <w:rFonts w:ascii="Times New Roman" w:hAnsi="Times New Roman" w:cs="Times New Roman"/>
          <w:color w:val="000000" w:themeColor="text1"/>
          <w:vertAlign w:val="superscript"/>
        </w:rPr>
        <w:t>flox/flox</w:t>
      </w:r>
      <w:r w:rsidRPr="009F2D99">
        <w:rPr>
          <w:rFonts w:ascii="Times New Roman" w:hAnsi="Times New Roman" w:cs="Times New Roman"/>
          <w:color w:val="000000" w:themeColor="text1"/>
        </w:rPr>
        <w:t xml:space="preserve">; </w:t>
      </w:r>
      <w:r w:rsidRPr="009F2D99">
        <w:rPr>
          <w:rFonts w:ascii="Times New Roman" w:hAnsi="Times New Roman" w:cs="Times New Roman"/>
          <w:i/>
          <w:iCs/>
          <w:color w:val="000000" w:themeColor="text1"/>
        </w:rPr>
        <w:t>GLAST-CrePR</w:t>
      </w:r>
      <w:r w:rsidRPr="009F2D99">
        <w:rPr>
          <w:rFonts w:ascii="Times New Roman" w:hAnsi="Times New Roman" w:cs="Times New Roman"/>
          <w:color w:val="000000" w:themeColor="text1"/>
          <w:vertAlign w:val="superscript"/>
        </w:rPr>
        <w:t>-/-</w:t>
      </w:r>
      <w:r w:rsidRPr="009F2D99">
        <w:rPr>
          <w:rFonts w:ascii="Times New Roman" w:hAnsi="Times New Roman" w:cs="Times New Roman"/>
          <w:color w:val="000000" w:themeColor="text1"/>
        </w:rPr>
        <w:t xml:space="preserve"> (ctrl) pups (n=5), </w:t>
      </w:r>
      <w:r w:rsidRPr="009F2D99">
        <w:rPr>
          <w:rFonts w:ascii="Times New Roman" w:hAnsi="Times New Roman" w:cs="Times New Roman"/>
          <w:i/>
          <w:iCs/>
          <w:color w:val="000000" w:themeColor="text1"/>
        </w:rPr>
        <w:t>IFT88</w:t>
      </w:r>
      <w:r w:rsidRPr="009F2D99">
        <w:rPr>
          <w:rFonts w:ascii="Times New Roman" w:hAnsi="Times New Roman" w:cs="Times New Roman"/>
          <w:color w:val="000000" w:themeColor="text1"/>
          <w:vertAlign w:val="superscript"/>
        </w:rPr>
        <w:t>flox/flox</w:t>
      </w:r>
      <w:r w:rsidRPr="009F2D99">
        <w:rPr>
          <w:rFonts w:ascii="Times New Roman" w:hAnsi="Times New Roman" w:cs="Times New Roman"/>
          <w:color w:val="000000" w:themeColor="text1"/>
        </w:rPr>
        <w:t xml:space="preserve">; </w:t>
      </w:r>
      <w:r w:rsidRPr="009F2D99">
        <w:rPr>
          <w:rFonts w:ascii="Times New Roman" w:hAnsi="Times New Roman" w:cs="Times New Roman"/>
          <w:i/>
          <w:iCs/>
          <w:color w:val="000000" w:themeColor="text1"/>
        </w:rPr>
        <w:t>GLAST-CrePR</w:t>
      </w:r>
      <w:r w:rsidRPr="009F2D99">
        <w:rPr>
          <w:rFonts w:ascii="Times New Roman" w:hAnsi="Times New Roman" w:cs="Times New Roman"/>
          <w:color w:val="000000" w:themeColor="text1"/>
          <w:vertAlign w:val="superscript"/>
        </w:rPr>
        <w:t>+/-</w:t>
      </w:r>
      <w:r w:rsidRPr="009F2D99">
        <w:rPr>
          <w:rFonts w:ascii="Times New Roman" w:hAnsi="Times New Roman" w:cs="Times New Roman"/>
          <w:color w:val="000000" w:themeColor="text1"/>
        </w:rPr>
        <w:t xml:space="preserve"> (cKO) pups (n=5). (H)</w:t>
      </w:r>
      <w:r w:rsidRPr="009F2D99">
        <w:rPr>
          <w:rFonts w:ascii="Times New Roman" w:eastAsia="Yu Mincho" w:hAnsi="Times New Roman" w:cs="Times New Roman"/>
          <w:color w:val="000000"/>
        </w:rPr>
        <w:t xml:space="preserve"> The percentage</w:t>
      </w:r>
      <w:r w:rsidRPr="009F2D99">
        <w:rPr>
          <w:rFonts w:ascii="Times New Roman" w:hAnsi="Times New Roman" w:cs="Times New Roman"/>
          <w:color w:val="000000" w:themeColor="text1"/>
        </w:rPr>
        <w:t xml:space="preserve"> of C3</w:t>
      </w:r>
      <w:r w:rsidRPr="009F2D99">
        <w:rPr>
          <w:rFonts w:ascii="Times New Roman" w:eastAsia="Yu Mincho" w:hAnsi="Times New Roman" w:cs="Times New Roman"/>
          <w:color w:val="000000"/>
        </w:rPr>
        <w:t>-</w:t>
      </w:r>
      <w:r w:rsidRPr="009F2D99">
        <w:rPr>
          <w:rFonts w:ascii="Times New Roman" w:hAnsi="Times New Roman" w:cs="Times New Roman"/>
          <w:color w:val="000000" w:themeColor="text1"/>
        </w:rPr>
        <w:t xml:space="preserve">positive astrocytes shown Figure S4G shows in </w:t>
      </w:r>
      <w:r w:rsidRPr="009F2D99">
        <w:rPr>
          <w:rFonts w:ascii="Times New Roman" w:eastAsia="Yu Mincho" w:hAnsi="Times New Roman" w:cs="Times New Roman"/>
          <w:color w:val="000000"/>
        </w:rPr>
        <w:t xml:space="preserve">the </w:t>
      </w:r>
      <w:r w:rsidRPr="009F2D99">
        <w:rPr>
          <w:rFonts w:ascii="Times New Roman" w:hAnsi="Times New Roman" w:cs="Times New Roman"/>
          <w:color w:val="000000" w:themeColor="text1"/>
        </w:rPr>
        <w:t>graph. ****</w:t>
      </w:r>
      <w:r w:rsidRPr="009F2D99">
        <w:rPr>
          <w:rFonts w:ascii="Times New Roman" w:hAnsi="Times New Roman" w:cs="Times New Roman"/>
        </w:rPr>
        <w:t>, P &lt;0.0001, ns, nonsignificant (Tukey’s multiple comparison).</w:t>
      </w:r>
    </w:p>
    <w:p w14:paraId="2D18881B" w14:textId="77777777" w:rsidR="008460E2" w:rsidRDefault="008460E2"/>
    <w:sectPr w:rsidR="008460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E2"/>
    <w:rsid w:val="003F1652"/>
    <w:rsid w:val="0084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6A79C"/>
  <w15:chartTrackingRefBased/>
  <w15:docId w15:val="{636B1A94-F19B-4E71-9CCB-E5D13D64B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0E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GB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60E2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60E2"/>
    <w:rPr>
      <w:rFonts w:asciiTheme="majorHAnsi" w:eastAsiaTheme="majorEastAsia" w:hAnsiTheme="majorHAnsi" w:cstheme="majorBidi"/>
      <w:kern w:val="2"/>
      <w:sz w:val="21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716</Words>
  <Characters>4087</Characters>
  <Application>Microsoft Office Word</Application>
  <DocSecurity>0</DocSecurity>
  <Lines>34</Lines>
  <Paragraphs>9</Paragraphs>
  <ScaleCrop>false</ScaleCrop>
  <Company>Springer Nature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2023-10-19T19:53:00Z</dcterms:created>
  <dcterms:modified xsi:type="dcterms:W3CDTF">2023-10-19T19:54:00Z</dcterms:modified>
</cp:coreProperties>
</file>