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BB891" w14:textId="77777777" w:rsidR="00C21C8B" w:rsidRDefault="00C21C8B" w:rsidP="00C21C8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jc w:val="left"/>
        <w:rPr>
          <w:rFonts w:ascii="Times New Roman" w:eastAsia="ＭＳ ゴシック" w:hAnsi="Times New Roman" w:cs="Times New Roman"/>
          <w:color w:val="222222"/>
          <w:kern w:val="0"/>
          <w:sz w:val="24"/>
          <w:szCs w:val="24"/>
        </w:rPr>
      </w:pPr>
      <w:r w:rsidRPr="00B70E20">
        <w:rPr>
          <w:rFonts w:ascii="Times New Roman" w:eastAsia="ＭＳ ゴシック" w:hAnsi="Times New Roman" w:cs="Times New Roman"/>
          <w:color w:val="222222"/>
          <w:kern w:val="0"/>
          <w:sz w:val="24"/>
          <w:szCs w:val="24"/>
        </w:rPr>
        <w:t xml:space="preserve">[Inclusion Criteria] </w:t>
      </w:r>
    </w:p>
    <w:p w14:paraId="01D45D3C" w14:textId="77777777" w:rsidR="00C21C8B" w:rsidRPr="00C21C8B" w:rsidRDefault="00C21C8B" w:rsidP="00C21C8B">
      <w:pPr>
        <w:pStyle w:val="a3"/>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 xml:space="preserve">Patients within 14 days ± 2 days (from 12 to 16 days) after spinal cord injury. </w:t>
      </w:r>
    </w:p>
    <w:p w14:paraId="4432BFB9" w14:textId="77777777" w:rsidR="00C21C8B" w:rsidRDefault="00C21C8B" w:rsidP="00C21C8B">
      <w:pPr>
        <w:pStyle w:val="a3"/>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aged 16 years or older but younger than 75 years at the time of consent (regardless of sex).</w:t>
      </w:r>
    </w:p>
    <w:p w14:paraId="466EF166" w14:textId="77777777" w:rsidR="00C21C8B" w:rsidRDefault="00C21C8B" w:rsidP="00C21C8B">
      <w:pPr>
        <w:pStyle w:val="a3"/>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who provided written consent themselves. In the case of patients who were minors, consent was obtained from the legal representative in writing, and whenever possible, consent was also obtained from the patient themselves through a consent document. In cases where the patient’s condition made it difficult for them to sign, a family member or equivalent partner (e.g., common-law spouse) could sign as a witness. However, once a patient was able to sign on their own, written consent was obtained from the patient themselves.</w:t>
      </w:r>
    </w:p>
    <w:p w14:paraId="7095FC7E" w14:textId="77777777" w:rsidR="00C21C8B" w:rsidRDefault="00C21C8B" w:rsidP="00C21C8B">
      <w:pPr>
        <w:pStyle w:val="a3"/>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a modified Frankel classification of B1 or B2 at the start of screening.</w:t>
      </w:r>
    </w:p>
    <w:p w14:paraId="47CA5DA0" w14:textId="77777777" w:rsidR="00C21C8B" w:rsidRDefault="00C21C8B" w:rsidP="00C21C8B">
      <w:pPr>
        <w:pStyle w:val="a3"/>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 xml:space="preserve">Patients who can receive CL2020 administration within 21 days ± 3 days (from 18 to 24 days) after spinal cord injury. (6) Patients with the primary site of spinal cord injury in the cervical spine (C4 to C7). </w:t>
      </w:r>
    </w:p>
    <w:p w14:paraId="4B097002" w14:textId="29E4C0EF" w:rsidR="00C21C8B" w:rsidRPr="00C21C8B" w:rsidRDefault="00C21C8B" w:rsidP="00C21C8B">
      <w:pPr>
        <w:pStyle w:val="a3"/>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who can visit for the specified evaluation periods.</w:t>
      </w:r>
    </w:p>
    <w:p w14:paraId="441AD2D2" w14:textId="77777777" w:rsidR="006A5088" w:rsidRDefault="006A5088"/>
    <w:p w14:paraId="5416A7D1" w14:textId="77777777" w:rsidR="00C21C8B" w:rsidRPr="00B70E20" w:rsidRDefault="00C21C8B" w:rsidP="00C21C8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jc w:val="left"/>
        <w:rPr>
          <w:rFonts w:ascii="Times New Roman" w:eastAsia="ＭＳ ゴシック" w:hAnsi="Times New Roman" w:cs="Times New Roman"/>
          <w:color w:val="222222"/>
          <w:kern w:val="0"/>
          <w:sz w:val="24"/>
          <w:szCs w:val="24"/>
        </w:rPr>
      </w:pPr>
      <w:r w:rsidRPr="00B70E20">
        <w:rPr>
          <w:rFonts w:ascii="Times New Roman" w:eastAsia="ＭＳ ゴシック" w:hAnsi="Times New Roman" w:cs="Times New Roman"/>
          <w:color w:val="222222"/>
          <w:kern w:val="0"/>
          <w:sz w:val="24"/>
          <w:szCs w:val="24"/>
        </w:rPr>
        <w:t>[Exclusion Criteria]</w:t>
      </w:r>
    </w:p>
    <w:p w14:paraId="1346A81C"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Japan Coma Scale III-200 or III-300 consciousness disorders at the time of obtaining consent.</w:t>
      </w:r>
    </w:p>
    <w:p w14:paraId="34C52A86"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severe respiratory disorders.</w:t>
      </w:r>
    </w:p>
    <w:p w14:paraId="75AA4EBE"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systolic blood pressure exceeding 140 mmHg or diastolic blood pressure exceeding 90 mmHg despite antihypertensive treatment.</w:t>
      </w:r>
    </w:p>
    <w:p w14:paraId="27B1D619"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 xml:space="preserve">Patients with a current or </w:t>
      </w:r>
      <w:proofErr w:type="gramStart"/>
      <w:r w:rsidRPr="00C21C8B">
        <w:rPr>
          <w:rFonts w:ascii="Times New Roman" w:eastAsia="ＭＳ ゴシック" w:hAnsi="Times New Roman" w:cs="Times New Roman"/>
          <w:color w:val="222222"/>
          <w:kern w:val="0"/>
          <w:sz w:val="24"/>
          <w:szCs w:val="24"/>
        </w:rPr>
        <w:t>past history</w:t>
      </w:r>
      <w:proofErr w:type="gramEnd"/>
      <w:r w:rsidRPr="00C21C8B">
        <w:rPr>
          <w:rFonts w:ascii="Times New Roman" w:eastAsia="ＭＳ ゴシック" w:hAnsi="Times New Roman" w:cs="Times New Roman"/>
          <w:color w:val="222222"/>
          <w:kern w:val="0"/>
          <w:sz w:val="24"/>
          <w:szCs w:val="24"/>
        </w:rPr>
        <w:t xml:space="preserve"> of malignant tumors (patients who have </w:t>
      </w:r>
      <w:r w:rsidRPr="00C21C8B">
        <w:rPr>
          <w:rFonts w:ascii="Times New Roman" w:eastAsia="ＭＳ ゴシック" w:hAnsi="Times New Roman" w:cs="Times New Roman"/>
          <w:color w:val="222222"/>
          <w:kern w:val="0"/>
          <w:sz w:val="24"/>
          <w:szCs w:val="24"/>
        </w:rPr>
        <w:lastRenderedPageBreak/>
        <w:t>achieved complete remission for at least 5 years are eligible for enrollment).</w:t>
      </w:r>
    </w:p>
    <w:p w14:paraId="2A2F1A1A"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concurrent neurological disorders, cerebrovascular disorders, or musculoskeletal disorders that may affect neurological assessment.</w:t>
      </w:r>
    </w:p>
    <w:p w14:paraId="20372A96"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who are expected to experience a rapid deterioration of symptoms related to spinal cord injury during the trial period.</w:t>
      </w:r>
    </w:p>
    <w:p w14:paraId="0A8AE7B6"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who are unable to start rehabilitation early due to complications or other reasons.</w:t>
      </w:r>
    </w:p>
    <w:p w14:paraId="5465C2FE"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severe dementia or mental disorders.</w:t>
      </w:r>
    </w:p>
    <w:p w14:paraId="15AE19C2"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 xml:space="preserve">Patients with severe spinal cord or spinal disorders (including osteoporosis, spinal tumors, spinal vascular malformations, or syringomyelia). </w:t>
      </w:r>
    </w:p>
    <w:p w14:paraId="12A196D1"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who require medical treatment for positive HBs antigen, HCV antibody, HIV antibody, or syphilis test.</w:t>
      </w:r>
    </w:p>
    <w:p w14:paraId="7911118D"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severe connective tissue diseases and related disorders.</w:t>
      </w:r>
    </w:p>
    <w:p w14:paraId="2611E366"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severe diabetes mellitus (HbA</w:t>
      </w:r>
      <w:r w:rsidRPr="00C21C8B">
        <w:rPr>
          <w:rFonts w:ascii="Times New Roman" w:eastAsia="ＭＳ ゴシック" w:hAnsi="Times New Roman" w:cs="Times New Roman"/>
          <w:color w:val="222222"/>
          <w:kern w:val="0"/>
          <w:sz w:val="24"/>
          <w:szCs w:val="24"/>
          <w:vertAlign w:val="subscript"/>
        </w:rPr>
        <w:t>1c</w:t>
      </w:r>
      <w:r w:rsidRPr="00C21C8B">
        <w:rPr>
          <w:rFonts w:ascii="Times New Roman" w:eastAsia="ＭＳ ゴシック" w:hAnsi="Times New Roman" w:cs="Times New Roman"/>
          <w:color w:val="222222"/>
          <w:kern w:val="0"/>
          <w:sz w:val="24"/>
          <w:szCs w:val="24"/>
        </w:rPr>
        <w:t xml:space="preserve"> </w:t>
      </w:r>
      <w:r>
        <w:sym w:font="Symbol" w:char="F0B3"/>
      </w:r>
      <w:r w:rsidRPr="00C21C8B">
        <w:rPr>
          <w:rFonts w:ascii="Times New Roman" w:eastAsia="ＭＳ ゴシック" w:hAnsi="Times New Roman" w:cs="Times New Roman"/>
          <w:color w:val="222222"/>
          <w:kern w:val="0"/>
          <w:sz w:val="24"/>
          <w:szCs w:val="24"/>
        </w:rPr>
        <w:t>10%), regardless of treatment.</w:t>
      </w:r>
    </w:p>
    <w:p w14:paraId="36AD37C5"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 xml:space="preserve">Patients with severe systemic conditions, such as severe infections (sepsis, etc.). </w:t>
      </w:r>
    </w:p>
    <w:p w14:paraId="1A9D0270"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severe complications or conditions deemed inappropriate by the responsible/investigating physician.</w:t>
      </w:r>
    </w:p>
    <w:p w14:paraId="6C6B65FD"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 xml:space="preserve">Patients receiving systemic administration of immunosuppressive agents. </w:t>
      </w:r>
    </w:p>
    <w:p w14:paraId="26DAE24D"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Female patients who are pregnant or breastfeeding or potentially pregnant female patients.</w:t>
      </w:r>
    </w:p>
    <w:p w14:paraId="0322CDD3"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Male patients who cannot agree to contraception based on the guidance of the</w:t>
      </w:r>
      <w:r w:rsidRPr="00C21C8B">
        <w:rPr>
          <w:rFonts w:ascii="Times New Roman" w:eastAsia="ＭＳ ゴシック" w:hAnsi="Times New Roman" w:cs="Times New Roman" w:hint="eastAsia"/>
          <w:color w:val="222222"/>
          <w:kern w:val="0"/>
          <w:sz w:val="24"/>
          <w:szCs w:val="24"/>
        </w:rPr>
        <w:t xml:space="preserve"> </w:t>
      </w:r>
      <w:r w:rsidRPr="00C21C8B">
        <w:rPr>
          <w:rFonts w:ascii="Times New Roman" w:eastAsia="ＭＳ ゴシック" w:hAnsi="Times New Roman" w:cs="Times New Roman"/>
          <w:color w:val="222222"/>
          <w:kern w:val="0"/>
          <w:sz w:val="24"/>
          <w:szCs w:val="24"/>
        </w:rPr>
        <w:t xml:space="preserve">responsible/investigating physician from consent acquisition to observation completion or female patients of childbearing potential who cannot agree to </w:t>
      </w:r>
      <w:r w:rsidRPr="00C21C8B">
        <w:rPr>
          <w:rFonts w:ascii="Times New Roman" w:eastAsia="ＭＳ ゴシック" w:hAnsi="Times New Roman" w:cs="Times New Roman"/>
          <w:color w:val="222222"/>
          <w:kern w:val="0"/>
          <w:sz w:val="24"/>
          <w:szCs w:val="24"/>
        </w:rPr>
        <w:lastRenderedPageBreak/>
        <w:t>contraception.</w:t>
      </w:r>
    </w:p>
    <w:p w14:paraId="793E35F1"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who participated in another clinical trial within the past 3 months before obtaining consent or received administration or use of regenerative medicine products within the past 1 year.</w:t>
      </w:r>
    </w:p>
    <w:p w14:paraId="4566825D"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a history of hypersensitivity to aminoglycoside antibiotics, including kanamycin.</w:t>
      </w:r>
    </w:p>
    <w:p w14:paraId="49767168" w14:textId="77777777" w:rsid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with a history of hypersensitivity to human serum albumin products or xenogeneic proteins (bovine and porcine).</w:t>
      </w:r>
    </w:p>
    <w:p w14:paraId="0430DB7D" w14:textId="69B7C110" w:rsidR="00C21C8B" w:rsidRPr="00C21C8B" w:rsidRDefault="00C21C8B" w:rsidP="00C21C8B">
      <w:pPr>
        <w:pStyle w:val="a3"/>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adjustRightInd w:val="0"/>
        <w:snapToGrid w:val="0"/>
        <w:spacing w:line="480" w:lineRule="auto"/>
        <w:ind w:leftChars="0"/>
        <w:jc w:val="left"/>
        <w:rPr>
          <w:rFonts w:ascii="Times New Roman" w:eastAsia="ＭＳ ゴシック" w:hAnsi="Times New Roman" w:cs="Times New Roman"/>
          <w:color w:val="222222"/>
          <w:kern w:val="0"/>
          <w:sz w:val="24"/>
          <w:szCs w:val="24"/>
        </w:rPr>
      </w:pPr>
      <w:r w:rsidRPr="00C21C8B">
        <w:rPr>
          <w:rFonts w:ascii="Times New Roman" w:eastAsia="ＭＳ ゴシック" w:hAnsi="Times New Roman" w:cs="Times New Roman"/>
          <w:color w:val="222222"/>
          <w:kern w:val="0"/>
          <w:sz w:val="24"/>
          <w:szCs w:val="24"/>
        </w:rPr>
        <w:t>Patients deemed inappropriate for participation in the clinical trial by the responsible/investigating physician for general safety reasons.</w:t>
      </w:r>
    </w:p>
    <w:p w14:paraId="616106BA" w14:textId="77777777" w:rsidR="00C21C8B" w:rsidRPr="00C21C8B" w:rsidRDefault="00C21C8B">
      <w:pPr>
        <w:rPr>
          <w:rFonts w:hint="eastAsia"/>
        </w:rPr>
      </w:pPr>
    </w:p>
    <w:sectPr w:rsidR="00C21C8B" w:rsidRPr="00C21C8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E7CAA"/>
    <w:multiLevelType w:val="hybridMultilevel"/>
    <w:tmpl w:val="35740CEE"/>
    <w:lvl w:ilvl="0" w:tplc="0C8487E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7D487995"/>
    <w:multiLevelType w:val="hybridMultilevel"/>
    <w:tmpl w:val="600C4420"/>
    <w:lvl w:ilvl="0" w:tplc="AE3A7106">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72337865">
    <w:abstractNumId w:val="1"/>
  </w:num>
  <w:num w:numId="2" w16cid:durableId="9219159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C8B"/>
    <w:rsid w:val="006A5088"/>
    <w:rsid w:val="00C21C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6F5F1A6"/>
  <w15:chartTrackingRefBased/>
  <w15:docId w15:val="{FB73029B-2926-454E-B49A-3AED75F1D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1C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21C8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530</Words>
  <Characters>3023</Characters>
  <Application>Microsoft Office Word</Application>
  <DocSecurity>0</DocSecurity>
  <Lines>25</Lines>
  <Paragraphs>7</Paragraphs>
  <ScaleCrop>false</ScaleCrop>
  <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正雄 國府田</dc:creator>
  <cp:keywords/>
  <dc:description/>
  <cp:lastModifiedBy>正雄 國府田</cp:lastModifiedBy>
  <cp:revision>1</cp:revision>
  <dcterms:created xsi:type="dcterms:W3CDTF">2023-10-15T03:04:00Z</dcterms:created>
  <dcterms:modified xsi:type="dcterms:W3CDTF">2023-10-15T03:10:00Z</dcterms:modified>
</cp:coreProperties>
</file>