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37489" w14:textId="77777777" w:rsidR="00E445E9" w:rsidRDefault="00E445E9" w:rsidP="00E445E9">
      <w:pPr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Table S1 Analysis of miR-320-3p-precipitated protein hnRNPA2B1</w:t>
      </w:r>
    </w:p>
    <w:tbl>
      <w:tblPr>
        <w:tblStyle w:val="TableGrid"/>
        <w:tblpPr w:leftFromText="180" w:rightFromText="180" w:vertAnchor="text" w:horzAnchor="margin" w:tblpY="432"/>
        <w:tblOverlap w:val="never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152"/>
        <w:gridCol w:w="3119"/>
      </w:tblGrid>
      <w:tr w:rsidR="00E445E9" w14:paraId="0D3F049C" w14:textId="77777777" w:rsidTr="00210381">
        <w:trPr>
          <w:trHeight w:val="416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A847D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6549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Granulosa cell cytoplasm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F6BFF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Negative control</w:t>
            </w:r>
          </w:p>
        </w:tc>
      </w:tr>
      <w:tr w:rsidR="00E445E9" w14:paraId="2C7D255C" w14:textId="77777777" w:rsidTr="00210381">
        <w:trPr>
          <w:trHeight w:val="234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45A08886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hnRNPA2B1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</w:tcPr>
          <w:p w14:paraId="3AA24AD5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F1D9229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</w:p>
        </w:tc>
      </w:tr>
      <w:tr w:rsidR="00E445E9" w14:paraId="3DB9C357" w14:textId="77777777" w:rsidTr="00210381">
        <w:tc>
          <w:tcPr>
            <w:tcW w:w="2093" w:type="dxa"/>
            <w:vAlign w:val="center"/>
          </w:tcPr>
          <w:p w14:paraId="580EF4A4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hnRNPL</w:t>
            </w:r>
          </w:p>
        </w:tc>
        <w:tc>
          <w:tcPr>
            <w:tcW w:w="3152" w:type="dxa"/>
            <w:vAlign w:val="center"/>
          </w:tcPr>
          <w:p w14:paraId="50CC1696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408B5E9F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</w:p>
        </w:tc>
      </w:tr>
      <w:tr w:rsidR="00E445E9" w14:paraId="5B16765A" w14:textId="77777777" w:rsidTr="00210381">
        <w:tc>
          <w:tcPr>
            <w:tcW w:w="2093" w:type="dxa"/>
            <w:vAlign w:val="center"/>
          </w:tcPr>
          <w:p w14:paraId="1A87C8AF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hnRNPR</w:t>
            </w:r>
          </w:p>
        </w:tc>
        <w:tc>
          <w:tcPr>
            <w:tcW w:w="3152" w:type="dxa"/>
            <w:vAlign w:val="center"/>
          </w:tcPr>
          <w:p w14:paraId="662AA083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0C5CB19C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</w:p>
        </w:tc>
      </w:tr>
      <w:tr w:rsidR="00E445E9" w14:paraId="1A3DFE27" w14:textId="77777777" w:rsidTr="00210381">
        <w:tc>
          <w:tcPr>
            <w:tcW w:w="2093" w:type="dxa"/>
            <w:vAlign w:val="center"/>
          </w:tcPr>
          <w:p w14:paraId="07C73BE2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hnRNPU</w:t>
            </w:r>
          </w:p>
        </w:tc>
        <w:tc>
          <w:tcPr>
            <w:tcW w:w="3152" w:type="dxa"/>
            <w:vAlign w:val="center"/>
          </w:tcPr>
          <w:p w14:paraId="0150F0C6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14:paraId="19317ABA" w14:textId="77777777" w:rsidR="00E445E9" w:rsidRDefault="00E445E9" w:rsidP="00210381">
            <w:pPr>
              <w:spacing w:line="480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</w:p>
        </w:tc>
      </w:tr>
    </w:tbl>
    <w:p w14:paraId="574BCF35" w14:textId="77777777" w:rsidR="00E445E9" w:rsidRDefault="00E445E9" w:rsidP="00E445E9">
      <w:pPr>
        <w:spacing w:line="480" w:lineRule="auto"/>
        <w:rPr>
          <w:rFonts w:eastAsia="Times New Roman"/>
          <w:bCs/>
          <w:szCs w:val="21"/>
        </w:rPr>
      </w:pPr>
      <w:r>
        <w:rPr>
          <w:rFonts w:eastAsia="Times New Roman"/>
          <w:bCs/>
          <w:szCs w:val="21"/>
        </w:rPr>
        <w:t>hnRNPA2B1, heterogeneous nuclear ribonucleoprotein A2B1; hnRNPL, heterogeneous nuclear ribonucleoprotein L; hnRNPR, heterogeneous nuclear ribonucleoprotein R; hnRNPU, heterogeneous nuclear ribonucleoprotein U. Negative control: mouse cytoplasm extracts were incubated with non-labeled RNA control.</w:t>
      </w:r>
    </w:p>
    <w:p w14:paraId="12590CD2" w14:textId="77777777" w:rsidR="00E445E9" w:rsidRDefault="00E445E9" w:rsidP="00E445E9">
      <w:pPr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Table S2 Primers sequence</w:t>
      </w:r>
    </w:p>
    <w:tbl>
      <w:tblPr>
        <w:tblStyle w:val="TableGrid"/>
        <w:tblpPr w:leftFromText="180" w:rightFromText="180" w:vertAnchor="text" w:horzAnchor="page" w:tblpXSpec="center" w:tblpY="521"/>
        <w:tblOverlap w:val="never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6405"/>
      </w:tblGrid>
      <w:tr w:rsidR="00E445E9" w14:paraId="57254D0A" w14:textId="77777777" w:rsidTr="00210381">
        <w:trPr>
          <w:trHeight w:val="418"/>
        </w:trPr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14:paraId="7D4D86F0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Gene name</w:t>
            </w:r>
          </w:p>
        </w:tc>
        <w:tc>
          <w:tcPr>
            <w:tcW w:w="6405" w:type="dxa"/>
            <w:tcBorders>
              <w:bottom w:val="single" w:sz="4" w:space="0" w:color="auto"/>
            </w:tcBorders>
            <w:vAlign w:val="center"/>
          </w:tcPr>
          <w:p w14:paraId="223E9D4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Primer sequences, 5’-3’</w:t>
            </w:r>
          </w:p>
        </w:tc>
      </w:tr>
      <w:tr w:rsidR="00E445E9" w14:paraId="5C45200E" w14:textId="77777777" w:rsidTr="00210381">
        <w:tc>
          <w:tcPr>
            <w:tcW w:w="2100" w:type="dxa"/>
            <w:vMerge w:val="restart"/>
            <w:tcBorders>
              <w:top w:val="single" w:sz="4" w:space="0" w:color="auto"/>
            </w:tcBorders>
            <w:vAlign w:val="center"/>
          </w:tcPr>
          <w:p w14:paraId="4D09701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b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Human 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>GAPDH</w:t>
            </w:r>
          </w:p>
          <w:p w14:paraId="7E1D2A8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tcBorders>
              <w:top w:val="single" w:sz="4" w:space="0" w:color="auto"/>
            </w:tcBorders>
            <w:vAlign w:val="center"/>
          </w:tcPr>
          <w:p w14:paraId="3FF605B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GAAGGTGAAGGTCGGAGTC</w:t>
            </w:r>
          </w:p>
        </w:tc>
      </w:tr>
      <w:tr w:rsidR="00E445E9" w14:paraId="729FE312" w14:textId="77777777" w:rsidTr="00210381">
        <w:tc>
          <w:tcPr>
            <w:tcW w:w="2100" w:type="dxa"/>
            <w:vMerge/>
            <w:vAlign w:val="center"/>
          </w:tcPr>
          <w:p w14:paraId="62EBA13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495671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GAAGATGGTGATGGGATTTC</w:t>
            </w:r>
          </w:p>
        </w:tc>
      </w:tr>
      <w:tr w:rsidR="00E445E9" w14:paraId="301A98A7" w14:textId="77777777" w:rsidTr="00210381">
        <w:tc>
          <w:tcPr>
            <w:tcW w:w="2100" w:type="dxa"/>
            <w:vMerge w:val="restart"/>
            <w:vAlign w:val="center"/>
          </w:tcPr>
          <w:p w14:paraId="7AD718F4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b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>Actin</w:t>
            </w:r>
          </w:p>
          <w:p w14:paraId="28E54CBE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7FBDD17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GGCTGTATTCCCCTCCATCG</w:t>
            </w:r>
          </w:p>
        </w:tc>
      </w:tr>
      <w:tr w:rsidR="00E445E9" w14:paraId="0DE24743" w14:textId="77777777" w:rsidTr="00210381">
        <w:tc>
          <w:tcPr>
            <w:tcW w:w="2100" w:type="dxa"/>
            <w:vMerge/>
            <w:vAlign w:val="center"/>
          </w:tcPr>
          <w:p w14:paraId="075F1C68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66D17E2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CCAGTTGGTAACAATGCCATGT</w:t>
            </w:r>
          </w:p>
        </w:tc>
      </w:tr>
      <w:tr w:rsidR="00E445E9" w14:paraId="7BC714F8" w14:textId="77777777" w:rsidTr="00210381">
        <w:tc>
          <w:tcPr>
            <w:tcW w:w="2100" w:type="dxa"/>
            <w:vMerge w:val="restart"/>
            <w:vAlign w:val="center"/>
          </w:tcPr>
          <w:p w14:paraId="3CD490AF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p16</w:t>
            </w:r>
          </w:p>
          <w:p w14:paraId="41BF5E0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6586B47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GCTCAACTACGGTGCAGATTC</w:t>
            </w:r>
          </w:p>
        </w:tc>
      </w:tr>
      <w:tr w:rsidR="00E445E9" w14:paraId="67D604DF" w14:textId="77777777" w:rsidTr="00210381">
        <w:tc>
          <w:tcPr>
            <w:tcW w:w="2100" w:type="dxa"/>
            <w:vMerge/>
            <w:vAlign w:val="center"/>
          </w:tcPr>
          <w:p w14:paraId="1F7C6E13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3978BA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GCACGATGTCTTGATGTCCC</w:t>
            </w:r>
          </w:p>
        </w:tc>
      </w:tr>
      <w:tr w:rsidR="00E445E9" w14:paraId="44D54D34" w14:textId="77777777" w:rsidTr="00210381">
        <w:tc>
          <w:tcPr>
            <w:tcW w:w="2100" w:type="dxa"/>
            <w:vMerge w:val="restart"/>
            <w:vAlign w:val="center"/>
          </w:tcPr>
          <w:p w14:paraId="1885D27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Ccl20</w:t>
            </w:r>
          </w:p>
          <w:p w14:paraId="60E868A3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4F0318A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GCCTCTCGTACATACAGACGC</w:t>
            </w:r>
          </w:p>
        </w:tc>
      </w:tr>
      <w:tr w:rsidR="00E445E9" w14:paraId="660DEA5B" w14:textId="77777777" w:rsidTr="00210381">
        <w:tc>
          <w:tcPr>
            <w:tcW w:w="2100" w:type="dxa"/>
            <w:vMerge/>
            <w:vAlign w:val="center"/>
          </w:tcPr>
          <w:p w14:paraId="45FFA6DF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7BB190D3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CCAGTTCTGCTTTGGATCAGC</w:t>
            </w:r>
          </w:p>
        </w:tc>
      </w:tr>
      <w:tr w:rsidR="00E445E9" w14:paraId="5348428E" w14:textId="77777777" w:rsidTr="00210381">
        <w:tc>
          <w:tcPr>
            <w:tcW w:w="2100" w:type="dxa"/>
            <w:vMerge w:val="restart"/>
            <w:vAlign w:val="center"/>
          </w:tcPr>
          <w:p w14:paraId="3EE4A11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Mmp1</w:t>
            </w:r>
          </w:p>
          <w:p w14:paraId="6403D44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1F29B9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CTTCTTCTTGTTGAGCTGGACTC</w:t>
            </w:r>
          </w:p>
        </w:tc>
      </w:tr>
      <w:tr w:rsidR="00E445E9" w14:paraId="6D250B6F" w14:textId="77777777" w:rsidTr="00210381">
        <w:tc>
          <w:tcPr>
            <w:tcW w:w="2100" w:type="dxa"/>
            <w:vMerge/>
            <w:vAlign w:val="center"/>
          </w:tcPr>
          <w:p w14:paraId="162E12B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0919C4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CTGTGGAGGTCACTGTAGACT</w:t>
            </w:r>
          </w:p>
        </w:tc>
      </w:tr>
      <w:tr w:rsidR="00E445E9" w14:paraId="3A1A8D4E" w14:textId="77777777" w:rsidTr="00210381">
        <w:trPr>
          <w:trHeight w:val="322"/>
        </w:trPr>
        <w:tc>
          <w:tcPr>
            <w:tcW w:w="2100" w:type="dxa"/>
            <w:vMerge w:val="restart"/>
            <w:vAlign w:val="center"/>
          </w:tcPr>
          <w:p w14:paraId="413491A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Il-8</w:t>
            </w:r>
          </w:p>
          <w:p w14:paraId="18C430C0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398EE60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CAAGGCTGGTCCATGCTCC</w:t>
            </w:r>
          </w:p>
        </w:tc>
      </w:tr>
      <w:tr w:rsidR="00E445E9" w14:paraId="3512E02F" w14:textId="77777777" w:rsidTr="00210381">
        <w:tc>
          <w:tcPr>
            <w:tcW w:w="2100" w:type="dxa"/>
            <w:vMerge/>
            <w:vAlign w:val="center"/>
          </w:tcPr>
          <w:p w14:paraId="27ABB41E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129A10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TGCTATCACTTCCTTTCTGTTGC</w:t>
            </w:r>
          </w:p>
        </w:tc>
      </w:tr>
      <w:tr w:rsidR="00E445E9" w14:paraId="587C46CF" w14:textId="77777777" w:rsidTr="00210381">
        <w:tc>
          <w:tcPr>
            <w:tcW w:w="2100" w:type="dxa"/>
            <w:vMerge w:val="restart"/>
            <w:vAlign w:val="center"/>
          </w:tcPr>
          <w:p w14:paraId="302F3ABA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P21</w:t>
            </w:r>
          </w:p>
          <w:p w14:paraId="1EECB3C6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79B9659E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CCTGGTGATGTCCGACCTG</w:t>
            </w:r>
          </w:p>
        </w:tc>
      </w:tr>
      <w:tr w:rsidR="00E445E9" w14:paraId="4B6F212D" w14:textId="77777777" w:rsidTr="00210381">
        <w:tc>
          <w:tcPr>
            <w:tcW w:w="2100" w:type="dxa"/>
            <w:vMerge/>
            <w:vAlign w:val="center"/>
          </w:tcPr>
          <w:p w14:paraId="32B564B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73E5A16F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CCATGAGCGCATCGCAATC</w:t>
            </w:r>
          </w:p>
        </w:tc>
      </w:tr>
      <w:tr w:rsidR="00E445E9" w14:paraId="5D3B3AB2" w14:textId="77777777" w:rsidTr="00210381">
        <w:tc>
          <w:tcPr>
            <w:tcW w:w="2100" w:type="dxa"/>
            <w:vMerge w:val="restart"/>
            <w:vAlign w:val="center"/>
          </w:tcPr>
          <w:p w14:paraId="01588CF3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lastRenderedPageBreak/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Il-1α</w:t>
            </w:r>
          </w:p>
          <w:p w14:paraId="3D23F256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27149F9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CGAAGACTACAGTTCTGCCATT</w:t>
            </w:r>
          </w:p>
        </w:tc>
      </w:tr>
      <w:tr w:rsidR="00E445E9" w14:paraId="1E51F7F8" w14:textId="77777777" w:rsidTr="00210381">
        <w:tc>
          <w:tcPr>
            <w:tcW w:w="2100" w:type="dxa"/>
            <w:vMerge/>
            <w:vAlign w:val="center"/>
          </w:tcPr>
          <w:p w14:paraId="4447AC8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CB1DC0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GACGTTTCAGAGGTTCTCAGAG</w:t>
            </w:r>
          </w:p>
        </w:tc>
      </w:tr>
      <w:tr w:rsidR="00E445E9" w14:paraId="68632628" w14:textId="77777777" w:rsidTr="00210381">
        <w:tc>
          <w:tcPr>
            <w:tcW w:w="2100" w:type="dxa"/>
            <w:vMerge w:val="restart"/>
            <w:vAlign w:val="center"/>
          </w:tcPr>
          <w:p w14:paraId="49A2A44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P53</w:t>
            </w:r>
          </w:p>
          <w:p w14:paraId="7F845688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12F8A874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GCGTAAACGCTTCGAGATGTT</w:t>
            </w:r>
          </w:p>
        </w:tc>
      </w:tr>
      <w:tr w:rsidR="00E445E9" w14:paraId="1875F6CE" w14:textId="77777777" w:rsidTr="00210381">
        <w:tc>
          <w:tcPr>
            <w:tcW w:w="2100" w:type="dxa"/>
            <w:vMerge/>
            <w:vAlign w:val="center"/>
          </w:tcPr>
          <w:p w14:paraId="3EBBB954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42C19B7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TTTTTATGGCGGGAAGTAGACTG</w:t>
            </w:r>
          </w:p>
        </w:tc>
      </w:tr>
      <w:tr w:rsidR="00E445E9" w14:paraId="0A306A11" w14:textId="77777777" w:rsidTr="00210381">
        <w:tc>
          <w:tcPr>
            <w:tcW w:w="2100" w:type="dxa"/>
            <w:vMerge w:val="restart"/>
            <w:vAlign w:val="center"/>
          </w:tcPr>
          <w:p w14:paraId="0089F6C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Mmp9</w:t>
            </w:r>
          </w:p>
          <w:p w14:paraId="47CC339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7FE4DE48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CTGGACAGCCAGACACTAAAG</w:t>
            </w:r>
          </w:p>
        </w:tc>
      </w:tr>
      <w:tr w:rsidR="00E445E9" w14:paraId="25F76668" w14:textId="77777777" w:rsidTr="00210381">
        <w:tc>
          <w:tcPr>
            <w:tcW w:w="2100" w:type="dxa"/>
            <w:vMerge/>
            <w:vAlign w:val="center"/>
          </w:tcPr>
          <w:p w14:paraId="7E61D60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A5CD22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CTCGCGGCAAGTCTTCAGAG</w:t>
            </w:r>
          </w:p>
        </w:tc>
      </w:tr>
      <w:tr w:rsidR="00E445E9" w14:paraId="73C77A4D" w14:textId="77777777" w:rsidTr="00210381">
        <w:tc>
          <w:tcPr>
            <w:tcW w:w="2100" w:type="dxa"/>
            <w:vMerge w:val="restart"/>
            <w:vAlign w:val="center"/>
          </w:tcPr>
          <w:p w14:paraId="1F2072C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Tnks</w:t>
            </w:r>
          </w:p>
          <w:p w14:paraId="3ADF4130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21D4979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CCGTGTGTCTGTCGTTGAGTACC</w:t>
            </w:r>
          </w:p>
        </w:tc>
      </w:tr>
      <w:tr w:rsidR="00E445E9" w14:paraId="5CF0661E" w14:textId="77777777" w:rsidTr="00210381">
        <w:tc>
          <w:tcPr>
            <w:tcW w:w="2100" w:type="dxa"/>
            <w:vMerge/>
            <w:vAlign w:val="center"/>
          </w:tcPr>
          <w:p w14:paraId="46ABDA0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49D71FE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CCATAGGAGCAGGCATTGTGAAGG</w:t>
            </w:r>
          </w:p>
        </w:tc>
      </w:tr>
      <w:tr w:rsidR="00E445E9" w14:paraId="1453D9FA" w14:textId="77777777" w:rsidTr="00210381">
        <w:tc>
          <w:tcPr>
            <w:tcW w:w="2100" w:type="dxa"/>
            <w:vMerge w:val="restart"/>
            <w:vAlign w:val="center"/>
          </w:tcPr>
          <w:p w14:paraId="0D8A6E6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Tert</w:t>
            </w:r>
          </w:p>
          <w:p w14:paraId="12B9652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6D69F11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AAGACGAGCCTCACCTTCCAGAG</w:t>
            </w:r>
          </w:p>
        </w:tc>
      </w:tr>
      <w:tr w:rsidR="00E445E9" w14:paraId="54D30463" w14:textId="77777777" w:rsidTr="00210381">
        <w:tc>
          <w:tcPr>
            <w:tcW w:w="2100" w:type="dxa"/>
            <w:vMerge/>
            <w:vAlign w:val="center"/>
          </w:tcPr>
          <w:p w14:paraId="6FDE09C9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342A462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CTTCAACCGCAAGACCGACAGG</w:t>
            </w:r>
          </w:p>
        </w:tc>
      </w:tr>
      <w:tr w:rsidR="00E445E9" w14:paraId="07057B09" w14:textId="77777777" w:rsidTr="00210381">
        <w:tc>
          <w:tcPr>
            <w:tcW w:w="2100" w:type="dxa"/>
            <w:vMerge w:val="restart"/>
            <w:vAlign w:val="center"/>
          </w:tcPr>
          <w:p w14:paraId="3E5C343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Mre11a</w:t>
            </w:r>
          </w:p>
          <w:p w14:paraId="724BEB2F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658A55A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TCGGGCACAACATCTAGCAAACG</w:t>
            </w:r>
          </w:p>
        </w:tc>
      </w:tr>
      <w:tr w:rsidR="00E445E9" w14:paraId="2CB04944" w14:textId="77777777" w:rsidTr="00210381">
        <w:tc>
          <w:tcPr>
            <w:tcW w:w="2100" w:type="dxa"/>
            <w:vMerge/>
            <w:vAlign w:val="center"/>
          </w:tcPr>
          <w:p w14:paraId="784DA9AF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56739F3A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TCGGTTTCTTCTTGGGCAACTACTG</w:t>
            </w:r>
          </w:p>
        </w:tc>
      </w:tr>
      <w:tr w:rsidR="00E445E9" w14:paraId="7A48970B" w14:textId="77777777" w:rsidTr="00210381">
        <w:tc>
          <w:tcPr>
            <w:tcW w:w="2100" w:type="dxa"/>
            <w:vMerge w:val="restart"/>
            <w:vAlign w:val="center"/>
          </w:tcPr>
          <w:p w14:paraId="01F77D5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Men1</w:t>
            </w:r>
          </w:p>
          <w:p w14:paraId="0E901899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490C5C9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TGTGTGCCATCAACCCTTCCATC</w:t>
            </w:r>
          </w:p>
        </w:tc>
      </w:tr>
      <w:tr w:rsidR="00E445E9" w14:paraId="78ACA567" w14:textId="77777777" w:rsidTr="00210381">
        <w:tc>
          <w:tcPr>
            <w:tcW w:w="2100" w:type="dxa"/>
            <w:vMerge/>
            <w:vAlign w:val="center"/>
          </w:tcPr>
          <w:p w14:paraId="4DD775CF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5DCF66EE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TCCTCCAGGTCTGCCAAGTTCC</w:t>
            </w:r>
          </w:p>
        </w:tc>
      </w:tr>
      <w:tr w:rsidR="00E445E9" w14:paraId="44B1AB8C" w14:textId="77777777" w:rsidTr="00210381">
        <w:tc>
          <w:tcPr>
            <w:tcW w:w="2100" w:type="dxa"/>
            <w:vMerge w:val="restart"/>
            <w:vAlign w:val="center"/>
          </w:tcPr>
          <w:p w14:paraId="125264A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Tep1</w:t>
            </w:r>
          </w:p>
          <w:p w14:paraId="7DECBE8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7E5602A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CTGTGTAACCTGCTGCGGACTG</w:t>
            </w:r>
          </w:p>
        </w:tc>
      </w:tr>
      <w:tr w:rsidR="00E445E9" w14:paraId="7807DD0F" w14:textId="77777777" w:rsidTr="00210381">
        <w:tc>
          <w:tcPr>
            <w:tcW w:w="2100" w:type="dxa"/>
            <w:vMerge/>
            <w:vAlign w:val="center"/>
          </w:tcPr>
          <w:p w14:paraId="6F0EE7B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29DC006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TCTGAATGGAAACTGCCGACTGTG</w:t>
            </w:r>
          </w:p>
        </w:tc>
      </w:tr>
      <w:tr w:rsidR="00E445E9" w14:paraId="671FAE88" w14:textId="77777777" w:rsidTr="00210381">
        <w:tc>
          <w:tcPr>
            <w:tcW w:w="2100" w:type="dxa"/>
            <w:vMerge w:val="restart"/>
            <w:vAlign w:val="center"/>
          </w:tcPr>
          <w:p w14:paraId="60B8756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Terf2</w:t>
            </w:r>
          </w:p>
          <w:p w14:paraId="1F7C81B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68994D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CCTGGATGACACGGAGCCCTAC</w:t>
            </w:r>
          </w:p>
        </w:tc>
      </w:tr>
      <w:tr w:rsidR="00E445E9" w14:paraId="209AAEAC" w14:textId="77777777" w:rsidTr="00210381">
        <w:tc>
          <w:tcPr>
            <w:tcW w:w="2100" w:type="dxa"/>
            <w:vMerge/>
            <w:vAlign w:val="center"/>
          </w:tcPr>
          <w:p w14:paraId="45777A9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13A79F6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GTTCTGAGGCTGTCTGCTTGGAG</w:t>
            </w:r>
          </w:p>
        </w:tc>
      </w:tr>
      <w:tr w:rsidR="00E445E9" w14:paraId="235D1AB5" w14:textId="77777777" w:rsidTr="00210381">
        <w:tc>
          <w:tcPr>
            <w:tcW w:w="2100" w:type="dxa"/>
            <w:vMerge w:val="restart"/>
            <w:vAlign w:val="center"/>
          </w:tcPr>
          <w:p w14:paraId="692BD32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Mouse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Foxq1</w:t>
            </w:r>
          </w:p>
          <w:p w14:paraId="5151454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35DABBA3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GGCGGAGATCAACGAGTACC</w:t>
            </w:r>
          </w:p>
        </w:tc>
      </w:tr>
      <w:tr w:rsidR="00E445E9" w14:paraId="5AF5DFDD" w14:textId="77777777" w:rsidTr="00210381">
        <w:tc>
          <w:tcPr>
            <w:tcW w:w="2100" w:type="dxa"/>
            <w:vMerge/>
            <w:vAlign w:val="center"/>
          </w:tcPr>
          <w:p w14:paraId="45D657F6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4AF959C6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GTACTCGCTGTTGGGGTTGA</w:t>
            </w:r>
          </w:p>
        </w:tc>
      </w:tr>
      <w:tr w:rsidR="00E445E9" w14:paraId="43EA619F" w14:textId="77777777" w:rsidTr="00210381">
        <w:tc>
          <w:tcPr>
            <w:tcW w:w="2100" w:type="dxa"/>
            <w:vMerge w:val="restart"/>
            <w:vAlign w:val="center"/>
          </w:tcPr>
          <w:p w14:paraId="259A007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Human 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>RPS6KB2</w:t>
            </w:r>
          </w:p>
          <w:p w14:paraId="200FE31E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1C88B73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GCGGCCTGTGGGACACTA</w:t>
            </w:r>
          </w:p>
        </w:tc>
      </w:tr>
      <w:tr w:rsidR="00E445E9" w14:paraId="0E47D957" w14:textId="77777777" w:rsidTr="00210381">
        <w:tc>
          <w:tcPr>
            <w:tcW w:w="2100" w:type="dxa"/>
            <w:vMerge/>
            <w:vAlign w:val="center"/>
          </w:tcPr>
          <w:p w14:paraId="11AFEF06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25717FF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GTTGGTGCCTTGCACCTTTC</w:t>
            </w:r>
          </w:p>
        </w:tc>
      </w:tr>
      <w:tr w:rsidR="00E445E9" w14:paraId="4C6E1A37" w14:textId="77777777" w:rsidTr="00210381">
        <w:tc>
          <w:tcPr>
            <w:tcW w:w="2100" w:type="dxa"/>
            <w:vMerge w:val="restart"/>
            <w:vAlign w:val="center"/>
          </w:tcPr>
          <w:p w14:paraId="75699C9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Human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 xml:space="preserve"> PPP2R5B</w:t>
            </w:r>
          </w:p>
          <w:p w14:paraId="6FA86F3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2BBEA93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CCCAGTGTGGGGTGATGTTT</w:t>
            </w:r>
          </w:p>
        </w:tc>
      </w:tr>
      <w:tr w:rsidR="00E445E9" w14:paraId="6AA370DC" w14:textId="77777777" w:rsidTr="00210381">
        <w:tc>
          <w:tcPr>
            <w:tcW w:w="2100" w:type="dxa"/>
            <w:vMerge/>
            <w:vAlign w:val="center"/>
          </w:tcPr>
          <w:p w14:paraId="36F08028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43713FA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TCATGCGGATGATGTCTGGG</w:t>
            </w:r>
          </w:p>
        </w:tc>
      </w:tr>
      <w:tr w:rsidR="00E445E9" w14:paraId="65F049D4" w14:textId="77777777" w:rsidTr="00210381">
        <w:tc>
          <w:tcPr>
            <w:tcW w:w="2100" w:type="dxa"/>
            <w:vMerge w:val="restart"/>
            <w:vAlign w:val="center"/>
          </w:tcPr>
          <w:p w14:paraId="1B2D928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Human 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>NR1 H2</w:t>
            </w:r>
          </w:p>
          <w:p w14:paraId="3E5BCA8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62760D7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CAGAGCGCAAGCGAAAGAAG</w:t>
            </w:r>
          </w:p>
        </w:tc>
      </w:tr>
      <w:tr w:rsidR="00E445E9" w14:paraId="4D2A46E3" w14:textId="77777777" w:rsidTr="00210381">
        <w:tc>
          <w:tcPr>
            <w:tcW w:w="2100" w:type="dxa"/>
            <w:vMerge/>
            <w:vAlign w:val="center"/>
          </w:tcPr>
          <w:p w14:paraId="4E4D268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00CCD594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GCTGAGCACGTTGTAGTGGA</w:t>
            </w:r>
          </w:p>
        </w:tc>
      </w:tr>
      <w:tr w:rsidR="00E445E9" w14:paraId="5A44C78A" w14:textId="77777777" w:rsidTr="00210381">
        <w:tc>
          <w:tcPr>
            <w:tcW w:w="2100" w:type="dxa"/>
            <w:vMerge w:val="restart"/>
            <w:vAlign w:val="center"/>
          </w:tcPr>
          <w:p w14:paraId="69EE4E2D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lastRenderedPageBreak/>
              <w:t xml:space="preserve">Human 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>FOXQ1</w:t>
            </w:r>
          </w:p>
          <w:p w14:paraId="763A063C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2B0E2F99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GGCGGAGATCAACGAGTACC</w:t>
            </w:r>
          </w:p>
        </w:tc>
      </w:tr>
      <w:tr w:rsidR="00E445E9" w14:paraId="3C0EEC9D" w14:textId="77777777" w:rsidTr="00210381">
        <w:tc>
          <w:tcPr>
            <w:tcW w:w="2100" w:type="dxa"/>
            <w:vMerge/>
            <w:vAlign w:val="center"/>
          </w:tcPr>
          <w:p w14:paraId="1BA7D380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10698B3A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GTACTCGCTGTTGGGGTTGA</w:t>
            </w:r>
          </w:p>
        </w:tc>
      </w:tr>
      <w:tr w:rsidR="00E445E9" w14:paraId="4FB2F5DE" w14:textId="77777777" w:rsidTr="00210381">
        <w:tc>
          <w:tcPr>
            <w:tcW w:w="2100" w:type="dxa"/>
            <w:vMerge w:val="restart"/>
            <w:vAlign w:val="center"/>
          </w:tcPr>
          <w:p w14:paraId="239813E3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 xml:space="preserve">Human </w:t>
            </w:r>
            <w:r>
              <w:rPr>
                <w:rFonts w:ascii="Times New Roman Regular" w:hAnsi="Times New Roman Regular" w:cs="Times New Roman Regular"/>
                <w:i/>
                <w:sz w:val="21"/>
              </w:rPr>
              <w:t>IGFBP5</w:t>
            </w:r>
          </w:p>
        </w:tc>
        <w:tc>
          <w:tcPr>
            <w:tcW w:w="6405" w:type="dxa"/>
            <w:vAlign w:val="center"/>
          </w:tcPr>
          <w:p w14:paraId="1C3F9E9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AACGAAAAGAGCTACCGCGA</w:t>
            </w:r>
          </w:p>
        </w:tc>
      </w:tr>
      <w:tr w:rsidR="00E445E9" w14:paraId="16B3D39C" w14:textId="77777777" w:rsidTr="00210381">
        <w:tc>
          <w:tcPr>
            <w:tcW w:w="2100" w:type="dxa"/>
            <w:vMerge/>
            <w:vAlign w:val="center"/>
          </w:tcPr>
          <w:p w14:paraId="1F8F33A5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53BD0D4B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CCGACAAACTTGGACTGGGT</w:t>
            </w:r>
          </w:p>
        </w:tc>
      </w:tr>
      <w:tr w:rsidR="00E445E9" w14:paraId="6766358F" w14:textId="77777777" w:rsidTr="00210381">
        <w:tc>
          <w:tcPr>
            <w:tcW w:w="2100" w:type="dxa"/>
            <w:vMerge w:val="restart"/>
            <w:vAlign w:val="center"/>
          </w:tcPr>
          <w:p w14:paraId="0BC9C797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</w:rPr>
              <w:t>Mouse</w:t>
            </w:r>
            <w:r>
              <w:rPr>
                <w:rFonts w:ascii="Times New Roman Regular" w:hAnsi="Times New Roman Regular" w:cs="Times New Roman Regular"/>
                <w:sz w:val="21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Nd1</w:t>
            </w:r>
          </w:p>
        </w:tc>
        <w:tc>
          <w:tcPr>
            <w:tcW w:w="6405" w:type="dxa"/>
            <w:vAlign w:val="center"/>
          </w:tcPr>
          <w:p w14:paraId="56FA9D0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CCCTAAAACCCGCCACATCT</w:t>
            </w:r>
          </w:p>
        </w:tc>
      </w:tr>
      <w:tr w:rsidR="00E445E9" w14:paraId="38B181A7" w14:textId="77777777" w:rsidTr="00210381">
        <w:tc>
          <w:tcPr>
            <w:tcW w:w="2100" w:type="dxa"/>
            <w:vMerge/>
            <w:vAlign w:val="center"/>
          </w:tcPr>
          <w:p w14:paraId="57219500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3E5E09FA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GAGCGATGGTGAGAGCTAAGGT</w:t>
            </w:r>
          </w:p>
        </w:tc>
      </w:tr>
      <w:tr w:rsidR="00E445E9" w14:paraId="044489C4" w14:textId="77777777" w:rsidTr="00210381">
        <w:tc>
          <w:tcPr>
            <w:tcW w:w="2100" w:type="dxa"/>
            <w:vMerge w:val="restart"/>
            <w:vAlign w:val="center"/>
          </w:tcPr>
          <w:p w14:paraId="0CC7C89A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</w:rPr>
              <w:t>Mouse</w:t>
            </w:r>
            <w:r>
              <w:rPr>
                <w:rFonts w:ascii="Times New Roman Regular" w:hAnsi="Times New Roman Regular" w:cs="Times New Roman Regular"/>
                <w:sz w:val="21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i/>
                <w:iCs/>
                <w:sz w:val="21"/>
              </w:rPr>
              <w:t>β-globin</w:t>
            </w:r>
          </w:p>
        </w:tc>
        <w:tc>
          <w:tcPr>
            <w:tcW w:w="6405" w:type="dxa"/>
            <w:vAlign w:val="center"/>
          </w:tcPr>
          <w:p w14:paraId="676762C2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F: AAAGGTGCCCTTGAGGTTGTC</w:t>
            </w:r>
          </w:p>
        </w:tc>
      </w:tr>
      <w:tr w:rsidR="00E445E9" w14:paraId="0CEC8C83" w14:textId="77777777" w:rsidTr="00210381">
        <w:tc>
          <w:tcPr>
            <w:tcW w:w="2100" w:type="dxa"/>
            <w:vMerge/>
            <w:vAlign w:val="center"/>
          </w:tcPr>
          <w:p w14:paraId="5465DD26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</w:p>
        </w:tc>
        <w:tc>
          <w:tcPr>
            <w:tcW w:w="6405" w:type="dxa"/>
            <w:vAlign w:val="center"/>
          </w:tcPr>
          <w:p w14:paraId="62E1D671" w14:textId="77777777" w:rsidR="00E445E9" w:rsidRDefault="00E445E9" w:rsidP="00210381">
            <w:pPr>
              <w:spacing w:line="480" w:lineRule="auto"/>
              <w:rPr>
                <w:rFonts w:ascii="Times New Roman Regular" w:hAnsi="Times New Roman Regular" w:cs="Times New Roman Regular"/>
                <w:sz w:val="21"/>
              </w:rPr>
            </w:pPr>
            <w:r>
              <w:rPr>
                <w:rFonts w:ascii="Times New Roman Regular" w:hAnsi="Times New Roman Regular" w:cs="Times New Roman Regular"/>
                <w:sz w:val="21"/>
              </w:rPr>
              <w:t>R: TGAAGGCTCATGGCAAGAAA</w:t>
            </w:r>
          </w:p>
        </w:tc>
      </w:tr>
    </w:tbl>
    <w:p w14:paraId="69D740CC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</w:pPr>
    </w:p>
    <w:p w14:paraId="01DDCFB1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</w:pPr>
      <w:r>
        <w:rPr>
          <w:rFonts w:hint="eastAsia"/>
        </w:rPr>
        <w:t>Expanded View Figure legends</w:t>
      </w:r>
    </w:p>
    <w:p w14:paraId="35757D43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  <w:rPr>
          <w:b/>
          <w:bCs/>
        </w:rPr>
      </w:pPr>
      <w:r>
        <w:rPr>
          <w:b/>
          <w:bCs/>
        </w:rPr>
        <w:t xml:space="preserve">Fig. S1. Characteristics of follicular fluid-derived exosomes </w:t>
      </w:r>
    </w:p>
    <w:p w14:paraId="77534383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  <w:rPr>
          <w:b/>
          <w:bCs/>
        </w:rPr>
      </w:pPr>
      <w:r>
        <w:t>(</w:t>
      </w:r>
      <w:r>
        <w:rPr>
          <w:b/>
          <w:bCs/>
        </w:rPr>
        <w:t>A</w:t>
      </w:r>
      <w:r>
        <w:t>) Schematic diagram of the isolation and harvest of follicular fluid-derived exosomes. (</w:t>
      </w:r>
      <w:r>
        <w:rPr>
          <w:b/>
          <w:bCs/>
        </w:rPr>
        <w:t>B</w:t>
      </w:r>
      <w:r>
        <w:t>) A representative TEM image showing typical morphology of Y-exos and O-exos. (</w:t>
      </w:r>
      <w:r>
        <w:rPr>
          <w:b/>
          <w:bCs/>
        </w:rPr>
        <w:t>C</w:t>
      </w:r>
      <w:r>
        <w:t>-</w:t>
      </w:r>
      <w:r>
        <w:rPr>
          <w:b/>
          <w:bCs/>
        </w:rPr>
        <w:t>E</w:t>
      </w:r>
      <w:r>
        <w:t>) NTA was used to determine the size distribution and concentration of Y-exos and O-exos. (</w:t>
      </w:r>
      <w:r>
        <w:rPr>
          <w:b/>
          <w:bCs/>
        </w:rPr>
        <w:t>F</w:t>
      </w:r>
      <w:r>
        <w:t xml:space="preserve">) Follicular fluid-derived exosomes obtained from young (Y-exos) and old women (O-exos) were analyzed by Western blot with antibodies against exosome-specific markers TSG101 and FLOT1. </w:t>
      </w:r>
    </w:p>
    <w:p w14:paraId="5051F711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</w:pPr>
      <w:r>
        <w:rPr>
          <w:b/>
          <w:bCs/>
        </w:rPr>
        <w:t xml:space="preserve">Fig. S2. Y-exos can be internalized by GCs. </w:t>
      </w:r>
      <w:r>
        <w:t>(</w:t>
      </w:r>
      <w:r>
        <w:rPr>
          <w:b/>
          <w:bCs/>
        </w:rPr>
        <w:t>A</w:t>
      </w:r>
      <w:r>
        <w:t>) Identification of mouse ovarian GCs. The Red expressed FSHR, the blue expressed nuclear staining using 4 ', 6-diamino-2-phenylindole (DAPI). Non-specific staining can be observed with PBS instead of primary or secondary antibodies. Scale bar, 100 μm. (</w:t>
      </w:r>
      <w:r>
        <w:rPr>
          <w:b/>
          <w:bCs/>
        </w:rPr>
        <w:t>B</w:t>
      </w:r>
      <w:r>
        <w:t>) Transmission electron microscopic images of Y-exos. (</w:t>
      </w:r>
      <w:r>
        <w:rPr>
          <w:b/>
          <w:bCs/>
        </w:rPr>
        <w:t>C</w:t>
      </w:r>
      <w:r>
        <w:t xml:space="preserve">, </w:t>
      </w:r>
      <w:r>
        <w:rPr>
          <w:b/>
          <w:bCs/>
        </w:rPr>
        <w:t>D</w:t>
      </w:r>
      <w:r>
        <w:t>) NTA was used to determine the size distribution and concentration of Y-exos. (</w:t>
      </w:r>
      <w:r>
        <w:rPr>
          <w:b/>
          <w:bCs/>
        </w:rPr>
        <w:t>E</w:t>
      </w:r>
      <w:r>
        <w:t>) Western blot analysis showing the biomarkers of Y-exos, including TSG101 and FLOT1. (</w:t>
      </w:r>
      <w:r>
        <w:rPr>
          <w:b/>
          <w:bCs/>
        </w:rPr>
        <w:t>F</w:t>
      </w:r>
      <w:r>
        <w:t>) Representative images of Y-exos uptake by old mice derived GCs and (</w:t>
      </w:r>
      <w:r>
        <w:rPr>
          <w:b/>
          <w:bCs/>
        </w:rPr>
        <w:t>G</w:t>
      </w:r>
      <w:r>
        <w:t xml:space="preserve">) </w:t>
      </w:r>
      <w:r>
        <w:lastRenderedPageBreak/>
        <w:t>cumulus oocytes complexes (COCs). Old mice derived GCs and COCs incubated with PKH67 labeled Y-exos for 24h, and uptake of Y-exos was determined by fluorescence microscopy. Scale bar, 100 μm.</w:t>
      </w:r>
    </w:p>
    <w:p w14:paraId="73803864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</w:pPr>
      <w:r>
        <w:rPr>
          <w:b/>
        </w:rPr>
        <w:t xml:space="preserve">Fig. S3. Effects of follicular fluid derived exosomes from young mice on the ovaries of aged mice. </w:t>
      </w:r>
      <w:r>
        <w:t>(</w:t>
      </w:r>
      <w:r>
        <w:rPr>
          <w:b/>
          <w:bCs/>
        </w:rPr>
        <w:t>A</w:t>
      </w:r>
      <w:r>
        <w:t>) Representative ovarian histology images and distribution of different stages of follicles with or without Y-exos. Scale bar, 100 μm. *P&lt;0.05, **P&lt;0.01, ****P&lt;0.0001. (</w:t>
      </w:r>
      <w:r>
        <w:rPr>
          <w:b/>
          <w:bCs/>
        </w:rPr>
        <w:t>B</w:t>
      </w:r>
      <w:r>
        <w:t>) Representative images of TUNEL assays on paraffin sections of control and Y-exos treated ovary. Scale bar, 50 μm. (</w:t>
      </w:r>
      <w:r>
        <w:rPr>
          <w:b/>
          <w:bCs/>
        </w:rPr>
        <w:t>C</w:t>
      </w:r>
      <w:r>
        <w:t>) Quantification of TUNEL positive cell counts in control and Y-exos treated ovary. *P&lt;0.05, n=5. (</w:t>
      </w:r>
      <w:r>
        <w:rPr>
          <w:b/>
          <w:bCs/>
        </w:rPr>
        <w:t>D</w:t>
      </w:r>
      <w:r>
        <w:t>) Relative expression of aging-related signaling molecules, (</w:t>
      </w:r>
      <w:r>
        <w:rPr>
          <w:b/>
          <w:bCs/>
        </w:rPr>
        <w:t>E</w:t>
      </w:r>
      <w:r>
        <w:t>) and telomerase-related genes in ovaries of each group. (</w:t>
      </w:r>
      <w:r>
        <w:rPr>
          <w:b/>
          <w:bCs/>
        </w:rPr>
        <w:t>F</w:t>
      </w:r>
      <w:r>
        <w:t>) Representative electron microscopy images of granulosa cells with or without Y-exos. (</w:t>
      </w:r>
      <w:r>
        <w:rPr>
          <w:b/>
          <w:bCs/>
        </w:rPr>
        <w:t>G</w:t>
      </w:r>
      <w:r>
        <w:t>) The mitochondrial density in two groups. (</w:t>
      </w:r>
      <w:r>
        <w:rPr>
          <w:b/>
          <w:bCs/>
        </w:rPr>
        <w:t>H</w:t>
      </w:r>
      <w:r>
        <w:t>) Abnormal mitochondrial number rates, (</w:t>
      </w:r>
      <w:r>
        <w:rPr>
          <w:b/>
          <w:bCs/>
        </w:rPr>
        <w:t>I</w:t>
      </w:r>
      <w:r>
        <w:t>) and lipid drops number from control and Y-exos treatment groups. *P&lt;0.05. (</w:t>
      </w:r>
      <w:r>
        <w:rPr>
          <w:b/>
          <w:bCs/>
        </w:rPr>
        <w:t>J</w:t>
      </w:r>
      <w:r>
        <w:t>) Representative image and the ratio of red/green fluorescence intensity of granulosa cells mitochondrial membrane potential (ΔΨm) shown by JC-1 staining between control and Y-exos treatment groups. Red represents higher ΔΨm, green represents lower ΔΨm. Scale bar, 100 μm. (</w:t>
      </w:r>
      <w:r>
        <w:rPr>
          <w:b/>
          <w:bCs/>
        </w:rPr>
        <w:t>K</w:t>
      </w:r>
      <w:r>
        <w:t>) Relative ATP content in granulosa cells from control and Y-exos treatment groups. **</w:t>
      </w:r>
      <w:r>
        <w:rPr>
          <w:i/>
          <w:iCs/>
        </w:rPr>
        <w:t>P</w:t>
      </w:r>
      <w:r>
        <w:t>&lt;0.01. (</w:t>
      </w:r>
      <w:r>
        <w:rPr>
          <w:b/>
          <w:bCs/>
        </w:rPr>
        <w:t>L</w:t>
      </w:r>
      <w:r>
        <w:t xml:space="preserve">) Relative expression of cell mtDNA in granulosa cells between two groups.  </w:t>
      </w:r>
    </w:p>
    <w:p w14:paraId="19003FC7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  <w:rPr>
          <w:b/>
          <w:bCs/>
        </w:rPr>
      </w:pPr>
      <w:r>
        <w:rPr>
          <w:b/>
        </w:rPr>
        <w:t xml:space="preserve">Fig. S4. miR-320a-3p directly binds to FOXQ1 to regulate GCs proliferation. </w:t>
      </w:r>
      <w:r>
        <w:t>(</w:t>
      </w:r>
      <w:r>
        <w:rPr>
          <w:b/>
          <w:bCs/>
        </w:rPr>
        <w:t>A</w:t>
      </w:r>
      <w:r>
        <w:t>) RPS6KB2, PPP2R5B, NR1H2 and IGFBP5 mRNA quantitation by RT-qPCR in COV434 cells line after transfection with miR-320a-3p mimics, inhibitor or control. *P&lt;0.05, **P&lt;0.01, ***P&lt;0.001, ****P&lt;0.0001. (</w:t>
      </w:r>
      <w:r>
        <w:rPr>
          <w:b/>
          <w:bCs/>
        </w:rPr>
        <w:t>B</w:t>
      </w:r>
      <w:r>
        <w:t>) Schematic representation of putative miR-</w:t>
      </w:r>
      <w:r>
        <w:lastRenderedPageBreak/>
        <w:t>320a-3p bin</w:t>
      </w:r>
      <w:r>
        <w:rPr>
          <w:rFonts w:hint="eastAsia"/>
        </w:rPr>
        <w:t>ding sites on 3′UTR of PPP2R5B in human, mouse and rat. (</w:t>
      </w:r>
      <w:r>
        <w:rPr>
          <w:rFonts w:hint="eastAsia"/>
          <w:b/>
          <w:bCs/>
        </w:rPr>
        <w:t>C</w:t>
      </w:r>
      <w:r>
        <w:rPr>
          <w:rFonts w:hint="eastAsia"/>
        </w:rPr>
        <w:t>) COV434 cells line transfected with wild-type or mutated PPP2R5B 3′UTR luciferase constructs and control mimic or miR-320a-3p mimics. ****P&lt;0.0001. (</w:t>
      </w:r>
      <w:r>
        <w:rPr>
          <w:rFonts w:hint="eastAsia"/>
          <w:b/>
          <w:bCs/>
        </w:rPr>
        <w:t>D</w:t>
      </w:r>
      <w:r>
        <w:rPr>
          <w:rFonts w:hint="eastAsia"/>
        </w:rPr>
        <w:t>) Schematic representation of putative miR-320a-3p binding sites on 3′UTR of IGFBP5 in human, chimp and rhesus. (</w:t>
      </w:r>
      <w:r>
        <w:rPr>
          <w:rFonts w:hint="eastAsia"/>
          <w:b/>
          <w:bCs/>
        </w:rPr>
        <w:t>E</w:t>
      </w:r>
      <w:r>
        <w:rPr>
          <w:rFonts w:hint="eastAsia"/>
        </w:rPr>
        <w:t>) COV434 cells line transfected with wild-type or mutated IGFBP5 3′UTR luciferase constructs and control mimic or miR-320a-3p mimics. ****</w:t>
      </w:r>
      <w:r>
        <w:rPr>
          <w:rFonts w:hint="eastAsia"/>
          <w:i/>
          <w:iCs/>
        </w:rPr>
        <w:t>P</w:t>
      </w:r>
      <w:r>
        <w:rPr>
          <w:rFonts w:hint="eastAsia"/>
        </w:rPr>
        <w:t>&lt;0.0001.</w:t>
      </w:r>
      <w:r>
        <w:t xml:space="preserve"> </w:t>
      </w:r>
    </w:p>
    <w:p w14:paraId="399B7B0D" w14:textId="77777777" w:rsidR="00E445E9" w:rsidRDefault="00E445E9" w:rsidP="00E445E9">
      <w:pPr>
        <w:pStyle w:val="Acknowledgement"/>
        <w:spacing w:before="0" w:line="480" w:lineRule="auto"/>
        <w:ind w:left="0" w:firstLine="0"/>
        <w:jc w:val="both"/>
      </w:pPr>
      <w:r>
        <w:rPr>
          <w:b/>
        </w:rPr>
        <w:t xml:space="preserve">Fig. S5. Foxq1-siRNA promotes GCs proliferation. </w:t>
      </w:r>
      <w:r>
        <w:t>(</w:t>
      </w:r>
      <w:r>
        <w:rPr>
          <w:b/>
          <w:bCs/>
        </w:rPr>
        <w:t>A</w:t>
      </w:r>
      <w:r>
        <w:t>) RT-qPCR result of Foxq1 levels in cells transfected with control and siRNA. **P&lt;0.01. (</w:t>
      </w:r>
      <w:r>
        <w:rPr>
          <w:b/>
          <w:bCs/>
        </w:rPr>
        <w:t>B</w:t>
      </w:r>
      <w:r>
        <w:t>) Western blot of FOXQ1 in cells transfected with control and siRNA. (</w:t>
      </w:r>
      <w:r>
        <w:rPr>
          <w:b/>
          <w:bCs/>
        </w:rPr>
        <w:t>C</w:t>
      </w:r>
      <w:r>
        <w:t>) Cell viability analyzed by CCK8 assay in control and Foxq1-siRNA. (</w:t>
      </w:r>
      <w:r>
        <w:rPr>
          <w:b/>
          <w:bCs/>
        </w:rPr>
        <w:t>D</w:t>
      </w:r>
      <w:r>
        <w:t>) Apoptotic rate of aged mice derived GCs was determined by flow cytometry. (</w:t>
      </w:r>
      <w:r>
        <w:rPr>
          <w:b/>
          <w:bCs/>
        </w:rPr>
        <w:t>E</w:t>
      </w:r>
      <w:r>
        <w:t>) Cleaved CASPASE-3, Cleaved CASPASE-9, BAX, and BCL2 protein expression were analyzed by Western blot. (</w:t>
      </w:r>
      <w:r>
        <w:rPr>
          <w:b/>
          <w:bCs/>
        </w:rPr>
        <w:t>F</w:t>
      </w:r>
      <w:r>
        <w:t>) ΔΨm assessed by JC-1 staining. Scale bar, 100 μm. (</w:t>
      </w:r>
      <w:r>
        <w:rPr>
          <w:b/>
          <w:bCs/>
        </w:rPr>
        <w:t>G</w:t>
      </w:r>
      <w:r>
        <w:t>) ATP concentration in aged mice derived GCs. *P&lt;0.05. (</w:t>
      </w:r>
      <w:r>
        <w:rPr>
          <w:b/>
          <w:bCs/>
        </w:rPr>
        <w:t>H</w:t>
      </w:r>
      <w:r>
        <w:t>) Relative expression of cell mtDNA. *</w:t>
      </w:r>
      <w:r>
        <w:rPr>
          <w:i/>
          <w:iCs/>
        </w:rPr>
        <w:t>P</w:t>
      </w:r>
      <w:r>
        <w:t>&lt;0.05.</w:t>
      </w:r>
    </w:p>
    <w:p w14:paraId="341D4C26" w14:textId="77777777" w:rsidR="00E445E9" w:rsidRPr="00B32C85" w:rsidRDefault="00E445E9" w:rsidP="002A1981">
      <w:pPr>
        <w:pStyle w:val="Acknowledgement"/>
        <w:spacing w:before="0" w:line="480" w:lineRule="auto"/>
        <w:ind w:hangingChars="300"/>
      </w:pPr>
    </w:p>
    <w:sectPr w:rsidR="00E445E9" w:rsidRPr="00B32C85" w:rsidSect="00015663">
      <w:footerReference w:type="default" r:id="rId8"/>
      <w:footerReference w:type="first" r:id="rId9"/>
      <w:pgSz w:w="12240" w:h="15840"/>
      <w:pgMar w:top="1440" w:right="1800" w:bottom="1440" w:left="1800" w:header="432" w:footer="259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C6CCC" w14:textId="77777777" w:rsidR="001E083D" w:rsidRDefault="001E083D">
      <w:r>
        <w:separator/>
      </w:r>
    </w:p>
  </w:endnote>
  <w:endnote w:type="continuationSeparator" w:id="0">
    <w:p w14:paraId="37A4F917" w14:textId="77777777" w:rsidR="001E083D" w:rsidRDefault="001E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liss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苹方-简"/>
    <w:charset w:val="00"/>
    <w:family w:val="roman"/>
    <w:pitch w:val="default"/>
    <w:sig w:usb0="00000000" w:usb1="00000000" w:usb2="00000000" w:usb3="00000000" w:csb0="00000001" w:csb1="00000000"/>
  </w:font>
  <w:font w:name="BlissBold">
    <w:altName w:val="苹方-简"/>
    <w:charset w:val="00"/>
    <w:family w:val="roman"/>
    <w:pitch w:val="default"/>
    <w:sig w:usb0="00000000" w:usb1="00000000" w:usb2="00000000" w:usb3="00000000" w:csb0="00000001" w:csb1="00000000"/>
  </w:font>
  <w:font w:name="Times New Roman Regular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5502849"/>
    </w:sdtPr>
    <w:sdtEndPr/>
    <w:sdtContent>
      <w:p w14:paraId="4D6919EE" w14:textId="77777777" w:rsidR="000E7215" w:rsidRDefault="001E083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4148F39" w14:textId="77777777" w:rsidR="000E7215" w:rsidRDefault="000E72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90FA" w14:textId="77777777" w:rsidR="000E7215" w:rsidRDefault="001E083D">
    <w:pPr>
      <w:pStyle w:val="Footer"/>
      <w:pBdr>
        <w:top w:val="single" w:sz="4" w:space="1" w:color="auto"/>
      </w:pBdr>
      <w:rPr>
        <w:sz w:val="18"/>
        <w:szCs w:val="18"/>
      </w:rPr>
    </w:pP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37</w:t>
    </w:r>
    <w:r>
      <w:rPr>
        <w:b/>
        <w:bCs/>
        <w:sz w:val="18"/>
        <w:szCs w:val="18"/>
      </w:rPr>
      <w:fldChar w:fldCharType="end"/>
    </w:r>
  </w:p>
  <w:p w14:paraId="445A73C7" w14:textId="77777777" w:rsidR="000E7215" w:rsidRDefault="000E72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39ECE" w14:textId="77777777" w:rsidR="001E083D" w:rsidRDefault="001E083D">
      <w:r>
        <w:separator/>
      </w:r>
    </w:p>
  </w:footnote>
  <w:footnote w:type="continuationSeparator" w:id="0">
    <w:p w14:paraId="0045DA70" w14:textId="77777777" w:rsidR="001E083D" w:rsidRDefault="001E0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528D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64261D"/>
    <w:rsid w:val="FFDFA635"/>
    <w:rsid w:val="00014D96"/>
    <w:rsid w:val="00015663"/>
    <w:rsid w:val="00023F69"/>
    <w:rsid w:val="0003450F"/>
    <w:rsid w:val="0003674A"/>
    <w:rsid w:val="00037583"/>
    <w:rsid w:val="000377D0"/>
    <w:rsid w:val="0004134A"/>
    <w:rsid w:val="00050A43"/>
    <w:rsid w:val="000770A7"/>
    <w:rsid w:val="00092884"/>
    <w:rsid w:val="000B2C20"/>
    <w:rsid w:val="000B7F0C"/>
    <w:rsid w:val="000C2909"/>
    <w:rsid w:val="000D0CE9"/>
    <w:rsid w:val="000D2DCD"/>
    <w:rsid w:val="000D3F41"/>
    <w:rsid w:val="000E27CB"/>
    <w:rsid w:val="000E7215"/>
    <w:rsid w:val="000F2FB8"/>
    <w:rsid w:val="00102A00"/>
    <w:rsid w:val="0010470F"/>
    <w:rsid w:val="00115D71"/>
    <w:rsid w:val="00121D69"/>
    <w:rsid w:val="00125A6E"/>
    <w:rsid w:val="00140B8A"/>
    <w:rsid w:val="001420EF"/>
    <w:rsid w:val="00143D0F"/>
    <w:rsid w:val="00147918"/>
    <w:rsid w:val="00152AB7"/>
    <w:rsid w:val="00157597"/>
    <w:rsid w:val="00161946"/>
    <w:rsid w:val="00161C59"/>
    <w:rsid w:val="001662E0"/>
    <w:rsid w:val="001754D9"/>
    <w:rsid w:val="0017587D"/>
    <w:rsid w:val="00175B3A"/>
    <w:rsid w:val="001B2902"/>
    <w:rsid w:val="001B3B1A"/>
    <w:rsid w:val="001B5133"/>
    <w:rsid w:val="001B5ADA"/>
    <w:rsid w:val="001B658A"/>
    <w:rsid w:val="001C3823"/>
    <w:rsid w:val="001E083D"/>
    <w:rsid w:val="001E351C"/>
    <w:rsid w:val="001E37BC"/>
    <w:rsid w:val="001E7AD7"/>
    <w:rsid w:val="00200465"/>
    <w:rsid w:val="002027EB"/>
    <w:rsid w:val="00202BD8"/>
    <w:rsid w:val="002056A7"/>
    <w:rsid w:val="00221696"/>
    <w:rsid w:val="00222BCB"/>
    <w:rsid w:val="00223F87"/>
    <w:rsid w:val="00224D78"/>
    <w:rsid w:val="0022573C"/>
    <w:rsid w:val="00237B12"/>
    <w:rsid w:val="00244F9B"/>
    <w:rsid w:val="002542CA"/>
    <w:rsid w:val="00254C07"/>
    <w:rsid w:val="00266FB0"/>
    <w:rsid w:val="002762CB"/>
    <w:rsid w:val="00282E2A"/>
    <w:rsid w:val="0029211B"/>
    <w:rsid w:val="002A001D"/>
    <w:rsid w:val="002A1981"/>
    <w:rsid w:val="002A2A6D"/>
    <w:rsid w:val="002A7801"/>
    <w:rsid w:val="002B146A"/>
    <w:rsid w:val="002C2B48"/>
    <w:rsid w:val="002E56C9"/>
    <w:rsid w:val="002F4616"/>
    <w:rsid w:val="003016F2"/>
    <w:rsid w:val="003102F5"/>
    <w:rsid w:val="003140B2"/>
    <w:rsid w:val="00322970"/>
    <w:rsid w:val="0034437F"/>
    <w:rsid w:val="00352C52"/>
    <w:rsid w:val="00364486"/>
    <w:rsid w:val="00377F84"/>
    <w:rsid w:val="003B6753"/>
    <w:rsid w:val="003C2B4F"/>
    <w:rsid w:val="003C63AD"/>
    <w:rsid w:val="003D5249"/>
    <w:rsid w:val="003E5A9F"/>
    <w:rsid w:val="004021D9"/>
    <w:rsid w:val="00402374"/>
    <w:rsid w:val="0041521B"/>
    <w:rsid w:val="00423C6C"/>
    <w:rsid w:val="00453A63"/>
    <w:rsid w:val="00454396"/>
    <w:rsid w:val="00460477"/>
    <w:rsid w:val="00463036"/>
    <w:rsid w:val="00463AA6"/>
    <w:rsid w:val="00467929"/>
    <w:rsid w:val="00482A34"/>
    <w:rsid w:val="00490034"/>
    <w:rsid w:val="00491A0D"/>
    <w:rsid w:val="00491B93"/>
    <w:rsid w:val="004A10BE"/>
    <w:rsid w:val="004A4A54"/>
    <w:rsid w:val="004B1FA6"/>
    <w:rsid w:val="004B382E"/>
    <w:rsid w:val="004C6454"/>
    <w:rsid w:val="004E2887"/>
    <w:rsid w:val="00512F7B"/>
    <w:rsid w:val="00516D77"/>
    <w:rsid w:val="00521BA3"/>
    <w:rsid w:val="00523F3D"/>
    <w:rsid w:val="005341F3"/>
    <w:rsid w:val="00534599"/>
    <w:rsid w:val="00534DAE"/>
    <w:rsid w:val="00534E77"/>
    <w:rsid w:val="00556452"/>
    <w:rsid w:val="005677D3"/>
    <w:rsid w:val="00585E49"/>
    <w:rsid w:val="00587341"/>
    <w:rsid w:val="005B36C0"/>
    <w:rsid w:val="005B3CA4"/>
    <w:rsid w:val="005B3E79"/>
    <w:rsid w:val="005C542E"/>
    <w:rsid w:val="005E7C81"/>
    <w:rsid w:val="005F17C3"/>
    <w:rsid w:val="006038AC"/>
    <w:rsid w:val="00605309"/>
    <w:rsid w:val="00612669"/>
    <w:rsid w:val="00612E0D"/>
    <w:rsid w:val="00633A1E"/>
    <w:rsid w:val="0064261D"/>
    <w:rsid w:val="006569B7"/>
    <w:rsid w:val="00672FB2"/>
    <w:rsid w:val="006772C0"/>
    <w:rsid w:val="00677536"/>
    <w:rsid w:val="0069612A"/>
    <w:rsid w:val="00696D6E"/>
    <w:rsid w:val="006A01E0"/>
    <w:rsid w:val="006B5A5B"/>
    <w:rsid w:val="006B67F2"/>
    <w:rsid w:val="006C116E"/>
    <w:rsid w:val="006C2CB7"/>
    <w:rsid w:val="006E2727"/>
    <w:rsid w:val="006F0785"/>
    <w:rsid w:val="006F445B"/>
    <w:rsid w:val="00706DB5"/>
    <w:rsid w:val="00717ACF"/>
    <w:rsid w:val="007205D2"/>
    <w:rsid w:val="007261A5"/>
    <w:rsid w:val="0072653A"/>
    <w:rsid w:val="00733A24"/>
    <w:rsid w:val="0075480B"/>
    <w:rsid w:val="00755DB0"/>
    <w:rsid w:val="00760717"/>
    <w:rsid w:val="00763EA3"/>
    <w:rsid w:val="007871B0"/>
    <w:rsid w:val="00790685"/>
    <w:rsid w:val="0079462A"/>
    <w:rsid w:val="00795C85"/>
    <w:rsid w:val="007A3CC5"/>
    <w:rsid w:val="007B5E14"/>
    <w:rsid w:val="007C461D"/>
    <w:rsid w:val="007D28B3"/>
    <w:rsid w:val="007E0482"/>
    <w:rsid w:val="007E1FBC"/>
    <w:rsid w:val="007E37B0"/>
    <w:rsid w:val="007F6C41"/>
    <w:rsid w:val="00800B9E"/>
    <w:rsid w:val="00802DDF"/>
    <w:rsid w:val="00811C5F"/>
    <w:rsid w:val="008123B0"/>
    <w:rsid w:val="00814341"/>
    <w:rsid w:val="008170A0"/>
    <w:rsid w:val="00821E7C"/>
    <w:rsid w:val="008279EF"/>
    <w:rsid w:val="00827B98"/>
    <w:rsid w:val="00832E9F"/>
    <w:rsid w:val="00844066"/>
    <w:rsid w:val="00845597"/>
    <w:rsid w:val="00850352"/>
    <w:rsid w:val="008573F1"/>
    <w:rsid w:val="00863890"/>
    <w:rsid w:val="008645E8"/>
    <w:rsid w:val="00865346"/>
    <w:rsid w:val="008707B4"/>
    <w:rsid w:val="00872EC5"/>
    <w:rsid w:val="00873C3E"/>
    <w:rsid w:val="008769B4"/>
    <w:rsid w:val="00887D9C"/>
    <w:rsid w:val="0089343B"/>
    <w:rsid w:val="008A0DFF"/>
    <w:rsid w:val="008A2BA0"/>
    <w:rsid w:val="008B3C35"/>
    <w:rsid w:val="008B601B"/>
    <w:rsid w:val="008C2C20"/>
    <w:rsid w:val="008D061F"/>
    <w:rsid w:val="008D7751"/>
    <w:rsid w:val="008E3647"/>
    <w:rsid w:val="0090405E"/>
    <w:rsid w:val="00912AF5"/>
    <w:rsid w:val="0093615D"/>
    <w:rsid w:val="00943D39"/>
    <w:rsid w:val="00950DEC"/>
    <w:rsid w:val="0096093D"/>
    <w:rsid w:val="009748D2"/>
    <w:rsid w:val="009841BA"/>
    <w:rsid w:val="00986C84"/>
    <w:rsid w:val="009A5D75"/>
    <w:rsid w:val="009A6229"/>
    <w:rsid w:val="009B62CC"/>
    <w:rsid w:val="009C2CB5"/>
    <w:rsid w:val="009D10A3"/>
    <w:rsid w:val="009F09B1"/>
    <w:rsid w:val="00A043A9"/>
    <w:rsid w:val="00A04CD2"/>
    <w:rsid w:val="00A058A2"/>
    <w:rsid w:val="00A06077"/>
    <w:rsid w:val="00A16C38"/>
    <w:rsid w:val="00A240FE"/>
    <w:rsid w:val="00A320EB"/>
    <w:rsid w:val="00A4424B"/>
    <w:rsid w:val="00A53E59"/>
    <w:rsid w:val="00A736FD"/>
    <w:rsid w:val="00A9311D"/>
    <w:rsid w:val="00A96E1E"/>
    <w:rsid w:val="00AA412F"/>
    <w:rsid w:val="00AA50BE"/>
    <w:rsid w:val="00AB2540"/>
    <w:rsid w:val="00AB5717"/>
    <w:rsid w:val="00AB6293"/>
    <w:rsid w:val="00AC1076"/>
    <w:rsid w:val="00AC2069"/>
    <w:rsid w:val="00AC2887"/>
    <w:rsid w:val="00AC364C"/>
    <w:rsid w:val="00AD29F3"/>
    <w:rsid w:val="00AE514C"/>
    <w:rsid w:val="00AE5D5A"/>
    <w:rsid w:val="00AE6F15"/>
    <w:rsid w:val="00AF6017"/>
    <w:rsid w:val="00B151F8"/>
    <w:rsid w:val="00B15C78"/>
    <w:rsid w:val="00B24E37"/>
    <w:rsid w:val="00B32C85"/>
    <w:rsid w:val="00B33C12"/>
    <w:rsid w:val="00B3405F"/>
    <w:rsid w:val="00B36EBC"/>
    <w:rsid w:val="00B43C16"/>
    <w:rsid w:val="00B50A8A"/>
    <w:rsid w:val="00B547A9"/>
    <w:rsid w:val="00B61D89"/>
    <w:rsid w:val="00B72807"/>
    <w:rsid w:val="00B803C7"/>
    <w:rsid w:val="00B80428"/>
    <w:rsid w:val="00B9057C"/>
    <w:rsid w:val="00B944CA"/>
    <w:rsid w:val="00B949F9"/>
    <w:rsid w:val="00BA203B"/>
    <w:rsid w:val="00BB0C83"/>
    <w:rsid w:val="00BB2B3C"/>
    <w:rsid w:val="00BB5A77"/>
    <w:rsid w:val="00BC44A1"/>
    <w:rsid w:val="00BD7B6D"/>
    <w:rsid w:val="00BF179F"/>
    <w:rsid w:val="00C00F10"/>
    <w:rsid w:val="00C022BD"/>
    <w:rsid w:val="00C0297A"/>
    <w:rsid w:val="00C24E70"/>
    <w:rsid w:val="00C305C5"/>
    <w:rsid w:val="00C47569"/>
    <w:rsid w:val="00C763DB"/>
    <w:rsid w:val="00C7690F"/>
    <w:rsid w:val="00C82FE2"/>
    <w:rsid w:val="00C85127"/>
    <w:rsid w:val="00C917E9"/>
    <w:rsid w:val="00CA1C61"/>
    <w:rsid w:val="00CA6957"/>
    <w:rsid w:val="00CB31D5"/>
    <w:rsid w:val="00CB6904"/>
    <w:rsid w:val="00CC0242"/>
    <w:rsid w:val="00CC059C"/>
    <w:rsid w:val="00CC4248"/>
    <w:rsid w:val="00CC7EB4"/>
    <w:rsid w:val="00CD14EA"/>
    <w:rsid w:val="00CE29DE"/>
    <w:rsid w:val="00CE3B9E"/>
    <w:rsid w:val="00CE6AA7"/>
    <w:rsid w:val="00D258E3"/>
    <w:rsid w:val="00D57045"/>
    <w:rsid w:val="00D57978"/>
    <w:rsid w:val="00D72C37"/>
    <w:rsid w:val="00D913D9"/>
    <w:rsid w:val="00D92A65"/>
    <w:rsid w:val="00DA2845"/>
    <w:rsid w:val="00DA3D19"/>
    <w:rsid w:val="00DB1A2B"/>
    <w:rsid w:val="00DD5053"/>
    <w:rsid w:val="00DD6F03"/>
    <w:rsid w:val="00DE77F7"/>
    <w:rsid w:val="00DF155B"/>
    <w:rsid w:val="00DF2EEA"/>
    <w:rsid w:val="00DF767A"/>
    <w:rsid w:val="00E030A6"/>
    <w:rsid w:val="00E03C99"/>
    <w:rsid w:val="00E046B8"/>
    <w:rsid w:val="00E158CC"/>
    <w:rsid w:val="00E15BF1"/>
    <w:rsid w:val="00E241BD"/>
    <w:rsid w:val="00E27839"/>
    <w:rsid w:val="00E445E9"/>
    <w:rsid w:val="00E54027"/>
    <w:rsid w:val="00E54DDF"/>
    <w:rsid w:val="00E61B85"/>
    <w:rsid w:val="00E76322"/>
    <w:rsid w:val="00E81909"/>
    <w:rsid w:val="00E81A31"/>
    <w:rsid w:val="00E849CB"/>
    <w:rsid w:val="00E867E1"/>
    <w:rsid w:val="00E86ECC"/>
    <w:rsid w:val="00E87F9C"/>
    <w:rsid w:val="00E91D2B"/>
    <w:rsid w:val="00E94EB6"/>
    <w:rsid w:val="00EA75EC"/>
    <w:rsid w:val="00EB3AC7"/>
    <w:rsid w:val="00EB6D47"/>
    <w:rsid w:val="00EC3451"/>
    <w:rsid w:val="00EC5A6C"/>
    <w:rsid w:val="00EC6675"/>
    <w:rsid w:val="00ED3846"/>
    <w:rsid w:val="00ED3CC6"/>
    <w:rsid w:val="00EE3ACF"/>
    <w:rsid w:val="00EE6549"/>
    <w:rsid w:val="00EF2FAA"/>
    <w:rsid w:val="00F00E9D"/>
    <w:rsid w:val="00F01E4D"/>
    <w:rsid w:val="00F02265"/>
    <w:rsid w:val="00F04C7D"/>
    <w:rsid w:val="00F07817"/>
    <w:rsid w:val="00F17AC3"/>
    <w:rsid w:val="00F40AF5"/>
    <w:rsid w:val="00F62276"/>
    <w:rsid w:val="00F62B91"/>
    <w:rsid w:val="00FA6774"/>
    <w:rsid w:val="00FB1FCC"/>
    <w:rsid w:val="00FB460E"/>
    <w:rsid w:val="00FC2185"/>
    <w:rsid w:val="00FD003F"/>
    <w:rsid w:val="00FD2696"/>
    <w:rsid w:val="00FD2DE3"/>
    <w:rsid w:val="00FD3DF1"/>
    <w:rsid w:val="00FF5437"/>
    <w:rsid w:val="00FF7629"/>
    <w:rsid w:val="00FF7ACC"/>
    <w:rsid w:val="115E8A38"/>
    <w:rsid w:val="1AE4AC1F"/>
    <w:rsid w:val="248B06E3"/>
    <w:rsid w:val="48B42113"/>
    <w:rsid w:val="54CC6714"/>
    <w:rsid w:val="573F0558"/>
    <w:rsid w:val="65300463"/>
    <w:rsid w:val="7F51A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52D2EB"/>
  <w15:docId w15:val="{C0EE4816-F03F-4374-9923-4F0FD38F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iPriority="0" w:qFormat="1"/>
    <w:lsdException w:name="line number" w:uiPriority="0" w:qFormat="1"/>
    <w:lsdException w:name="page number" w:uiPriority="0" w:qFormat="1"/>
    <w:lsdException w:name="endnote reference" w:semiHidden="1" w:uiPriority="0" w:qFormat="1"/>
    <w:lsdException w:name="endnote text" w:semiHidden="1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uiPriority="0" w:qFormat="1"/>
    <w:lsdException w:name="HTML Address" w:semiHidden="1" w:unhideWhenUsed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Preformatted" w:uiPriority="0" w:qFormat="1"/>
    <w:lsdException w:name="HTML Sample" w:uiPriority="0" w:qFormat="1"/>
    <w:lsdException w:name="HTML Typewriter" w:uiPriority="0" w:qFormat="1"/>
    <w:lsdException w:name="HTML Variable" w:uiPriority="0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qFormat/>
    <w:rPr>
      <w:rFonts w:eastAsia="Times New Roman"/>
    </w:rPr>
  </w:style>
  <w:style w:type="paragraph" w:styleId="EndnoteText">
    <w:name w:val="endnote text"/>
    <w:basedOn w:val="Normal"/>
    <w:link w:val="EndnoteTextChar"/>
    <w:semiHidden/>
    <w:qFormat/>
    <w:rPr>
      <w:rFonts w:ascii="Cambria" w:eastAsia="Cambria" w:hAnsi="Cambria"/>
    </w:rPr>
  </w:style>
  <w:style w:type="paragraph" w:styleId="BalloonText">
    <w:name w:val="Balloon Text"/>
    <w:basedOn w:val="Normal"/>
    <w:link w:val="BalloonTextChar"/>
    <w:semiHidden/>
    <w:qFormat/>
    <w:rPr>
      <w:rFonts w:ascii="Lucida Grande" w:eastAsia="Times New Roman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  <w:rPr>
      <w:rFonts w:eastAsia="Times New Roman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  <w:rPr>
      <w:rFonts w:eastAsia="Times New Roman"/>
    </w:rPr>
  </w:style>
  <w:style w:type="paragraph" w:styleId="HTMLPreformatted">
    <w:name w:val="HTML Preformatted"/>
    <w:basedOn w:val="Normal"/>
    <w:link w:val="HTMLPreformattedChar"/>
    <w:qFormat/>
    <w:rPr>
      <w:rFonts w:ascii="Consolas" w:eastAsia="Times New Roman" w:hAnsi="Consola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qFormat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EndnoteReference">
    <w:name w:val="endnote reference"/>
    <w:semiHidden/>
    <w:qFormat/>
    <w:rPr>
      <w:vertAlign w:val="superscript"/>
    </w:r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qFormat/>
    <w:rPr>
      <w:color w:val="800080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LineNumber">
    <w:name w:val="line number"/>
    <w:basedOn w:val="DefaultParagraphFont"/>
    <w:qFormat/>
  </w:style>
  <w:style w:type="character" w:styleId="HTMLDefinition">
    <w:name w:val="HTML Definition"/>
    <w:qFormat/>
    <w:rPr>
      <w:i/>
      <w:iCs/>
    </w:rPr>
  </w:style>
  <w:style w:type="character" w:styleId="HTMLTypewriter">
    <w:name w:val="HTML Typewriter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qFormat/>
  </w:style>
  <w:style w:type="character" w:styleId="HTMLVariable">
    <w:name w:val="HTML Variable"/>
    <w:qFormat/>
    <w:rPr>
      <w:i/>
      <w:iCs/>
    </w:rPr>
  </w:style>
  <w:style w:type="character" w:styleId="Hyperlink">
    <w:name w:val="Hyperlink"/>
    <w:qFormat/>
    <w:rPr>
      <w:color w:val="0000FF"/>
      <w:u w:val="single"/>
    </w:rPr>
  </w:style>
  <w:style w:type="character" w:styleId="HTMLCode">
    <w:name w:val="HTML Code"/>
    <w:qFormat/>
    <w:rPr>
      <w:rFonts w:ascii="Courier New" w:hAnsi="Courier New" w:cs="Courier New"/>
      <w:sz w:val="20"/>
      <w:szCs w:val="20"/>
    </w:rPr>
  </w:style>
  <w:style w:type="character" w:styleId="CommentReference">
    <w:name w:val="annotation reference"/>
    <w:qFormat/>
    <w:rPr>
      <w:sz w:val="18"/>
      <w:szCs w:val="18"/>
    </w:rPr>
  </w:style>
  <w:style w:type="character" w:styleId="HTMLCite">
    <w:name w:val="HTML Cite"/>
    <w:qFormat/>
    <w:rPr>
      <w:i/>
      <w:iCs/>
    </w:rPr>
  </w:style>
  <w:style w:type="character" w:styleId="FootnoteReference">
    <w:name w:val="footnote reference"/>
    <w:semiHidden/>
    <w:qFormat/>
    <w:rPr>
      <w:vertAlign w:val="superscript"/>
    </w:rPr>
  </w:style>
  <w:style w:type="character" w:styleId="HTMLKeyboard">
    <w:name w:val="HTML Keyboard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qFormat/>
    <w:rPr>
      <w:rFonts w:ascii="Courier New" w:hAnsi="Courier New" w:cs="Courier New"/>
    </w:rPr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qFormat/>
  </w:style>
  <w:style w:type="paragraph" w:customStyle="1" w:styleId="BaseHeading">
    <w:name w:val="Base_Heading"/>
    <w:qFormat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qFormat/>
  </w:style>
  <w:style w:type="paragraph" w:customStyle="1" w:styleId="AbstractSummary">
    <w:name w:val="Abstract/Summary"/>
    <w:basedOn w:val="BaseText"/>
    <w:qFormat/>
  </w:style>
  <w:style w:type="paragraph" w:customStyle="1" w:styleId="Referencesandnotes">
    <w:name w:val="References and notes"/>
    <w:basedOn w:val="BaseText"/>
    <w:qFormat/>
    <w:pPr>
      <w:ind w:left="720" w:hanging="720"/>
    </w:pPr>
  </w:style>
  <w:style w:type="paragraph" w:customStyle="1" w:styleId="Acknowledgement">
    <w:name w:val="Acknowledgement"/>
    <w:basedOn w:val="Referencesandnotes"/>
    <w:qFormat/>
  </w:style>
  <w:style w:type="paragraph" w:customStyle="1" w:styleId="Subhead">
    <w:name w:val="Subhead"/>
    <w:basedOn w:val="BaseHeading"/>
    <w:qFormat/>
    <w:rPr>
      <w:b/>
      <w:bCs/>
      <w:sz w:val="24"/>
      <w:szCs w:val="24"/>
    </w:rPr>
  </w:style>
  <w:style w:type="paragraph" w:customStyle="1" w:styleId="AppendixHead">
    <w:name w:val="AppendixHead"/>
    <w:basedOn w:val="Subhead"/>
    <w:qFormat/>
  </w:style>
  <w:style w:type="paragraph" w:customStyle="1" w:styleId="AppendixSubhead">
    <w:name w:val="AppendixSubhead"/>
    <w:basedOn w:val="Subhead"/>
    <w:qFormat/>
  </w:style>
  <w:style w:type="paragraph" w:customStyle="1" w:styleId="Articletype">
    <w:name w:val="Article type"/>
    <w:basedOn w:val="BaseText"/>
    <w:qFormat/>
  </w:style>
  <w:style w:type="character" w:customStyle="1" w:styleId="aubase">
    <w:name w:val="au_base"/>
    <w:qFormat/>
    <w:rPr>
      <w:sz w:val="24"/>
    </w:rPr>
  </w:style>
  <w:style w:type="character" w:customStyle="1" w:styleId="aucollab">
    <w:name w:val="au_collab"/>
    <w:qFormat/>
    <w:rPr>
      <w:sz w:val="24"/>
      <w:shd w:val="clear" w:color="auto" w:fill="C0C0C0"/>
    </w:rPr>
  </w:style>
  <w:style w:type="character" w:customStyle="1" w:styleId="audeg">
    <w:name w:val="au_deg"/>
    <w:qFormat/>
    <w:rPr>
      <w:sz w:val="24"/>
      <w:shd w:val="clear" w:color="auto" w:fill="FFFF00"/>
    </w:rPr>
  </w:style>
  <w:style w:type="character" w:customStyle="1" w:styleId="aufname">
    <w:name w:val="au_fname"/>
    <w:qFormat/>
    <w:rPr>
      <w:sz w:val="24"/>
      <w:shd w:val="clear" w:color="auto" w:fill="00FFFF"/>
    </w:rPr>
  </w:style>
  <w:style w:type="character" w:customStyle="1" w:styleId="aurole">
    <w:name w:val="au_role"/>
    <w:qFormat/>
    <w:rPr>
      <w:sz w:val="24"/>
      <w:shd w:val="clear" w:color="auto" w:fill="808000"/>
    </w:rPr>
  </w:style>
  <w:style w:type="character" w:customStyle="1" w:styleId="ausuffix">
    <w:name w:val="au_suffix"/>
    <w:qFormat/>
    <w:rPr>
      <w:sz w:val="24"/>
      <w:shd w:val="clear" w:color="auto" w:fill="FF00FF"/>
    </w:rPr>
  </w:style>
  <w:style w:type="character" w:customStyle="1" w:styleId="ausurname">
    <w:name w:val="au_surname"/>
    <w:qFormat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qFormat/>
    <w:pPr>
      <w:spacing w:before="480"/>
    </w:pPr>
  </w:style>
  <w:style w:type="paragraph" w:customStyle="1" w:styleId="Footnote">
    <w:name w:val="Footnote"/>
    <w:basedOn w:val="BaseText"/>
    <w:qFormat/>
  </w:style>
  <w:style w:type="paragraph" w:customStyle="1" w:styleId="AuthorFootnote">
    <w:name w:val="AuthorFootnote"/>
    <w:basedOn w:val="Footnote"/>
    <w:qFormat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qFormat/>
    <w:pPr>
      <w:spacing w:after="360"/>
      <w:jc w:val="center"/>
    </w:pPr>
  </w:style>
  <w:style w:type="character" w:customStyle="1" w:styleId="BalloonTextChar">
    <w:name w:val="Balloon Text Char"/>
    <w:link w:val="BalloonText"/>
    <w:semiHidden/>
    <w:qFormat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qFormat/>
    <w:rPr>
      <w:sz w:val="24"/>
      <w:shd w:val="clear" w:color="auto" w:fill="00FFFF"/>
    </w:rPr>
  </w:style>
  <w:style w:type="character" w:customStyle="1" w:styleId="bibbase">
    <w:name w:val="bib_base"/>
    <w:qFormat/>
    <w:rPr>
      <w:sz w:val="24"/>
    </w:rPr>
  </w:style>
  <w:style w:type="character" w:customStyle="1" w:styleId="bibcomment">
    <w:name w:val="bib_comment"/>
    <w:qFormat/>
    <w:rPr>
      <w:sz w:val="24"/>
    </w:rPr>
  </w:style>
  <w:style w:type="character" w:customStyle="1" w:styleId="bibdeg">
    <w:name w:val="bib_deg"/>
    <w:qFormat/>
    <w:rPr>
      <w:sz w:val="24"/>
    </w:rPr>
  </w:style>
  <w:style w:type="character" w:customStyle="1" w:styleId="bibdoi">
    <w:name w:val="bib_doi"/>
    <w:qFormat/>
    <w:rPr>
      <w:sz w:val="24"/>
      <w:shd w:val="clear" w:color="auto" w:fill="00FF00"/>
    </w:rPr>
  </w:style>
  <w:style w:type="character" w:customStyle="1" w:styleId="bibetal">
    <w:name w:val="bib_etal"/>
    <w:qFormat/>
    <w:rPr>
      <w:sz w:val="24"/>
      <w:shd w:val="clear" w:color="auto" w:fill="008080"/>
    </w:rPr>
  </w:style>
  <w:style w:type="character" w:customStyle="1" w:styleId="bibfname">
    <w:name w:val="bib_fname"/>
    <w:qFormat/>
    <w:rPr>
      <w:sz w:val="24"/>
      <w:shd w:val="clear" w:color="auto" w:fill="FFFF00"/>
    </w:rPr>
  </w:style>
  <w:style w:type="character" w:customStyle="1" w:styleId="bibfpage">
    <w:name w:val="bib_fpage"/>
    <w:qFormat/>
    <w:rPr>
      <w:sz w:val="24"/>
      <w:shd w:val="clear" w:color="auto" w:fill="808080"/>
    </w:rPr>
  </w:style>
  <w:style w:type="character" w:customStyle="1" w:styleId="bibissue">
    <w:name w:val="bib_issue"/>
    <w:qFormat/>
    <w:rPr>
      <w:sz w:val="24"/>
      <w:shd w:val="clear" w:color="auto" w:fill="FFFF00"/>
    </w:rPr>
  </w:style>
  <w:style w:type="character" w:customStyle="1" w:styleId="bibjournal">
    <w:name w:val="bib_journal"/>
    <w:qFormat/>
    <w:rPr>
      <w:sz w:val="24"/>
      <w:shd w:val="clear" w:color="auto" w:fill="808000"/>
    </w:rPr>
  </w:style>
  <w:style w:type="character" w:customStyle="1" w:styleId="biblpage">
    <w:name w:val="bib_lpage"/>
    <w:qFormat/>
    <w:rPr>
      <w:sz w:val="24"/>
      <w:shd w:val="clear" w:color="auto" w:fill="808080"/>
    </w:rPr>
  </w:style>
  <w:style w:type="character" w:customStyle="1" w:styleId="bibmedline">
    <w:name w:val="bib_medline"/>
    <w:qFormat/>
    <w:rPr>
      <w:sz w:val="24"/>
    </w:rPr>
  </w:style>
  <w:style w:type="character" w:customStyle="1" w:styleId="bibnumber">
    <w:name w:val="bib_number"/>
    <w:qFormat/>
    <w:rPr>
      <w:sz w:val="24"/>
    </w:rPr>
  </w:style>
  <w:style w:type="character" w:customStyle="1" w:styleId="biborganization">
    <w:name w:val="bib_organization"/>
    <w:qFormat/>
    <w:rPr>
      <w:sz w:val="24"/>
      <w:shd w:val="clear" w:color="auto" w:fill="808000"/>
    </w:rPr>
  </w:style>
  <w:style w:type="character" w:customStyle="1" w:styleId="bibsuffix">
    <w:name w:val="bib_suffix"/>
    <w:qFormat/>
    <w:rPr>
      <w:sz w:val="24"/>
    </w:rPr>
  </w:style>
  <w:style w:type="character" w:customStyle="1" w:styleId="bibsuppl">
    <w:name w:val="bib_suppl"/>
    <w:qFormat/>
    <w:rPr>
      <w:sz w:val="24"/>
      <w:shd w:val="clear" w:color="auto" w:fill="FFFF00"/>
    </w:rPr>
  </w:style>
  <w:style w:type="character" w:customStyle="1" w:styleId="bibsurname">
    <w:name w:val="bib_surname"/>
    <w:qFormat/>
    <w:rPr>
      <w:sz w:val="24"/>
      <w:shd w:val="clear" w:color="auto" w:fill="FFFF00"/>
    </w:rPr>
  </w:style>
  <w:style w:type="character" w:customStyle="1" w:styleId="bibunpubl">
    <w:name w:val="bib_unpubl"/>
    <w:qFormat/>
    <w:rPr>
      <w:sz w:val="24"/>
    </w:rPr>
  </w:style>
  <w:style w:type="character" w:customStyle="1" w:styleId="biburl">
    <w:name w:val="bib_url"/>
    <w:qFormat/>
    <w:rPr>
      <w:sz w:val="24"/>
      <w:shd w:val="clear" w:color="auto" w:fill="00FF00"/>
    </w:rPr>
  </w:style>
  <w:style w:type="character" w:customStyle="1" w:styleId="bibvolume">
    <w:name w:val="bib_volume"/>
    <w:qFormat/>
    <w:rPr>
      <w:sz w:val="24"/>
      <w:shd w:val="clear" w:color="auto" w:fill="00FF00"/>
    </w:rPr>
  </w:style>
  <w:style w:type="character" w:customStyle="1" w:styleId="bibyear">
    <w:name w:val="bib_year"/>
    <w:qFormat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  <w:qFormat/>
  </w:style>
  <w:style w:type="paragraph" w:customStyle="1" w:styleId="BookInformation">
    <w:name w:val="BookInformation"/>
    <w:basedOn w:val="BaseText"/>
    <w:qFormat/>
  </w:style>
  <w:style w:type="paragraph" w:customStyle="1" w:styleId="Level2Head">
    <w:name w:val="Level 2 Head"/>
    <w:basedOn w:val="BaseHeading"/>
    <w:qFormat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qFormat/>
    <w:pPr>
      <w:shd w:val="clear" w:color="auto" w:fill="E6E6E6"/>
    </w:pPr>
  </w:style>
  <w:style w:type="paragraph" w:customStyle="1" w:styleId="BoxListUnnumbered">
    <w:name w:val="BoxListUnnumbered"/>
    <w:basedOn w:val="BaseText"/>
    <w:qFormat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qFormat/>
  </w:style>
  <w:style w:type="paragraph" w:customStyle="1" w:styleId="BoxSubhead">
    <w:name w:val="BoxSubhead"/>
    <w:basedOn w:val="Subhead"/>
    <w:qFormat/>
    <w:pPr>
      <w:shd w:val="clear" w:color="auto" w:fill="E6E6E6"/>
    </w:pPr>
  </w:style>
  <w:style w:type="paragraph" w:customStyle="1" w:styleId="Paragraph">
    <w:name w:val="Paragraph"/>
    <w:basedOn w:val="BaseText"/>
    <w:qFormat/>
    <w:pPr>
      <w:ind w:firstLine="720"/>
    </w:pPr>
  </w:style>
  <w:style w:type="paragraph" w:customStyle="1" w:styleId="BoxText">
    <w:name w:val="BoxText"/>
    <w:basedOn w:val="Paragraph"/>
    <w:qFormat/>
    <w:pPr>
      <w:shd w:val="clear" w:color="auto" w:fill="E6E6E6"/>
    </w:pPr>
  </w:style>
  <w:style w:type="paragraph" w:customStyle="1" w:styleId="BoxTitle">
    <w:name w:val="BoxTitle"/>
    <w:basedOn w:val="BaseHeading"/>
    <w:qFormat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qFormat/>
    <w:pPr>
      <w:ind w:left="720" w:hanging="720"/>
    </w:pPr>
  </w:style>
  <w:style w:type="paragraph" w:customStyle="1" w:styleId="career-magazine">
    <w:name w:val="career-magazine"/>
    <w:basedOn w:val="BaseText"/>
    <w:qFormat/>
    <w:pPr>
      <w:jc w:val="right"/>
    </w:pPr>
    <w:rPr>
      <w:color w:val="FF0000"/>
    </w:rPr>
  </w:style>
  <w:style w:type="paragraph" w:customStyle="1" w:styleId="career-stage">
    <w:name w:val="career-stage"/>
    <w:basedOn w:val="BaseText"/>
    <w:qFormat/>
    <w:pPr>
      <w:jc w:val="right"/>
    </w:pPr>
    <w:rPr>
      <w:color w:val="339966"/>
    </w:rPr>
  </w:style>
  <w:style w:type="character" w:customStyle="1" w:styleId="citebase">
    <w:name w:val="cite_base"/>
    <w:qFormat/>
    <w:rPr>
      <w:sz w:val="24"/>
    </w:rPr>
  </w:style>
  <w:style w:type="character" w:customStyle="1" w:styleId="citebib">
    <w:name w:val="cite_bib"/>
    <w:qFormat/>
    <w:rPr>
      <w:sz w:val="24"/>
      <w:shd w:val="clear" w:color="auto" w:fill="00FFFF"/>
    </w:rPr>
  </w:style>
  <w:style w:type="character" w:customStyle="1" w:styleId="citebox">
    <w:name w:val="cite_box"/>
    <w:qFormat/>
    <w:rPr>
      <w:sz w:val="24"/>
    </w:rPr>
  </w:style>
  <w:style w:type="character" w:customStyle="1" w:styleId="citeen">
    <w:name w:val="cite_en"/>
    <w:qFormat/>
    <w:rPr>
      <w:sz w:val="24"/>
      <w:shd w:val="clear" w:color="auto" w:fill="FFFF00"/>
      <w:vertAlign w:val="superscript"/>
    </w:rPr>
  </w:style>
  <w:style w:type="character" w:customStyle="1" w:styleId="citeeq">
    <w:name w:val="cite_eq"/>
    <w:qFormat/>
    <w:rPr>
      <w:sz w:val="24"/>
      <w:shd w:val="clear" w:color="auto" w:fill="FF99CC"/>
    </w:rPr>
  </w:style>
  <w:style w:type="character" w:customStyle="1" w:styleId="citefig">
    <w:name w:val="cite_fig"/>
    <w:qFormat/>
    <w:rPr>
      <w:color w:val="000000"/>
      <w:sz w:val="24"/>
      <w:shd w:val="clear" w:color="auto" w:fill="00FF00"/>
    </w:rPr>
  </w:style>
  <w:style w:type="character" w:customStyle="1" w:styleId="citefn">
    <w:name w:val="cite_fn"/>
    <w:qFormat/>
    <w:rPr>
      <w:sz w:val="24"/>
      <w:shd w:val="clear" w:color="auto" w:fill="FF0000"/>
    </w:rPr>
  </w:style>
  <w:style w:type="character" w:customStyle="1" w:styleId="citetbl">
    <w:name w:val="cite_tbl"/>
    <w:qFormat/>
    <w:rPr>
      <w:color w:val="000000"/>
      <w:sz w:val="24"/>
      <w:shd w:val="clear" w:color="auto" w:fill="FF00FF"/>
    </w:rPr>
  </w:style>
  <w:style w:type="character" w:customStyle="1" w:styleId="CommentTextChar">
    <w:name w:val="Comment Text Char"/>
    <w:link w:val="CommentText"/>
    <w:semiHidden/>
    <w:qFormat/>
    <w:rPr>
      <w:rFonts w:ascii="Times New Roman" w:eastAsia="Times New Roman" w:hAnsi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qFormat/>
    <w:pPr>
      <w:ind w:firstLine="0"/>
    </w:pPr>
  </w:style>
  <w:style w:type="character" w:customStyle="1" w:styleId="ContractNumber">
    <w:name w:val="Contract Number"/>
    <w:qFormat/>
    <w:rPr>
      <w:sz w:val="24"/>
      <w:szCs w:val="24"/>
      <w:shd w:val="clear" w:color="auto" w:fill="CCFFCC"/>
    </w:rPr>
  </w:style>
  <w:style w:type="character" w:customStyle="1" w:styleId="ContractSponsor">
    <w:name w:val="Contract Sponsor"/>
    <w:qFormat/>
    <w:rPr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qFormat/>
    <w:pPr>
      <w:spacing w:before="0" w:after="240"/>
    </w:pPr>
  </w:style>
  <w:style w:type="paragraph" w:customStyle="1" w:styleId="DateAccepted">
    <w:name w:val="Date Accepted"/>
    <w:basedOn w:val="BaseText"/>
    <w:qFormat/>
    <w:pPr>
      <w:spacing w:before="360"/>
    </w:pPr>
  </w:style>
  <w:style w:type="paragraph" w:customStyle="1" w:styleId="Deck">
    <w:name w:val="Deck"/>
    <w:basedOn w:val="BaseHeading"/>
    <w:qFormat/>
    <w:pPr>
      <w:outlineLvl w:val="1"/>
    </w:pPr>
  </w:style>
  <w:style w:type="paragraph" w:customStyle="1" w:styleId="DefTerm">
    <w:name w:val="DefTerm"/>
    <w:basedOn w:val="BaseText"/>
    <w:qFormat/>
    <w:pPr>
      <w:ind w:left="720"/>
    </w:pPr>
  </w:style>
  <w:style w:type="paragraph" w:customStyle="1" w:styleId="Definition">
    <w:name w:val="Definition"/>
    <w:basedOn w:val="DefTerm"/>
    <w:qFormat/>
    <w:pPr>
      <w:ind w:left="1080" w:hanging="360"/>
    </w:pPr>
  </w:style>
  <w:style w:type="paragraph" w:customStyle="1" w:styleId="DefListTitle">
    <w:name w:val="DefListTitle"/>
    <w:basedOn w:val="BaseHeading"/>
    <w:qFormat/>
  </w:style>
  <w:style w:type="paragraph" w:customStyle="1" w:styleId="discipline">
    <w:name w:val="discipline"/>
    <w:basedOn w:val="BaseText"/>
    <w:qFormat/>
    <w:pPr>
      <w:jc w:val="right"/>
    </w:pPr>
    <w:rPr>
      <w:color w:val="993366"/>
    </w:rPr>
  </w:style>
  <w:style w:type="paragraph" w:customStyle="1" w:styleId="Editors">
    <w:name w:val="Editors"/>
    <w:basedOn w:val="Authors"/>
    <w:qFormat/>
  </w:style>
  <w:style w:type="character" w:customStyle="1" w:styleId="EndnoteTextChar">
    <w:name w:val="Endnote Text Char"/>
    <w:link w:val="EndnoteText"/>
    <w:semiHidden/>
    <w:qFormat/>
    <w:rPr>
      <w:rFonts w:ascii="Cambria" w:eastAsia="Cambria" w:hAnsi="Cambria"/>
      <w:sz w:val="20"/>
      <w:szCs w:val="20"/>
    </w:rPr>
  </w:style>
  <w:style w:type="character" w:customStyle="1" w:styleId="eqno">
    <w:name w:val="eq_no"/>
    <w:qFormat/>
    <w:rPr>
      <w:sz w:val="24"/>
    </w:rPr>
  </w:style>
  <w:style w:type="paragraph" w:customStyle="1" w:styleId="Equation">
    <w:name w:val="Equation"/>
    <w:basedOn w:val="BaseText"/>
    <w:qFormat/>
    <w:pPr>
      <w:jc w:val="center"/>
    </w:pPr>
  </w:style>
  <w:style w:type="paragraph" w:customStyle="1" w:styleId="FieldCodes">
    <w:name w:val="FieldCodes"/>
    <w:basedOn w:val="BaseText"/>
    <w:qFormat/>
  </w:style>
  <w:style w:type="paragraph" w:customStyle="1" w:styleId="Legend">
    <w:name w:val="Legend"/>
    <w:basedOn w:val="BaseHeading"/>
    <w:qFormat/>
    <w:rPr>
      <w:sz w:val="24"/>
      <w:szCs w:val="24"/>
    </w:rPr>
  </w:style>
  <w:style w:type="paragraph" w:customStyle="1" w:styleId="FigureCopyright">
    <w:name w:val="FigureCopyright"/>
    <w:basedOn w:val="Legend"/>
    <w:qFormat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qFormat/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/>
      <w:sz w:val="20"/>
      <w:szCs w:val="20"/>
    </w:rPr>
  </w:style>
  <w:style w:type="paragraph" w:customStyle="1" w:styleId="Gloss">
    <w:name w:val="Gloss"/>
    <w:basedOn w:val="AbstractSummary"/>
    <w:qFormat/>
  </w:style>
  <w:style w:type="paragraph" w:customStyle="1" w:styleId="Glossary">
    <w:name w:val="Glossary"/>
    <w:basedOn w:val="BaseText"/>
    <w:qFormat/>
  </w:style>
  <w:style w:type="paragraph" w:customStyle="1" w:styleId="GlossHead">
    <w:name w:val="GlossHead"/>
    <w:basedOn w:val="AbstractHead"/>
    <w:qFormat/>
  </w:style>
  <w:style w:type="paragraph" w:customStyle="1" w:styleId="GraphicAltText">
    <w:name w:val="GraphicAltText"/>
    <w:basedOn w:val="Legend"/>
    <w:qFormat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qFormat/>
  </w:style>
  <w:style w:type="paragraph" w:customStyle="1" w:styleId="Head">
    <w:name w:val="Head"/>
    <w:basedOn w:val="BaseHeading"/>
    <w:qFormat/>
    <w:pPr>
      <w:spacing w:before="120" w:after="120"/>
      <w:jc w:val="center"/>
    </w:pPr>
    <w:rPr>
      <w:b/>
      <w:bCs/>
    </w:rPr>
  </w:style>
  <w:style w:type="character" w:customStyle="1" w:styleId="HeaderChar">
    <w:name w:val="Header Char"/>
    <w:link w:val="Header"/>
    <w:qFormat/>
    <w:rPr>
      <w:rFonts w:ascii="Times New Roman" w:eastAsia="Times New Roman" w:hAnsi="Times New Roman"/>
      <w:sz w:val="20"/>
      <w:szCs w:val="20"/>
    </w:rPr>
  </w:style>
  <w:style w:type="character" w:customStyle="1" w:styleId="HTMLPreformattedChar">
    <w:name w:val="HTML Preformatted Char"/>
    <w:link w:val="HTMLPreformatted"/>
    <w:qFormat/>
    <w:rPr>
      <w:rFonts w:ascii="Consolas" w:eastAsia="Times New Roman" w:hAnsi="Consolas"/>
      <w:sz w:val="20"/>
      <w:szCs w:val="20"/>
    </w:rPr>
  </w:style>
  <w:style w:type="paragraph" w:customStyle="1" w:styleId="InstructionsText">
    <w:name w:val="Instructions Text"/>
    <w:basedOn w:val="BaseText"/>
    <w:qFormat/>
  </w:style>
  <w:style w:type="paragraph" w:customStyle="1" w:styleId="Overline">
    <w:name w:val="Overline"/>
    <w:basedOn w:val="BaseText"/>
    <w:qFormat/>
  </w:style>
  <w:style w:type="paragraph" w:customStyle="1" w:styleId="IssueName">
    <w:name w:val="IssueName"/>
    <w:basedOn w:val="Overline"/>
    <w:qFormat/>
  </w:style>
  <w:style w:type="paragraph" w:customStyle="1" w:styleId="Keywords">
    <w:name w:val="Keywords"/>
    <w:basedOn w:val="BaseText"/>
    <w:qFormat/>
  </w:style>
  <w:style w:type="paragraph" w:customStyle="1" w:styleId="Level3Head">
    <w:name w:val="Level 3 Head"/>
    <w:basedOn w:val="BaseHeading"/>
    <w:qFormat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qFormat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qFormat/>
    <w:pPr>
      <w:ind w:left="1440" w:right="1440"/>
    </w:pPr>
  </w:style>
  <w:style w:type="paragraph" w:customStyle="1" w:styleId="MaterialsText">
    <w:name w:val="Materials Text"/>
    <w:basedOn w:val="BaseText"/>
    <w:qFormat/>
  </w:style>
  <w:style w:type="paragraph" w:customStyle="1" w:styleId="NoteInProof">
    <w:name w:val="NoteInProof"/>
    <w:basedOn w:val="BaseText"/>
    <w:qFormat/>
  </w:style>
  <w:style w:type="paragraph" w:customStyle="1" w:styleId="Notes">
    <w:name w:val="Notes"/>
    <w:basedOn w:val="BaseText"/>
    <w:qFormat/>
    <w:rPr>
      <w:i/>
    </w:rPr>
  </w:style>
  <w:style w:type="paragraph" w:customStyle="1" w:styleId="Notes-Helvetica">
    <w:name w:val="Notes-Helvetica"/>
    <w:basedOn w:val="BaseText"/>
    <w:qFormat/>
    <w:rPr>
      <w:i/>
    </w:rPr>
  </w:style>
  <w:style w:type="paragraph" w:customStyle="1" w:styleId="NumberedInstructions">
    <w:name w:val="Numbered Instructions"/>
    <w:basedOn w:val="BaseText"/>
    <w:qFormat/>
  </w:style>
  <w:style w:type="paragraph" w:customStyle="1" w:styleId="OutlineLevel1">
    <w:name w:val="OutlineLevel1"/>
    <w:basedOn w:val="BaseHeading"/>
    <w:qFormat/>
    <w:rPr>
      <w:b/>
      <w:bCs/>
    </w:rPr>
  </w:style>
  <w:style w:type="paragraph" w:customStyle="1" w:styleId="OutlineLevel2">
    <w:name w:val="OutlineLevel2"/>
    <w:basedOn w:val="BaseHeading"/>
    <w:qFormat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qFormat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qFormat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qFormat/>
  </w:style>
  <w:style w:type="paragraph" w:customStyle="1" w:styleId="ProductInformation">
    <w:name w:val="ProductInformation"/>
    <w:basedOn w:val="BaseText"/>
    <w:qFormat/>
  </w:style>
  <w:style w:type="paragraph" w:customStyle="1" w:styleId="ProductTitle">
    <w:name w:val="ProductTitle"/>
    <w:basedOn w:val="BaseText"/>
    <w:qFormat/>
    <w:rPr>
      <w:b/>
      <w:bCs/>
    </w:rPr>
  </w:style>
  <w:style w:type="paragraph" w:customStyle="1" w:styleId="PublishedOnline">
    <w:name w:val="Published Online"/>
    <w:basedOn w:val="DateAccepted"/>
    <w:qFormat/>
  </w:style>
  <w:style w:type="paragraph" w:customStyle="1" w:styleId="RecipeMaterials">
    <w:name w:val="Recipe Materials"/>
    <w:basedOn w:val="BaseText"/>
    <w:qFormat/>
  </w:style>
  <w:style w:type="paragraph" w:customStyle="1" w:styleId="Refhead">
    <w:name w:val="Ref head"/>
    <w:basedOn w:val="BaseHeading"/>
    <w:qFormat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qFormat/>
  </w:style>
  <w:style w:type="paragraph" w:customStyle="1" w:styleId="ReferencesandnotesLong">
    <w:name w:val="References and notes Long"/>
    <w:basedOn w:val="BaseText"/>
    <w:qFormat/>
    <w:pPr>
      <w:ind w:left="720" w:hanging="720"/>
    </w:pPr>
  </w:style>
  <w:style w:type="paragraph" w:customStyle="1" w:styleId="region">
    <w:name w:val="region"/>
    <w:basedOn w:val="BaseText"/>
    <w:qFormat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qFormat/>
  </w:style>
  <w:style w:type="paragraph" w:customStyle="1" w:styleId="RunHead">
    <w:name w:val="RunHead"/>
    <w:basedOn w:val="BaseText"/>
    <w:qFormat/>
  </w:style>
  <w:style w:type="paragraph" w:customStyle="1" w:styleId="SOMContent">
    <w:name w:val="SOMContent"/>
    <w:basedOn w:val="1stparatext"/>
    <w:qFormat/>
  </w:style>
  <w:style w:type="paragraph" w:customStyle="1" w:styleId="SOMHead">
    <w:name w:val="SOMHead"/>
    <w:basedOn w:val="BaseHeading"/>
    <w:qFormat/>
    <w:rPr>
      <w:b/>
      <w:sz w:val="24"/>
      <w:szCs w:val="24"/>
    </w:rPr>
  </w:style>
  <w:style w:type="paragraph" w:customStyle="1" w:styleId="Speaker">
    <w:name w:val="Speaker"/>
    <w:basedOn w:val="Paragraph"/>
    <w:qFormat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qFormat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Normal"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qFormat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qFormat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qFormat/>
    <w:pPr>
      <w:ind w:firstLine="0"/>
    </w:pPr>
  </w:style>
  <w:style w:type="paragraph" w:customStyle="1" w:styleId="SX-Correspondence">
    <w:name w:val="SX-Correspondence"/>
    <w:basedOn w:val="SX-Affiliation"/>
    <w:qFormat/>
    <w:pPr>
      <w:spacing w:after="80"/>
    </w:pPr>
  </w:style>
  <w:style w:type="paragraph" w:customStyle="1" w:styleId="SX-Date">
    <w:name w:val="SX-Date"/>
    <w:basedOn w:val="Normal"/>
    <w:qFormat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qFormat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qFormat/>
    <w:pPr>
      <w:jc w:val="both"/>
    </w:pPr>
    <w:rPr>
      <w:sz w:val="18"/>
    </w:rPr>
  </w:style>
  <w:style w:type="paragraph" w:customStyle="1" w:styleId="SX-References">
    <w:name w:val="SX-References"/>
    <w:basedOn w:val="Normal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qFormat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  <w:qFormat/>
  </w:style>
  <w:style w:type="paragraph" w:customStyle="1" w:styleId="SX-Tablehead">
    <w:name w:val="SX-Tablehead"/>
    <w:basedOn w:val="Normal"/>
    <w:qFormat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qFormat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qFormat/>
    <w:pPr>
      <w:spacing w:before="0"/>
    </w:pPr>
  </w:style>
  <w:style w:type="paragraph" w:customStyle="1" w:styleId="Tabletext">
    <w:name w:val="Table text"/>
    <w:basedOn w:val="BaseText"/>
    <w:qFormat/>
    <w:pPr>
      <w:spacing w:before="0"/>
    </w:pPr>
  </w:style>
  <w:style w:type="paragraph" w:customStyle="1" w:styleId="TableLegend">
    <w:name w:val="TableLegend"/>
    <w:basedOn w:val="BaseText"/>
    <w:qFormat/>
    <w:pPr>
      <w:spacing w:before="0"/>
    </w:pPr>
  </w:style>
  <w:style w:type="paragraph" w:customStyle="1" w:styleId="TableTitle">
    <w:name w:val="TableTitle"/>
    <w:basedOn w:val="BaseHeading"/>
    <w:qFormat/>
  </w:style>
  <w:style w:type="paragraph" w:customStyle="1" w:styleId="Teaser">
    <w:name w:val="Teaser"/>
    <w:basedOn w:val="BaseText"/>
    <w:qFormat/>
  </w:style>
  <w:style w:type="paragraph" w:customStyle="1" w:styleId="TWIS">
    <w:name w:val="TWIS"/>
    <w:basedOn w:val="AbstractSummary"/>
    <w:qFormat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qFormat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qFormat/>
    <w:pPr>
      <w:jc w:val="right"/>
    </w:pPr>
    <w:rPr>
      <w:color w:val="003300"/>
    </w:rPr>
  </w:style>
  <w:style w:type="paragraph" w:customStyle="1" w:styleId="DOI">
    <w:name w:val="DOI"/>
    <w:basedOn w:val="DateAccepted"/>
    <w:qFormat/>
  </w:style>
  <w:style w:type="character" w:customStyle="1" w:styleId="custom-cit-author">
    <w:name w:val="custom-cit-author"/>
    <w:basedOn w:val="DefaultParagraphFont"/>
    <w:qFormat/>
  </w:style>
  <w:style w:type="character" w:customStyle="1" w:styleId="custom-cit-title">
    <w:name w:val="custom-cit-title"/>
    <w:basedOn w:val="DefaultParagraphFont"/>
    <w:qFormat/>
  </w:style>
  <w:style w:type="character" w:customStyle="1" w:styleId="custom-cit-jour-title">
    <w:name w:val="custom-cit-jour-title"/>
    <w:basedOn w:val="DefaultParagraphFont"/>
    <w:qFormat/>
  </w:style>
  <w:style w:type="character" w:customStyle="1" w:styleId="custom-cit-volume">
    <w:name w:val="custom-cit-volume"/>
    <w:basedOn w:val="DefaultParagraphFont"/>
    <w:qFormat/>
  </w:style>
  <w:style w:type="character" w:customStyle="1" w:styleId="custom-cit-volume-sep">
    <w:name w:val="custom-cit-volume-sep"/>
    <w:basedOn w:val="DefaultParagraphFont"/>
    <w:qFormat/>
  </w:style>
  <w:style w:type="character" w:customStyle="1" w:styleId="custom-cit-fpage">
    <w:name w:val="custom-cit-fpage"/>
    <w:basedOn w:val="DefaultParagraphFont"/>
    <w:qFormat/>
  </w:style>
  <w:style w:type="character" w:customStyle="1" w:styleId="custom-cit-date">
    <w:name w:val="custom-cit-date"/>
    <w:basedOn w:val="DefaultParagraphFont"/>
    <w:qFormat/>
  </w:style>
  <w:style w:type="paragraph" w:customStyle="1" w:styleId="MediumList2-Accent21">
    <w:name w:val="Medium List 2 - Accent 21"/>
    <w:hidden/>
    <w:uiPriority w:val="99"/>
    <w:semiHidden/>
    <w:qFormat/>
    <w:rPr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sz w:val="24"/>
      <w:lang w:eastAsia="en-US"/>
    </w:rPr>
  </w:style>
  <w:style w:type="paragraph" w:customStyle="1" w:styleId="EndNoteBibliography">
    <w:name w:val="EndNote Bibliography"/>
    <w:basedOn w:val="Normal"/>
    <w:link w:val="EndNoteBibliography0"/>
    <w:qFormat/>
    <w:rPr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sz w:val="24"/>
      <w:lang w:eastAsia="en-US"/>
    </w:rPr>
  </w:style>
  <w:style w:type="paragraph" w:customStyle="1" w:styleId="EndNoteCategoryHeading">
    <w:name w:val="EndNote Category Heading"/>
    <w:basedOn w:val="Normal"/>
    <w:link w:val="EndNoteCategoryHeading0"/>
    <w:qFormat/>
    <w:pPr>
      <w:spacing w:before="120" w:after="120"/>
    </w:pPr>
    <w:rPr>
      <w:b/>
    </w:rPr>
  </w:style>
  <w:style w:type="character" w:customStyle="1" w:styleId="EndNoteCategoryHeading0">
    <w:name w:val="EndNote Category Heading 字符"/>
    <w:basedOn w:val="DefaultParagraphFont"/>
    <w:link w:val="EndNoteCategoryHeading"/>
    <w:qFormat/>
    <w:rPr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2E56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rsid w:val="009A5D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E2190-F326-472B-94D5-E45A0375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921</Words>
  <Characters>5255</Characters>
  <Application>Microsoft Office Word</Application>
  <DocSecurity>0</DocSecurity>
  <Lines>43</Lines>
  <Paragraphs>12</Paragraphs>
  <ScaleCrop>false</ScaleCrop>
  <Company>Microsoft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Trupti Sudge</cp:lastModifiedBy>
  <cp:revision>2</cp:revision>
  <cp:lastPrinted>2023-01-08T00:37:00Z</cp:lastPrinted>
  <dcterms:created xsi:type="dcterms:W3CDTF">2023-10-19T21:07:00Z</dcterms:created>
  <dcterms:modified xsi:type="dcterms:W3CDTF">2023-10-19T21:07:00Z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ProductBuildVer">
    <vt:lpwstr>2052-5.2.1.7798</vt:lpwstr>
  </property>
  <property fmtid="{D5CDD505-2E9C-101B-9397-08002B2CF9AE}" pid="4" name="ICV">
    <vt:lpwstr>A654EF8486539B1D796ED8647CFF7B95_42</vt:lpwstr>
  </property>
</Properties>
</file>