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7530C" w14:textId="15CBB10A" w:rsidR="00D66D67" w:rsidRPr="00AD5D09" w:rsidRDefault="00AC40B7" w:rsidP="003D2D3E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Additional file 4</w:t>
      </w:r>
      <w:r w:rsidR="003D2D3E">
        <w:rPr>
          <w:b/>
          <w:bCs/>
          <w:lang w:val="en-US"/>
        </w:rPr>
        <w:t xml:space="preserve"> — Cross-correlation</w:t>
      </w:r>
    </w:p>
    <w:p w14:paraId="5099BDDC" w14:textId="35158268" w:rsidR="00AD5D09" w:rsidRPr="00AD5D09" w:rsidRDefault="00AD5D09">
      <w:pPr>
        <w:rPr>
          <w:lang w:val="en-US"/>
        </w:rPr>
      </w:pPr>
    </w:p>
    <w:p w14:paraId="15388F53" w14:textId="422B7726" w:rsidR="00AD5D09" w:rsidRDefault="00AD5D09" w:rsidP="00AD5D09">
      <w:pPr>
        <w:jc w:val="both"/>
        <w:rPr>
          <w:lang w:val="en-US"/>
        </w:rPr>
      </w:pPr>
      <w:r w:rsidRPr="00AD5D09">
        <w:rPr>
          <w:lang w:val="en-US"/>
        </w:rPr>
        <w:t xml:space="preserve">In order to investigate the direction of cytokine level changes between the different compartments, we performed cross-correlation analyses on all cytokines between their </w:t>
      </w:r>
      <w:r>
        <w:rPr>
          <w:lang w:val="en-US"/>
        </w:rPr>
        <w:t xml:space="preserve">respective </w:t>
      </w:r>
      <w:r w:rsidRPr="00AD5D09">
        <w:rPr>
          <w:lang w:val="en-US"/>
        </w:rPr>
        <w:t xml:space="preserve">concentrations in brain-ECF and in arterial blood. We used the </w:t>
      </w:r>
      <w:r w:rsidR="00C910E8">
        <w:rPr>
          <w:lang w:val="en-US"/>
        </w:rPr>
        <w:t>“</w:t>
      </w:r>
      <w:proofErr w:type="spellStart"/>
      <w:r w:rsidRPr="00AD5D09">
        <w:rPr>
          <w:lang w:val="en-US"/>
        </w:rPr>
        <w:t>ccf</w:t>
      </w:r>
      <w:proofErr w:type="spellEnd"/>
      <w:r w:rsidR="00C910E8">
        <w:rPr>
          <w:lang w:val="en-US"/>
        </w:rPr>
        <w:t>”</w:t>
      </w:r>
      <w:r w:rsidRPr="00AD5D09">
        <w:rPr>
          <w:lang w:val="en-US"/>
        </w:rPr>
        <w:t xml:space="preserve"> package in R to find the cross-correlations and calculated the signed absolute maximum value for each cytokine and patient </w:t>
      </w:r>
      <w:r w:rsidR="00AF367F">
        <w:rPr>
          <w:lang w:val="en-US"/>
        </w:rPr>
        <w:t xml:space="preserve">time </w:t>
      </w:r>
      <w:r w:rsidRPr="00AD5D09">
        <w:rPr>
          <w:lang w:val="en-US"/>
        </w:rPr>
        <w:t>series. An exclusion algorithm was employed in order to select robust cross-correlation series</w:t>
      </w:r>
      <w:r w:rsidR="00D903E4">
        <w:rPr>
          <w:lang w:val="en-US"/>
        </w:rPr>
        <w:t xml:space="preserve">, as shown in </w:t>
      </w:r>
      <w:r w:rsidR="00D903E4" w:rsidRPr="00C634A2">
        <w:rPr>
          <w:b/>
          <w:bCs/>
          <w:lang w:val="en-US"/>
        </w:rPr>
        <w:t>Box</w:t>
      </w:r>
      <w:r w:rsidR="00D903E4">
        <w:rPr>
          <w:lang w:val="en-US"/>
        </w:rPr>
        <w:t>.</w:t>
      </w:r>
    </w:p>
    <w:p w14:paraId="4575A3B9" w14:textId="4D16CC25" w:rsidR="00624A4F" w:rsidRDefault="00624A4F" w:rsidP="00AD5D09">
      <w:pPr>
        <w:pBdr>
          <w:bottom w:val="single" w:sz="6" w:space="1" w:color="auto"/>
        </w:pBdr>
        <w:jc w:val="both"/>
        <w:rPr>
          <w:lang w:val="en-US"/>
        </w:rPr>
      </w:pPr>
    </w:p>
    <w:p w14:paraId="29E7FAA6" w14:textId="43877BE3" w:rsidR="00624A4F" w:rsidRDefault="00624A4F" w:rsidP="00AD5D09">
      <w:pPr>
        <w:jc w:val="both"/>
        <w:rPr>
          <w:lang w:val="en-US"/>
        </w:rPr>
      </w:pPr>
    </w:p>
    <w:p w14:paraId="55A691A7" w14:textId="629A2464" w:rsidR="00624A4F" w:rsidRPr="00624A4F" w:rsidRDefault="00624A4F" w:rsidP="00624A4F">
      <w:pPr>
        <w:jc w:val="both"/>
        <w:rPr>
          <w:lang w:val="en-US"/>
        </w:rPr>
      </w:pPr>
      <w:r w:rsidRPr="00C634A2">
        <w:rPr>
          <w:b/>
          <w:bCs/>
          <w:lang w:val="en-US"/>
        </w:rPr>
        <w:t>Box</w:t>
      </w:r>
      <w:r w:rsidRPr="00624A4F">
        <w:rPr>
          <w:lang w:val="en-US"/>
        </w:rPr>
        <w:t>: Exclusion algorithm with examples. A: Algorithm of exclusion. B: An example of an excluded cytokine and patient series. C: An example of an included cytokine and patient series.</w:t>
      </w:r>
    </w:p>
    <w:p w14:paraId="722E9107" w14:textId="77777777" w:rsidR="00624A4F" w:rsidRPr="00624A4F" w:rsidRDefault="00624A4F" w:rsidP="00624A4F">
      <w:pPr>
        <w:jc w:val="both"/>
        <w:rPr>
          <w:lang w:val="en-US"/>
        </w:rPr>
      </w:pPr>
    </w:p>
    <w:p w14:paraId="7F7E9FD1" w14:textId="6D429359" w:rsidR="00624A4F" w:rsidRPr="00624A4F" w:rsidRDefault="00C634A2" w:rsidP="00624A4F">
      <w:pPr>
        <w:jc w:val="both"/>
        <w:rPr>
          <w:lang w:val="en-US"/>
        </w:rPr>
      </w:pPr>
      <w:r w:rsidRPr="00C634A2">
        <w:rPr>
          <w:b/>
          <w:bCs/>
          <w:lang w:val="en-US"/>
        </w:rPr>
        <w:t xml:space="preserve">Box </w:t>
      </w:r>
      <w:r w:rsidR="00624A4F" w:rsidRPr="00C634A2">
        <w:rPr>
          <w:b/>
          <w:bCs/>
          <w:lang w:val="en-US"/>
        </w:rPr>
        <w:t>A</w:t>
      </w:r>
      <w:r w:rsidR="00624A4F" w:rsidRPr="00624A4F">
        <w:rPr>
          <w:lang w:val="en-US"/>
        </w:rPr>
        <w:t>:</w:t>
      </w:r>
    </w:p>
    <w:p w14:paraId="37C612E2" w14:textId="77777777" w:rsidR="00624A4F" w:rsidRPr="00624A4F" w:rsidRDefault="00624A4F" w:rsidP="00624A4F">
      <w:pPr>
        <w:jc w:val="both"/>
        <w:rPr>
          <w:lang w:val="en-US"/>
        </w:rPr>
      </w:pPr>
    </w:p>
    <w:p w14:paraId="44CF289D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>for every cytokine</w:t>
      </w:r>
    </w:p>
    <w:p w14:paraId="5A55F7EF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for every patient</w:t>
      </w:r>
    </w:p>
    <w:p w14:paraId="2F15710E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calculate CCs for lags in [-10, 10]</w:t>
      </w:r>
    </w:p>
    <w:p w14:paraId="649EE8C5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if series has only NAs</w:t>
      </w:r>
    </w:p>
    <w:p w14:paraId="3F54C0BB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   exclude series</w:t>
      </w:r>
    </w:p>
    <w:p w14:paraId="3172A6BE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else if there is no unique AM</w:t>
      </w:r>
    </w:p>
    <w:p w14:paraId="16739494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   exclude series</w:t>
      </w:r>
    </w:p>
    <w:p w14:paraId="6B17A52A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else if there are any NAs around the AM</w:t>
      </w:r>
    </w:p>
    <w:p w14:paraId="05282D54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   exclude series</w:t>
      </w:r>
    </w:p>
    <w:p w14:paraId="715FA6BC" w14:textId="074C282A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else if the CC plot is not </w:t>
      </w:r>
      <w:r w:rsidR="00B5472C">
        <w:rPr>
          <w:color w:val="0070C0"/>
          <w:lang w:val="en-US"/>
        </w:rPr>
        <w:t>strictly</w:t>
      </w:r>
      <w:r w:rsidRPr="0072729A">
        <w:rPr>
          <w:color w:val="0070C0"/>
          <w:lang w:val="en-US"/>
        </w:rPr>
        <w:t xml:space="preserve"> monotonous around the AM</w:t>
      </w:r>
    </w:p>
    <w:p w14:paraId="7D8C757A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   exclude series</w:t>
      </w:r>
    </w:p>
    <w:p w14:paraId="1083BAD7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else</w:t>
      </w:r>
    </w:p>
    <w:p w14:paraId="28A384C7" w14:textId="77777777" w:rsidR="00624A4F" w:rsidRPr="0072729A" w:rsidRDefault="00624A4F" w:rsidP="00624A4F">
      <w:pPr>
        <w:jc w:val="both"/>
        <w:rPr>
          <w:color w:val="0070C0"/>
          <w:lang w:val="en-US"/>
        </w:rPr>
      </w:pPr>
      <w:r w:rsidRPr="0072729A">
        <w:rPr>
          <w:color w:val="0070C0"/>
          <w:lang w:val="en-US"/>
        </w:rPr>
        <w:t xml:space="preserve">         include series</w:t>
      </w:r>
    </w:p>
    <w:p w14:paraId="24298263" w14:textId="77777777" w:rsidR="00624A4F" w:rsidRPr="00624A4F" w:rsidRDefault="00624A4F" w:rsidP="00624A4F">
      <w:pPr>
        <w:jc w:val="both"/>
        <w:rPr>
          <w:lang w:val="en-US"/>
        </w:rPr>
      </w:pPr>
    </w:p>
    <w:p w14:paraId="677BDD5D" w14:textId="387E3518" w:rsidR="00624A4F" w:rsidRPr="00624A4F" w:rsidRDefault="00624A4F" w:rsidP="00624A4F">
      <w:pPr>
        <w:jc w:val="both"/>
        <w:rPr>
          <w:lang w:val="en-US"/>
        </w:rPr>
      </w:pPr>
      <w:r w:rsidRPr="00624A4F">
        <w:rPr>
          <w:lang w:val="en-US"/>
        </w:rPr>
        <w:t>CC = cross-correlation; NA = not available; AM = absolute maximum; around the AM = in</w:t>
      </w:r>
      <w:r w:rsidR="00A7352E">
        <w:rPr>
          <w:lang w:val="en-US"/>
        </w:rPr>
        <w:t xml:space="preserve"> the interval</w:t>
      </w:r>
      <w:r w:rsidRPr="00624A4F">
        <w:rPr>
          <w:lang w:val="en-US"/>
        </w:rPr>
        <w:t xml:space="preserve"> [AM - 2 lags, AM + 2 lags]</w:t>
      </w:r>
    </w:p>
    <w:p w14:paraId="15E82AFB" w14:textId="77777777" w:rsidR="00624A4F" w:rsidRPr="00624A4F" w:rsidRDefault="00624A4F" w:rsidP="00624A4F">
      <w:pPr>
        <w:jc w:val="both"/>
        <w:rPr>
          <w:lang w:val="en-US"/>
        </w:rPr>
      </w:pPr>
    </w:p>
    <w:p w14:paraId="06C58BC5" w14:textId="43403ED3" w:rsidR="00624A4F" w:rsidRDefault="00624A4F" w:rsidP="00624A4F">
      <w:pPr>
        <w:jc w:val="both"/>
        <w:rPr>
          <w:lang w:val="en-US"/>
        </w:rPr>
      </w:pPr>
      <w:r w:rsidRPr="00C634A2">
        <w:rPr>
          <w:b/>
          <w:bCs/>
          <w:lang w:val="en-US"/>
        </w:rPr>
        <w:t>Box B</w:t>
      </w:r>
      <w:r w:rsidRPr="00624A4F">
        <w:rPr>
          <w:lang w:val="en-US"/>
        </w:rPr>
        <w:t>: EGF for patient 2 was excluded because of the non-monotonous trend around the absolute maximum (red point). The points at lag 1 and lag -1 are both greater than the points at lag 2 and -2, respectively, violating the criteria of monotonicity on either side of the absolute maximum. This criterion decreases the risk of recording random variations as maxima.</w:t>
      </w:r>
    </w:p>
    <w:p w14:paraId="2D290B4B" w14:textId="1AA30D19" w:rsidR="00624A4F" w:rsidRDefault="00624A4F" w:rsidP="00624A4F">
      <w:pPr>
        <w:jc w:val="both"/>
        <w:rPr>
          <w:lang w:val="en-US"/>
        </w:rPr>
      </w:pPr>
    </w:p>
    <w:p w14:paraId="7C3A2B2E" w14:textId="61DA9C7D" w:rsidR="00624A4F" w:rsidRPr="00624A4F" w:rsidRDefault="00624A4F" w:rsidP="00624A4F">
      <w:pPr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AB24E11" wp14:editId="1A5C1487">
            <wp:extent cx="5727700" cy="3839845"/>
            <wp:effectExtent l="0" t="0" r="0" b="0"/>
            <wp:docPr id="1" name="Picture 1" descr="A picture containing sitting, lar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itting, larg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FBAF6" w14:textId="77777777" w:rsidR="00624A4F" w:rsidRPr="00624A4F" w:rsidRDefault="00624A4F" w:rsidP="00624A4F">
      <w:pPr>
        <w:jc w:val="both"/>
        <w:rPr>
          <w:lang w:val="en-US"/>
        </w:rPr>
      </w:pPr>
    </w:p>
    <w:p w14:paraId="3FA88390" w14:textId="6B4C02B1" w:rsidR="00624A4F" w:rsidRDefault="00624A4F" w:rsidP="00624A4F">
      <w:pPr>
        <w:jc w:val="both"/>
        <w:rPr>
          <w:lang w:val="en-US"/>
        </w:rPr>
      </w:pPr>
      <w:r w:rsidRPr="00C634A2">
        <w:rPr>
          <w:b/>
          <w:bCs/>
          <w:lang w:val="en-US"/>
        </w:rPr>
        <w:t>Box C</w:t>
      </w:r>
      <w:r w:rsidRPr="00624A4F">
        <w:rPr>
          <w:lang w:val="en-US"/>
        </w:rPr>
        <w:t>: G-CSF for patient 13 is one of the most unambiguous cross-correlation series. Here, the maximum is unique, and cross-correlations are decreasing with time from the maximum. All series are available in the supplementary documents.</w:t>
      </w:r>
    </w:p>
    <w:p w14:paraId="721EEE20" w14:textId="27A22BCD" w:rsidR="00624A4F" w:rsidRDefault="00624A4F" w:rsidP="00624A4F">
      <w:pPr>
        <w:jc w:val="both"/>
        <w:rPr>
          <w:lang w:val="en-US"/>
        </w:rPr>
      </w:pPr>
    </w:p>
    <w:p w14:paraId="7CA0C25D" w14:textId="2263145F" w:rsidR="00030FA7" w:rsidRDefault="00624A4F" w:rsidP="00624A4F">
      <w:pPr>
        <w:pBdr>
          <w:bottom w:val="single" w:sz="6" w:space="1" w:color="auto"/>
        </w:pBd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1DD4B71" wp14:editId="51B68559">
            <wp:extent cx="5727700" cy="3948430"/>
            <wp:effectExtent l="0" t="0" r="0" b="127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 up of a map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C1FC4" w14:textId="77777777" w:rsidR="007117F7" w:rsidRDefault="007117F7" w:rsidP="00624A4F">
      <w:pPr>
        <w:jc w:val="both"/>
        <w:rPr>
          <w:lang w:val="en-US"/>
        </w:rPr>
      </w:pPr>
    </w:p>
    <w:p w14:paraId="04C0773F" w14:textId="012E401C" w:rsidR="00A33A10" w:rsidRDefault="00981876" w:rsidP="00624A4F">
      <w:pPr>
        <w:jc w:val="both"/>
        <w:rPr>
          <w:lang w:val="en-US"/>
        </w:rPr>
      </w:pPr>
      <w:r w:rsidRPr="00C634A2">
        <w:rPr>
          <w:b/>
          <w:bCs/>
          <w:lang w:val="en-US"/>
        </w:rPr>
        <w:t>Figure</w:t>
      </w:r>
      <w:r w:rsidR="00AC2FF2">
        <w:rPr>
          <w:b/>
          <w:bCs/>
          <w:lang w:val="en-US"/>
        </w:rPr>
        <w:t xml:space="preserve"> 1</w:t>
      </w:r>
      <w:r w:rsidR="00F63D07" w:rsidRPr="00F63D07">
        <w:rPr>
          <w:lang w:val="en-US"/>
        </w:rPr>
        <w:t>: Proportion of patients included and excluded, per reason, for every cytokine.</w:t>
      </w:r>
    </w:p>
    <w:p w14:paraId="20E8077A" w14:textId="0073A3DF" w:rsidR="00F63D07" w:rsidRDefault="00F63D07" w:rsidP="00624A4F">
      <w:pPr>
        <w:jc w:val="both"/>
        <w:rPr>
          <w:lang w:val="en-US"/>
        </w:rPr>
      </w:pPr>
    </w:p>
    <w:p w14:paraId="6F625F9A" w14:textId="6E69D1F8" w:rsidR="00F63D07" w:rsidRDefault="00F63D07" w:rsidP="00624A4F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744BD87" wp14:editId="2D0686B0">
            <wp:extent cx="5727700" cy="5727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91499" w14:textId="1134588F" w:rsidR="00F63D07" w:rsidRDefault="00F63D07" w:rsidP="00624A4F">
      <w:pPr>
        <w:pBdr>
          <w:bottom w:val="single" w:sz="6" w:space="1" w:color="auto"/>
        </w:pBdr>
        <w:jc w:val="both"/>
        <w:rPr>
          <w:lang w:val="en-US"/>
        </w:rPr>
      </w:pPr>
    </w:p>
    <w:p w14:paraId="3EA70FC8" w14:textId="2A153277" w:rsidR="00F63D07" w:rsidRDefault="00F63D07" w:rsidP="00624A4F">
      <w:pPr>
        <w:jc w:val="both"/>
        <w:rPr>
          <w:lang w:val="en-US"/>
        </w:rPr>
      </w:pPr>
    </w:p>
    <w:p w14:paraId="0A3DCBA9" w14:textId="77777777" w:rsidR="00F63D07" w:rsidRDefault="00F63D07" w:rsidP="00624A4F">
      <w:pPr>
        <w:jc w:val="both"/>
        <w:rPr>
          <w:lang w:val="en-US"/>
        </w:rPr>
      </w:pPr>
    </w:p>
    <w:p w14:paraId="61A63967" w14:textId="46CE2C58" w:rsidR="00F23667" w:rsidRPr="00F23667" w:rsidRDefault="00F23667" w:rsidP="00F23667">
      <w:pPr>
        <w:jc w:val="both"/>
        <w:rPr>
          <w:lang w:val="en-US"/>
        </w:rPr>
      </w:pPr>
      <w:r w:rsidRPr="00AC2FF2">
        <w:rPr>
          <w:b/>
          <w:bCs/>
          <w:lang w:val="en-US"/>
        </w:rPr>
        <w:t xml:space="preserve">Figure </w:t>
      </w:r>
      <w:r w:rsidR="00AC2FF2" w:rsidRPr="00AC2FF2">
        <w:rPr>
          <w:b/>
          <w:bCs/>
          <w:lang w:val="en-US"/>
        </w:rPr>
        <w:t>2</w:t>
      </w:r>
      <w:r w:rsidRPr="00F23667">
        <w:rPr>
          <w:lang w:val="en-US"/>
        </w:rPr>
        <w:t>: Signed absolute maximum cross-correlations for each cytokine and patient series, grouped by (A) treatment arm</w:t>
      </w:r>
      <w:r w:rsidR="00354E50">
        <w:rPr>
          <w:lang w:val="en-US"/>
        </w:rPr>
        <w:t xml:space="preserve">, (B) </w:t>
      </w:r>
      <w:r w:rsidR="00354E50" w:rsidRPr="00F23667">
        <w:rPr>
          <w:lang w:val="en-US"/>
        </w:rPr>
        <w:t xml:space="preserve">occurrence of infection, </w:t>
      </w:r>
      <w:r w:rsidR="00354E50">
        <w:rPr>
          <w:lang w:val="en-US"/>
        </w:rPr>
        <w:t>(C) median CRP, (D) median WCC, (E) median temperature and (F) median ISS (injury severity score)</w:t>
      </w:r>
      <w:r w:rsidRPr="00F23667">
        <w:rPr>
          <w:lang w:val="en-US"/>
        </w:rPr>
        <w:t>.</w:t>
      </w:r>
      <w:r w:rsidR="00B63631">
        <w:rPr>
          <w:lang w:val="en-US"/>
        </w:rPr>
        <w:t xml:space="preserve"> In the figures reporting median scores, median values for each patient are compared to overall median values for the given parameter.</w:t>
      </w:r>
      <w:r w:rsidRPr="00F23667">
        <w:rPr>
          <w:lang w:val="en-US"/>
        </w:rPr>
        <w:t xml:space="preserve"> Each lag is approximately six hours; the timings of the blood samples were matched to the appropriate time interval during which the brain-CSF samples were drawn. Lag &lt; 0 indicates that an early activity in the brain correlates with a late activity in the blood; lag &gt; 0 indicates the opposite. Correlation &gt; 0 indicates that a positive concentration change in the brain correlates with a positive change in the blood; correlation &lt; 0 indicates that a positive concentration change in the brain correlates with a negative change in the blood</w:t>
      </w:r>
      <w:r w:rsidR="008C2B72">
        <w:rPr>
          <w:lang w:val="en-US"/>
        </w:rPr>
        <w:t>,</w:t>
      </w:r>
      <w:r w:rsidRPr="00F23667">
        <w:rPr>
          <w:lang w:val="en-US"/>
        </w:rPr>
        <w:t xml:space="preserve"> and </w:t>
      </w:r>
      <w:r w:rsidRPr="00F23667">
        <w:rPr>
          <w:lang w:val="en-US"/>
        </w:rPr>
        <w:lastRenderedPageBreak/>
        <w:t>vice versa. Error bars show 95 % confidence intervals for the distribution of the respective groups.</w:t>
      </w:r>
    </w:p>
    <w:p w14:paraId="40F51410" w14:textId="77777777" w:rsidR="00F23667" w:rsidRPr="00F23667" w:rsidRDefault="00F23667" w:rsidP="00F23667">
      <w:pPr>
        <w:jc w:val="both"/>
        <w:rPr>
          <w:lang w:val="en-US"/>
        </w:rPr>
      </w:pPr>
      <w:r w:rsidRPr="00F23667">
        <w:rPr>
          <w:lang w:val="en-US"/>
        </w:rPr>
        <w:t xml:space="preserve"> </w:t>
      </w:r>
    </w:p>
    <w:p w14:paraId="150F7604" w14:textId="73D49982" w:rsidR="00F23667" w:rsidRDefault="00F23667" w:rsidP="00F23667">
      <w:pPr>
        <w:jc w:val="both"/>
        <w:rPr>
          <w:lang w:val="en-US"/>
        </w:rPr>
      </w:pPr>
      <w:r w:rsidRPr="002A291C">
        <w:rPr>
          <w:b/>
          <w:bCs/>
          <w:lang w:val="en-US"/>
        </w:rPr>
        <w:t xml:space="preserve">Figure </w:t>
      </w:r>
      <w:r w:rsidR="001F7981" w:rsidRPr="002A291C">
        <w:rPr>
          <w:b/>
          <w:bCs/>
          <w:lang w:val="en-US"/>
        </w:rPr>
        <w:t>2</w:t>
      </w:r>
      <w:r w:rsidRPr="002A291C">
        <w:rPr>
          <w:b/>
          <w:bCs/>
          <w:lang w:val="en-US"/>
        </w:rPr>
        <w:t>, A</w:t>
      </w:r>
      <w:r w:rsidR="009232A0">
        <w:rPr>
          <w:lang w:val="en-US"/>
        </w:rPr>
        <w:t>:</w:t>
      </w:r>
    </w:p>
    <w:p w14:paraId="5308A090" w14:textId="0D048A7C" w:rsidR="00931FB0" w:rsidRDefault="00931FB0" w:rsidP="00F23667">
      <w:pPr>
        <w:jc w:val="both"/>
        <w:rPr>
          <w:lang w:val="en-US"/>
        </w:rPr>
      </w:pPr>
    </w:p>
    <w:p w14:paraId="0241662E" w14:textId="7059DCFE" w:rsidR="00931FB0" w:rsidRPr="00F23667" w:rsidRDefault="00931FB0" w:rsidP="00F23667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27FE5EC" wp14:editId="6121EAA3">
            <wp:extent cx="5727700" cy="28638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F46E1" w14:textId="77777777" w:rsidR="00F23667" w:rsidRPr="00F23667" w:rsidRDefault="00F23667" w:rsidP="00F23667">
      <w:pPr>
        <w:jc w:val="both"/>
        <w:rPr>
          <w:lang w:val="en-US"/>
        </w:rPr>
      </w:pPr>
    </w:p>
    <w:p w14:paraId="5961CE57" w14:textId="0157A24C" w:rsidR="00A33A10" w:rsidRDefault="00F23667" w:rsidP="00F23667">
      <w:pPr>
        <w:jc w:val="both"/>
        <w:rPr>
          <w:lang w:val="en-US"/>
        </w:rPr>
      </w:pPr>
      <w:r w:rsidRPr="002A291C">
        <w:rPr>
          <w:b/>
          <w:bCs/>
          <w:lang w:val="en-US"/>
        </w:rPr>
        <w:t xml:space="preserve">Figure </w:t>
      </w:r>
      <w:r w:rsidR="002A291C" w:rsidRPr="002A291C">
        <w:rPr>
          <w:b/>
          <w:bCs/>
          <w:lang w:val="en-US"/>
        </w:rPr>
        <w:t>2</w:t>
      </w:r>
      <w:r w:rsidRPr="002A291C">
        <w:rPr>
          <w:b/>
          <w:bCs/>
          <w:lang w:val="en-US"/>
        </w:rPr>
        <w:t>, B</w:t>
      </w:r>
      <w:r w:rsidR="009232A0">
        <w:rPr>
          <w:lang w:val="en-US"/>
        </w:rPr>
        <w:t>:</w:t>
      </w:r>
    </w:p>
    <w:p w14:paraId="27A687B2" w14:textId="3AB070D6" w:rsidR="00931FB0" w:rsidRDefault="00931FB0" w:rsidP="00F23667">
      <w:pPr>
        <w:jc w:val="both"/>
        <w:rPr>
          <w:lang w:val="en-US"/>
        </w:rPr>
      </w:pPr>
    </w:p>
    <w:p w14:paraId="1DE58BEC" w14:textId="1E7BE1F6" w:rsidR="00931FB0" w:rsidRDefault="00A802E7" w:rsidP="00F23667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C90E94D" wp14:editId="7866E569">
            <wp:extent cx="5727700" cy="28638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86320" w14:textId="1E1F846A" w:rsidR="00A802E7" w:rsidRDefault="00A802E7" w:rsidP="00F23667">
      <w:pPr>
        <w:jc w:val="both"/>
        <w:rPr>
          <w:lang w:val="en-US"/>
        </w:rPr>
      </w:pPr>
    </w:p>
    <w:p w14:paraId="3A279C6B" w14:textId="6D92F1F0" w:rsidR="00A802E7" w:rsidRDefault="00C83F2E" w:rsidP="00F23667">
      <w:pPr>
        <w:jc w:val="both"/>
        <w:rPr>
          <w:lang w:val="en-US"/>
        </w:rPr>
      </w:pPr>
      <w:r w:rsidRPr="002A291C">
        <w:rPr>
          <w:b/>
          <w:bCs/>
          <w:lang w:val="en-US"/>
        </w:rPr>
        <w:t xml:space="preserve">Figure </w:t>
      </w:r>
      <w:r w:rsidR="002A291C" w:rsidRPr="002A291C">
        <w:rPr>
          <w:b/>
          <w:bCs/>
          <w:lang w:val="en-US"/>
        </w:rPr>
        <w:t>2</w:t>
      </w:r>
      <w:r w:rsidRPr="002A291C">
        <w:rPr>
          <w:b/>
          <w:bCs/>
          <w:lang w:val="en-US"/>
        </w:rPr>
        <w:t>, C</w:t>
      </w:r>
      <w:r w:rsidR="009232A0">
        <w:rPr>
          <w:lang w:val="en-US"/>
        </w:rPr>
        <w:t>:</w:t>
      </w:r>
    </w:p>
    <w:p w14:paraId="28C26BC4" w14:textId="45ACFC52" w:rsidR="00B666D8" w:rsidRDefault="00B666D8" w:rsidP="00F23667">
      <w:pPr>
        <w:jc w:val="both"/>
        <w:rPr>
          <w:lang w:val="en-US"/>
        </w:rPr>
      </w:pPr>
    </w:p>
    <w:p w14:paraId="18589F85" w14:textId="789276E8" w:rsidR="00B666D8" w:rsidRDefault="00B666D8" w:rsidP="00F23667">
      <w:pPr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AFF780A" wp14:editId="7072A0DF">
            <wp:extent cx="5727700" cy="28638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891B4" w14:textId="10B0B77C" w:rsidR="00B666D8" w:rsidRDefault="00B666D8" w:rsidP="00F23667">
      <w:pPr>
        <w:jc w:val="both"/>
        <w:rPr>
          <w:lang w:val="en-US"/>
        </w:rPr>
      </w:pPr>
    </w:p>
    <w:p w14:paraId="667BD521" w14:textId="30832463" w:rsidR="00B666D8" w:rsidRDefault="00B666D8" w:rsidP="00F23667">
      <w:pPr>
        <w:jc w:val="both"/>
        <w:rPr>
          <w:lang w:val="en-US"/>
        </w:rPr>
      </w:pPr>
      <w:r w:rsidRPr="002A291C">
        <w:rPr>
          <w:b/>
          <w:bCs/>
          <w:lang w:val="en-US"/>
        </w:rPr>
        <w:t xml:space="preserve">Figure </w:t>
      </w:r>
      <w:r w:rsidR="002A291C" w:rsidRPr="002A291C">
        <w:rPr>
          <w:b/>
          <w:bCs/>
          <w:lang w:val="en-US"/>
        </w:rPr>
        <w:t>2</w:t>
      </w:r>
      <w:r w:rsidRPr="002A291C">
        <w:rPr>
          <w:b/>
          <w:bCs/>
          <w:lang w:val="en-US"/>
        </w:rPr>
        <w:t>, D</w:t>
      </w:r>
      <w:r w:rsidR="009232A0">
        <w:rPr>
          <w:lang w:val="en-US"/>
        </w:rPr>
        <w:t>:</w:t>
      </w:r>
    </w:p>
    <w:p w14:paraId="7918E506" w14:textId="4B17010E" w:rsidR="00B666D8" w:rsidRDefault="00B666D8" w:rsidP="00F23667">
      <w:pPr>
        <w:jc w:val="both"/>
        <w:rPr>
          <w:lang w:val="en-US"/>
        </w:rPr>
      </w:pPr>
    </w:p>
    <w:p w14:paraId="4C9042E3" w14:textId="7A838AF9" w:rsidR="00B666D8" w:rsidRDefault="00B666D8" w:rsidP="00F23667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43C85B3" wp14:editId="069418AE">
            <wp:extent cx="5727700" cy="28638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76267" w14:textId="0DDCFB02" w:rsidR="00B666D8" w:rsidRDefault="00B666D8" w:rsidP="00F23667">
      <w:pPr>
        <w:jc w:val="both"/>
        <w:rPr>
          <w:lang w:val="en-US"/>
        </w:rPr>
      </w:pPr>
    </w:p>
    <w:p w14:paraId="71962F80" w14:textId="5FC33E69" w:rsidR="00B666D8" w:rsidRDefault="00B666D8" w:rsidP="00F23667">
      <w:pPr>
        <w:jc w:val="both"/>
        <w:rPr>
          <w:lang w:val="en-US"/>
        </w:rPr>
      </w:pPr>
      <w:r w:rsidRPr="002A291C">
        <w:rPr>
          <w:b/>
          <w:bCs/>
          <w:lang w:val="en-US"/>
        </w:rPr>
        <w:t xml:space="preserve">Figure </w:t>
      </w:r>
      <w:r w:rsidR="002A291C" w:rsidRPr="002A291C">
        <w:rPr>
          <w:b/>
          <w:bCs/>
          <w:lang w:val="en-US"/>
        </w:rPr>
        <w:t>2</w:t>
      </w:r>
      <w:r w:rsidRPr="002A291C">
        <w:rPr>
          <w:b/>
          <w:bCs/>
          <w:lang w:val="en-US"/>
        </w:rPr>
        <w:t>, E</w:t>
      </w:r>
      <w:r w:rsidR="009232A0">
        <w:rPr>
          <w:lang w:val="en-US"/>
        </w:rPr>
        <w:t>:</w:t>
      </w:r>
    </w:p>
    <w:p w14:paraId="06D2C72C" w14:textId="5F2F97BB" w:rsidR="00B666D8" w:rsidRDefault="00B666D8" w:rsidP="00F23667">
      <w:pPr>
        <w:jc w:val="both"/>
        <w:rPr>
          <w:lang w:val="en-US"/>
        </w:rPr>
      </w:pPr>
    </w:p>
    <w:p w14:paraId="3FDCDC57" w14:textId="152A767E" w:rsidR="00B666D8" w:rsidRDefault="00B666D8" w:rsidP="00F23667">
      <w:pPr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4E8CF6B" wp14:editId="2921EA69">
            <wp:extent cx="5727700" cy="286385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08A08" w14:textId="1C20E620" w:rsidR="00B666D8" w:rsidRDefault="00B666D8" w:rsidP="00F23667">
      <w:pPr>
        <w:jc w:val="both"/>
        <w:rPr>
          <w:lang w:val="en-US"/>
        </w:rPr>
      </w:pPr>
    </w:p>
    <w:p w14:paraId="35291AD0" w14:textId="2D353003" w:rsidR="00B666D8" w:rsidRDefault="00B666D8" w:rsidP="00F23667">
      <w:pPr>
        <w:jc w:val="both"/>
        <w:rPr>
          <w:lang w:val="en-US"/>
        </w:rPr>
      </w:pPr>
      <w:r w:rsidRPr="002A291C">
        <w:rPr>
          <w:b/>
          <w:bCs/>
          <w:lang w:val="en-US"/>
        </w:rPr>
        <w:t xml:space="preserve">Figure </w:t>
      </w:r>
      <w:r w:rsidR="002A291C" w:rsidRPr="002A291C">
        <w:rPr>
          <w:b/>
          <w:bCs/>
          <w:lang w:val="en-US"/>
        </w:rPr>
        <w:t>2</w:t>
      </w:r>
      <w:r w:rsidRPr="002A291C">
        <w:rPr>
          <w:b/>
          <w:bCs/>
          <w:lang w:val="en-US"/>
        </w:rPr>
        <w:t>, F</w:t>
      </w:r>
      <w:r w:rsidR="009232A0">
        <w:rPr>
          <w:lang w:val="en-US"/>
        </w:rPr>
        <w:t>:</w:t>
      </w:r>
    </w:p>
    <w:p w14:paraId="24478CF3" w14:textId="67F7036B" w:rsidR="00B666D8" w:rsidRDefault="00B666D8" w:rsidP="00F23667">
      <w:pPr>
        <w:jc w:val="both"/>
        <w:rPr>
          <w:lang w:val="en-US"/>
        </w:rPr>
      </w:pPr>
    </w:p>
    <w:p w14:paraId="0A4B021B" w14:textId="3CCD77D9" w:rsidR="00B666D8" w:rsidRDefault="00B666D8" w:rsidP="00F23667">
      <w:pPr>
        <w:pBdr>
          <w:bottom w:val="single" w:sz="6" w:space="1" w:color="auto"/>
        </w:pBd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EDE79E8" wp14:editId="4A1B5BB9">
            <wp:extent cx="5727700" cy="28638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B8DD5" w14:textId="77777777" w:rsidR="009B2BAD" w:rsidRDefault="009B2BAD" w:rsidP="00F23667">
      <w:pPr>
        <w:pBdr>
          <w:bottom w:val="single" w:sz="6" w:space="1" w:color="auto"/>
        </w:pBdr>
        <w:jc w:val="both"/>
        <w:rPr>
          <w:lang w:val="en-US"/>
        </w:rPr>
      </w:pPr>
    </w:p>
    <w:p w14:paraId="6B2D640B" w14:textId="4763F34E" w:rsidR="009B2BAD" w:rsidRDefault="009B2BAD" w:rsidP="00F23667">
      <w:pPr>
        <w:jc w:val="both"/>
        <w:rPr>
          <w:lang w:val="en-US"/>
        </w:rPr>
      </w:pPr>
    </w:p>
    <w:p w14:paraId="6079D42C" w14:textId="1BE47B58" w:rsidR="009B2BAD" w:rsidRDefault="0050554E" w:rsidP="00F23667">
      <w:pPr>
        <w:jc w:val="both"/>
        <w:rPr>
          <w:lang w:val="en-US"/>
        </w:rPr>
      </w:pPr>
      <w:r w:rsidRPr="0050554E">
        <w:rPr>
          <w:lang w:val="en-US"/>
        </w:rPr>
        <w:t xml:space="preserve">Figure </w:t>
      </w:r>
      <w:r w:rsidR="002A291C">
        <w:rPr>
          <w:lang w:val="en-US"/>
        </w:rPr>
        <w:t>2</w:t>
      </w:r>
      <w:r w:rsidRPr="0050554E">
        <w:rPr>
          <w:lang w:val="en-US"/>
        </w:rPr>
        <w:t xml:space="preserve"> depicts a fairly even distribution of </w:t>
      </w:r>
      <w:r w:rsidR="0002143F">
        <w:rPr>
          <w:lang w:val="en-US"/>
        </w:rPr>
        <w:t xml:space="preserve">all </w:t>
      </w:r>
      <w:r w:rsidRPr="0050554E">
        <w:rPr>
          <w:lang w:val="en-US"/>
        </w:rPr>
        <w:t xml:space="preserve">signed absolute maxima of cytokine and patient series in the four quadrants. The points are distributed such that there is a global symmetry around lag zero for both positively and negatively cross-correlated cytokine and patient series. This indicates that there is no observed global trend in neither directionality in movement between the blood and brain-CSF compartments nor </w:t>
      </w:r>
      <w:r w:rsidR="00037F48">
        <w:rPr>
          <w:lang w:val="en-US"/>
        </w:rPr>
        <w:t xml:space="preserve">in </w:t>
      </w:r>
      <w:r w:rsidRPr="0050554E">
        <w:rPr>
          <w:lang w:val="en-US"/>
        </w:rPr>
        <w:t xml:space="preserve">relative concentration changes between the two compartments. </w:t>
      </w:r>
      <w:r w:rsidR="00907151">
        <w:rPr>
          <w:lang w:val="en-US"/>
        </w:rPr>
        <w:t xml:space="preserve">Furthermore, </w:t>
      </w:r>
      <w:r w:rsidR="00E0269F">
        <w:rPr>
          <w:lang w:val="en-US"/>
        </w:rPr>
        <w:t xml:space="preserve">when </w:t>
      </w:r>
      <w:r w:rsidR="00907151">
        <w:rPr>
          <w:lang w:val="en-US"/>
        </w:rPr>
        <w:t xml:space="preserve">grouping by treatment (Figure </w:t>
      </w:r>
      <w:r w:rsidR="00801C71">
        <w:rPr>
          <w:lang w:val="en-US"/>
        </w:rPr>
        <w:t>2</w:t>
      </w:r>
      <w:r w:rsidR="00907151">
        <w:rPr>
          <w:lang w:val="en-US"/>
        </w:rPr>
        <w:t xml:space="preserve">A), by inflammatory indicators (Figures </w:t>
      </w:r>
      <w:r w:rsidR="00801C71">
        <w:rPr>
          <w:lang w:val="en-US"/>
        </w:rPr>
        <w:t>2</w:t>
      </w:r>
      <w:r w:rsidR="00907151">
        <w:rPr>
          <w:lang w:val="en-US"/>
        </w:rPr>
        <w:t>B-</w:t>
      </w:r>
      <w:r w:rsidR="00801C71">
        <w:rPr>
          <w:lang w:val="en-US"/>
        </w:rPr>
        <w:t>2</w:t>
      </w:r>
      <w:r w:rsidR="00907151">
        <w:rPr>
          <w:lang w:val="en-US"/>
        </w:rPr>
        <w:t xml:space="preserve">E) or by level of multi-trauma measured by the injury severity score (ISS) (Figure </w:t>
      </w:r>
      <w:r w:rsidR="00801C71">
        <w:rPr>
          <w:lang w:val="en-US"/>
        </w:rPr>
        <w:t>2</w:t>
      </w:r>
      <w:r w:rsidR="00907151">
        <w:rPr>
          <w:lang w:val="en-US"/>
        </w:rPr>
        <w:t xml:space="preserve">F), there is no significant difference between the groups globally. However, </w:t>
      </w:r>
      <w:r w:rsidR="00A81EE0">
        <w:rPr>
          <w:lang w:val="en-US"/>
        </w:rPr>
        <w:t>on average</w:t>
      </w:r>
      <w:r w:rsidR="00E84F45">
        <w:rPr>
          <w:lang w:val="en-US"/>
        </w:rPr>
        <w:t xml:space="preserve"> for all cytokine and patient series</w:t>
      </w:r>
      <w:r w:rsidR="00A81EE0">
        <w:rPr>
          <w:lang w:val="en-US"/>
        </w:rPr>
        <w:t>,</w:t>
      </w:r>
      <w:r w:rsidR="00907151">
        <w:rPr>
          <w:lang w:val="en-US"/>
        </w:rPr>
        <w:t xml:space="preserve"> activity in the brain </w:t>
      </w:r>
      <w:r w:rsidR="004B1406">
        <w:rPr>
          <w:lang w:val="en-US"/>
        </w:rPr>
        <w:t xml:space="preserve">seems to </w:t>
      </w:r>
      <w:r w:rsidR="00907151">
        <w:rPr>
          <w:lang w:val="en-US"/>
        </w:rPr>
        <w:t>precede activity in the blood, with a small positive correlation</w:t>
      </w:r>
      <w:r w:rsidR="00483B16">
        <w:rPr>
          <w:lang w:val="en-US"/>
        </w:rPr>
        <w:t>.</w:t>
      </w:r>
      <w:r w:rsidR="00D0429A">
        <w:rPr>
          <w:lang w:val="en-US"/>
        </w:rPr>
        <w:t xml:space="preserve"> </w:t>
      </w:r>
      <w:r w:rsidR="00554169">
        <w:rPr>
          <w:lang w:val="en-US"/>
        </w:rPr>
        <w:t xml:space="preserve">Analogously </w:t>
      </w:r>
      <w:r w:rsidR="00C75E86">
        <w:rPr>
          <w:lang w:val="en-US"/>
        </w:rPr>
        <w:t>insignificantly</w:t>
      </w:r>
      <w:r w:rsidR="00554169">
        <w:rPr>
          <w:lang w:val="en-US"/>
        </w:rPr>
        <w:t>,</w:t>
      </w:r>
      <w:r w:rsidR="00722549">
        <w:rPr>
          <w:lang w:val="en-US"/>
        </w:rPr>
        <w:t xml:space="preserve"> we can observe the following weak trends of averages:</w:t>
      </w:r>
      <w:r w:rsidR="00D0429A">
        <w:rPr>
          <w:lang w:val="en-US"/>
        </w:rPr>
        <w:t xml:space="preserve"> </w:t>
      </w:r>
      <w:r w:rsidR="00722549">
        <w:rPr>
          <w:lang w:val="en-US"/>
        </w:rPr>
        <w:t xml:space="preserve">(1) </w:t>
      </w:r>
      <w:r w:rsidR="005E523D">
        <w:rPr>
          <w:lang w:val="en-US"/>
        </w:rPr>
        <w:t>IL1ra</w:t>
      </w:r>
      <w:r w:rsidR="00722549">
        <w:rPr>
          <w:lang w:val="en-US"/>
        </w:rPr>
        <w:t>-treated patients</w:t>
      </w:r>
      <w:r w:rsidR="005E523D">
        <w:rPr>
          <w:lang w:val="en-US"/>
        </w:rPr>
        <w:t xml:space="preserve"> </w:t>
      </w:r>
      <w:r w:rsidR="00722549">
        <w:rPr>
          <w:lang w:val="en-US"/>
        </w:rPr>
        <w:t>have a</w:t>
      </w:r>
      <w:r w:rsidR="002E644C">
        <w:rPr>
          <w:lang w:val="en-US"/>
        </w:rPr>
        <w:t xml:space="preserve">n </w:t>
      </w:r>
      <w:r w:rsidR="002E644C">
        <w:rPr>
          <w:lang w:val="en-US"/>
        </w:rPr>
        <w:lastRenderedPageBreak/>
        <w:t>insignificant inclination to a</w:t>
      </w:r>
      <w:r w:rsidR="00722549">
        <w:rPr>
          <w:lang w:val="en-US"/>
        </w:rPr>
        <w:t xml:space="preserve"> brain-before-blood pattern, (2) patients with infection seem to </w:t>
      </w:r>
      <w:r w:rsidR="002E644C">
        <w:rPr>
          <w:lang w:val="en-US"/>
        </w:rPr>
        <w:t xml:space="preserve">have an insignificant inclination to a </w:t>
      </w:r>
      <w:r w:rsidR="00722549">
        <w:rPr>
          <w:lang w:val="en-US"/>
        </w:rPr>
        <w:t xml:space="preserve">brain-before-blood pattern, (3) there are no differences in lag for patients with high values of CRP or WCC, (4) patients with </w:t>
      </w:r>
      <w:r w:rsidR="00722549" w:rsidRPr="00722549">
        <w:rPr>
          <w:i/>
          <w:iCs/>
          <w:lang w:val="en-US"/>
        </w:rPr>
        <w:t>lower</w:t>
      </w:r>
      <w:r w:rsidR="00722549">
        <w:rPr>
          <w:lang w:val="en-US"/>
        </w:rPr>
        <w:t xml:space="preserve"> body temperature </w:t>
      </w:r>
      <w:r w:rsidR="002E644C">
        <w:rPr>
          <w:lang w:val="en-US"/>
        </w:rPr>
        <w:t xml:space="preserve">have an insignificant inclination to a </w:t>
      </w:r>
      <w:r w:rsidR="00722549">
        <w:rPr>
          <w:lang w:val="en-US"/>
        </w:rPr>
        <w:t xml:space="preserve">brain-before-blood pattern, and (5) patients with </w:t>
      </w:r>
      <w:r w:rsidR="00D93CE5">
        <w:rPr>
          <w:lang w:val="en-US"/>
        </w:rPr>
        <w:t xml:space="preserve">higher ISS </w:t>
      </w:r>
      <w:r w:rsidR="002E644C">
        <w:rPr>
          <w:lang w:val="en-US"/>
        </w:rPr>
        <w:t xml:space="preserve">have an insignificant inclination to a </w:t>
      </w:r>
      <w:r w:rsidR="00D93CE5">
        <w:rPr>
          <w:lang w:val="en-US"/>
        </w:rPr>
        <w:t xml:space="preserve">brain-before-blood pattern. </w:t>
      </w:r>
      <w:r w:rsidR="004E3B10">
        <w:rPr>
          <w:lang w:val="en-US"/>
        </w:rPr>
        <w:t xml:space="preserve">Speculatively, this could indicate that patients who have extracerebral inflammation – for example infection or extracranial trauma – have controlled levels of cytokines </w:t>
      </w:r>
      <w:r w:rsidR="002E644C">
        <w:rPr>
          <w:lang w:val="en-US"/>
        </w:rPr>
        <w:t>in</w:t>
      </w:r>
      <w:r w:rsidR="004E3B10">
        <w:rPr>
          <w:lang w:val="en-US"/>
        </w:rPr>
        <w:t xml:space="preserve"> the brain, which subsequently influence cytokine levels in the blood.</w:t>
      </w:r>
      <w:r w:rsidR="003E0D4B">
        <w:rPr>
          <w:lang w:val="en-US"/>
        </w:rPr>
        <w:t xml:space="preserve"> Yet, since the confidence intervals are </w:t>
      </w:r>
      <w:r w:rsidR="004252AA">
        <w:rPr>
          <w:lang w:val="en-US"/>
        </w:rPr>
        <w:t xml:space="preserve">extensively overlapping, the data shows no clear </w:t>
      </w:r>
      <w:r w:rsidR="00B961FA">
        <w:rPr>
          <w:lang w:val="en-US"/>
        </w:rPr>
        <w:t xml:space="preserve">general </w:t>
      </w:r>
      <w:r w:rsidR="004252AA">
        <w:rPr>
          <w:lang w:val="en-US"/>
        </w:rPr>
        <w:t xml:space="preserve">relationship between the inflammatory parameters and the temporal relationships of systemic and cerebral cytokines. </w:t>
      </w:r>
    </w:p>
    <w:p w14:paraId="4235FBFA" w14:textId="2C109098" w:rsidR="00C45746" w:rsidRDefault="00C45746" w:rsidP="00F23667">
      <w:pPr>
        <w:jc w:val="both"/>
        <w:rPr>
          <w:lang w:val="en-US"/>
        </w:rPr>
      </w:pPr>
    </w:p>
    <w:p w14:paraId="2C85D138" w14:textId="2AF95C16" w:rsidR="00E16671" w:rsidRDefault="00E33E5A" w:rsidP="003131E4">
      <w:pPr>
        <w:jc w:val="both"/>
        <w:rPr>
          <w:lang w:val="en-US"/>
        </w:rPr>
      </w:pPr>
      <w:r>
        <w:rPr>
          <w:lang w:val="en-US"/>
        </w:rPr>
        <w:t>Although there</w:t>
      </w:r>
      <w:r w:rsidR="00900767">
        <w:rPr>
          <w:lang w:val="en-US"/>
        </w:rPr>
        <w:t xml:space="preserve"> m</w:t>
      </w:r>
      <w:r w:rsidR="00E7514E">
        <w:rPr>
          <w:lang w:val="en-US"/>
        </w:rPr>
        <w:t>ight</w:t>
      </w:r>
      <w:r w:rsidR="00900767">
        <w:rPr>
          <w:lang w:val="en-US"/>
        </w:rPr>
        <w:t xml:space="preserve"> not be an average global trend for all 42 cytokines in the 20 patients included in this study, individual cytokines or patients </w:t>
      </w:r>
      <w:r w:rsidR="004D4876">
        <w:rPr>
          <w:lang w:val="en-US"/>
        </w:rPr>
        <w:t>could</w:t>
      </w:r>
      <w:r w:rsidR="00900767">
        <w:rPr>
          <w:lang w:val="en-US"/>
        </w:rPr>
        <w:t xml:space="preserve"> have distinct patterns. In an attempt to address </w:t>
      </w:r>
      <w:r w:rsidR="00147981">
        <w:rPr>
          <w:lang w:val="en-US"/>
        </w:rPr>
        <w:t>th</w:t>
      </w:r>
      <w:r w:rsidR="0014374A">
        <w:rPr>
          <w:lang w:val="en-US"/>
        </w:rPr>
        <w:t>is</w:t>
      </w:r>
      <w:r w:rsidR="00147981">
        <w:rPr>
          <w:lang w:val="en-US"/>
        </w:rPr>
        <w:t xml:space="preserve"> hypothesis</w:t>
      </w:r>
      <w:r w:rsidR="0014374A">
        <w:rPr>
          <w:lang w:val="en-US"/>
        </w:rPr>
        <w:t xml:space="preserve">, </w:t>
      </w:r>
      <w:r w:rsidR="00A70369">
        <w:rPr>
          <w:lang w:val="en-US"/>
        </w:rPr>
        <w:t xml:space="preserve">we visually examined plots for every cytokine, colored as in Figure </w:t>
      </w:r>
      <w:r w:rsidR="00102DCB">
        <w:rPr>
          <w:lang w:val="en-US"/>
        </w:rPr>
        <w:t>2</w:t>
      </w:r>
      <w:r w:rsidR="00A70369">
        <w:rPr>
          <w:lang w:val="en-US"/>
        </w:rPr>
        <w:t>, as well as plots for every patient, annotated with the same parameters</w:t>
      </w:r>
      <w:r w:rsidR="002E644C">
        <w:rPr>
          <w:lang w:val="en-US"/>
        </w:rPr>
        <w:t xml:space="preserve"> </w:t>
      </w:r>
      <w:r w:rsidR="002E644C">
        <w:rPr>
          <w:b/>
          <w:bCs/>
          <w:lang w:val="en-US"/>
        </w:rPr>
        <w:t xml:space="preserve">[Supplementary Materials: </w:t>
      </w:r>
      <w:r w:rsidR="002E644C" w:rsidRPr="002E644C">
        <w:rPr>
          <w:b/>
          <w:bCs/>
          <w:lang w:val="en-US"/>
        </w:rPr>
        <w:t xml:space="preserve">Supplementary Materials 1 </w:t>
      </w:r>
      <w:r w:rsidR="002E644C">
        <w:rPr>
          <w:b/>
          <w:bCs/>
          <w:lang w:val="en-US"/>
        </w:rPr>
        <w:t>–</w:t>
      </w:r>
      <w:r w:rsidR="002E644C" w:rsidRPr="002E644C">
        <w:rPr>
          <w:b/>
          <w:bCs/>
          <w:lang w:val="en-US"/>
        </w:rPr>
        <w:t xml:space="preserve"> Code</w:t>
      </w:r>
      <w:r w:rsidR="002E644C">
        <w:rPr>
          <w:b/>
          <w:bCs/>
          <w:lang w:val="en-US"/>
        </w:rPr>
        <w:t>: Figure 4 code]</w:t>
      </w:r>
      <w:r w:rsidR="00A70369">
        <w:rPr>
          <w:lang w:val="en-US"/>
        </w:rPr>
        <w:t xml:space="preserve">. </w:t>
      </w:r>
      <w:r w:rsidR="003131E4">
        <w:rPr>
          <w:lang w:val="en-US"/>
        </w:rPr>
        <w:t>Generally, we find a similar picture</w:t>
      </w:r>
      <w:r w:rsidR="005E37EB">
        <w:rPr>
          <w:lang w:val="en-US"/>
        </w:rPr>
        <w:t xml:space="preserve"> when looking at individual cytokines</w:t>
      </w:r>
      <w:r w:rsidR="003131E4">
        <w:rPr>
          <w:lang w:val="en-US"/>
        </w:rPr>
        <w:t xml:space="preserve"> as for the overall figures, where there is a small difference between two groups that is insignificant, with confidence intervals vastly overlapping. Significant findings </w:t>
      </w:r>
      <w:r w:rsidR="00265D32">
        <w:rPr>
          <w:lang w:val="en-US"/>
        </w:rPr>
        <w:t xml:space="preserve">for cytokines </w:t>
      </w:r>
      <w:r w:rsidR="003131E4">
        <w:rPr>
          <w:lang w:val="en-US"/>
        </w:rPr>
        <w:t xml:space="preserve">are summarized in </w:t>
      </w:r>
      <w:r w:rsidR="003131E4" w:rsidRPr="00A61BC8">
        <w:rPr>
          <w:b/>
          <w:bCs/>
          <w:lang w:val="en-US"/>
        </w:rPr>
        <w:t>Table</w:t>
      </w:r>
      <w:r w:rsidR="003131E4">
        <w:rPr>
          <w:lang w:val="en-US"/>
        </w:rPr>
        <w:t>.</w:t>
      </w:r>
      <w:r w:rsidR="00F01EFB">
        <w:rPr>
          <w:lang w:val="en-US"/>
        </w:rPr>
        <w:t xml:space="preserve"> </w:t>
      </w:r>
      <w:r w:rsidR="0004725A">
        <w:rPr>
          <w:lang w:val="en-US"/>
        </w:rPr>
        <w:t xml:space="preserve">When looking at individual patients, </w:t>
      </w:r>
      <w:r w:rsidR="004F6E4C">
        <w:rPr>
          <w:lang w:val="en-US"/>
        </w:rPr>
        <w:t>there are some patients leaning toward a brain-to-blood pattern and others oppositely, but there seems to be no pattern in regard to the inflammatory parameters studied.</w:t>
      </w:r>
    </w:p>
    <w:p w14:paraId="32312645" w14:textId="22960653" w:rsidR="005E37EB" w:rsidRDefault="005E37EB" w:rsidP="003131E4">
      <w:pPr>
        <w:jc w:val="both"/>
        <w:rPr>
          <w:lang w:val="en-US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560"/>
      </w:tblGrid>
      <w:tr w:rsidR="002B1240" w14:paraId="66A152B8" w14:textId="36858CF0" w:rsidTr="00677EC6">
        <w:trPr>
          <w:trHeight w:val="288"/>
        </w:trPr>
        <w:tc>
          <w:tcPr>
            <w:tcW w:w="1271" w:type="dxa"/>
          </w:tcPr>
          <w:p w14:paraId="32A731AD" w14:textId="3AC4CA6C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Cytokine</w:t>
            </w:r>
          </w:p>
        </w:tc>
        <w:tc>
          <w:tcPr>
            <w:tcW w:w="1276" w:type="dxa"/>
          </w:tcPr>
          <w:p w14:paraId="53297BEF" w14:textId="4437B96B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Parameter</w:t>
            </w:r>
          </w:p>
        </w:tc>
        <w:tc>
          <w:tcPr>
            <w:tcW w:w="4819" w:type="dxa"/>
          </w:tcPr>
          <w:p w14:paraId="7984619A" w14:textId="4A4F7612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Finding</w:t>
            </w:r>
          </w:p>
        </w:tc>
        <w:tc>
          <w:tcPr>
            <w:tcW w:w="1560" w:type="dxa"/>
          </w:tcPr>
          <w:p w14:paraId="3C7CB352" w14:textId="636B6B8B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# of data points</w:t>
            </w:r>
            <w:r w:rsidR="00677EC6">
              <w:rPr>
                <w:lang w:val="en-US"/>
              </w:rPr>
              <w:t xml:space="preserve"> in plot</w:t>
            </w:r>
          </w:p>
        </w:tc>
      </w:tr>
      <w:tr w:rsidR="002B1240" w14:paraId="249F8379" w14:textId="719965C4" w:rsidTr="00677EC6">
        <w:trPr>
          <w:trHeight w:val="886"/>
        </w:trPr>
        <w:tc>
          <w:tcPr>
            <w:tcW w:w="1271" w:type="dxa"/>
          </w:tcPr>
          <w:p w14:paraId="55EF4DC2" w14:textId="2FB255F7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GM-CSF</w:t>
            </w:r>
          </w:p>
        </w:tc>
        <w:tc>
          <w:tcPr>
            <w:tcW w:w="1276" w:type="dxa"/>
          </w:tcPr>
          <w:p w14:paraId="5887016A" w14:textId="3C10182E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WCC</w:t>
            </w:r>
          </w:p>
        </w:tc>
        <w:tc>
          <w:tcPr>
            <w:tcW w:w="4819" w:type="dxa"/>
          </w:tcPr>
          <w:p w14:paraId="4E4E159A" w14:textId="382D5019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Brain-after-blood pattern for low WCC levels.</w:t>
            </w:r>
          </w:p>
        </w:tc>
        <w:tc>
          <w:tcPr>
            <w:tcW w:w="1560" w:type="dxa"/>
          </w:tcPr>
          <w:p w14:paraId="24E20D69" w14:textId="404DC7DB" w:rsidR="002B1240" w:rsidRDefault="008D7D13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2B1240" w14:paraId="65CBB713" w14:textId="7B7AAF68" w:rsidTr="00677EC6">
        <w:trPr>
          <w:trHeight w:val="1752"/>
        </w:trPr>
        <w:tc>
          <w:tcPr>
            <w:tcW w:w="1271" w:type="dxa"/>
          </w:tcPr>
          <w:p w14:paraId="16837A39" w14:textId="32886577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IL-1ra</w:t>
            </w:r>
          </w:p>
        </w:tc>
        <w:tc>
          <w:tcPr>
            <w:tcW w:w="1276" w:type="dxa"/>
          </w:tcPr>
          <w:p w14:paraId="4CF49833" w14:textId="41B9AC8F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Infection</w:t>
            </w:r>
          </w:p>
        </w:tc>
        <w:tc>
          <w:tcPr>
            <w:tcW w:w="4819" w:type="dxa"/>
          </w:tcPr>
          <w:p w14:paraId="5E7FBEE8" w14:textId="5951E62E" w:rsidR="002B1240" w:rsidRDefault="002B1240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Negative cross-correlations for patients with infection. (Both groups have a brain-after-blood pattern.)</w:t>
            </w:r>
          </w:p>
        </w:tc>
        <w:tc>
          <w:tcPr>
            <w:tcW w:w="1560" w:type="dxa"/>
          </w:tcPr>
          <w:p w14:paraId="2CA8350C" w14:textId="7BD3FD81" w:rsidR="002B1240" w:rsidRDefault="008D7D13" w:rsidP="003131E4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2B1240" w14:paraId="32F29D5D" w14:textId="1DA75417" w:rsidTr="00677EC6">
        <w:trPr>
          <w:trHeight w:val="1763"/>
        </w:trPr>
        <w:tc>
          <w:tcPr>
            <w:tcW w:w="1271" w:type="dxa"/>
          </w:tcPr>
          <w:p w14:paraId="533B4A37" w14:textId="5045F7A1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IL-7</w:t>
            </w:r>
          </w:p>
        </w:tc>
        <w:tc>
          <w:tcPr>
            <w:tcW w:w="1276" w:type="dxa"/>
          </w:tcPr>
          <w:p w14:paraId="249AF28E" w14:textId="6BC51DC0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Treatment</w:t>
            </w:r>
          </w:p>
        </w:tc>
        <w:tc>
          <w:tcPr>
            <w:tcW w:w="4819" w:type="dxa"/>
          </w:tcPr>
          <w:p w14:paraId="6757EB81" w14:textId="6CF87491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Positive cross-correlations for patients with IL-1ra treatment. (Both groups have mixed signs of lags.)</w:t>
            </w:r>
          </w:p>
        </w:tc>
        <w:tc>
          <w:tcPr>
            <w:tcW w:w="1560" w:type="dxa"/>
          </w:tcPr>
          <w:p w14:paraId="26C29AD8" w14:textId="292AE1ED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2B1240" w14:paraId="292D3EC6" w14:textId="773D0EB2" w:rsidTr="00677EC6">
        <w:trPr>
          <w:trHeight w:val="288"/>
        </w:trPr>
        <w:tc>
          <w:tcPr>
            <w:tcW w:w="1271" w:type="dxa"/>
          </w:tcPr>
          <w:p w14:paraId="208BC909" w14:textId="6B2A3FC6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IL-7</w:t>
            </w:r>
          </w:p>
        </w:tc>
        <w:tc>
          <w:tcPr>
            <w:tcW w:w="1276" w:type="dxa"/>
          </w:tcPr>
          <w:p w14:paraId="2DAC265A" w14:textId="535CE7DB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ISS</w:t>
            </w:r>
          </w:p>
        </w:tc>
        <w:tc>
          <w:tcPr>
            <w:tcW w:w="4819" w:type="dxa"/>
          </w:tcPr>
          <w:p w14:paraId="40481A7F" w14:textId="0D63AD39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Brain-before-blood pattern for low ISS.</w:t>
            </w:r>
          </w:p>
        </w:tc>
        <w:tc>
          <w:tcPr>
            <w:tcW w:w="1560" w:type="dxa"/>
          </w:tcPr>
          <w:p w14:paraId="7C69B05B" w14:textId="6D2A0534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2B1240" w14:paraId="13915E60" w14:textId="3AD6F7CD" w:rsidTr="00677EC6">
        <w:trPr>
          <w:trHeight w:val="288"/>
        </w:trPr>
        <w:tc>
          <w:tcPr>
            <w:tcW w:w="1271" w:type="dxa"/>
          </w:tcPr>
          <w:p w14:paraId="47CDF417" w14:textId="0C16883A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IL-12-p70</w:t>
            </w:r>
          </w:p>
        </w:tc>
        <w:tc>
          <w:tcPr>
            <w:tcW w:w="1276" w:type="dxa"/>
          </w:tcPr>
          <w:p w14:paraId="4319FF1B" w14:textId="5D0A9B2F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Infection</w:t>
            </w:r>
          </w:p>
        </w:tc>
        <w:tc>
          <w:tcPr>
            <w:tcW w:w="4819" w:type="dxa"/>
          </w:tcPr>
          <w:p w14:paraId="575C8619" w14:textId="5BED48B7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Brain-before-blood pattern for patients with infection.</w:t>
            </w:r>
          </w:p>
        </w:tc>
        <w:tc>
          <w:tcPr>
            <w:tcW w:w="1560" w:type="dxa"/>
          </w:tcPr>
          <w:p w14:paraId="63ED35A2" w14:textId="390B8386" w:rsidR="002B1240" w:rsidRDefault="002B1240" w:rsidP="002B1240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884319" w14:paraId="13B01609" w14:textId="77777777" w:rsidTr="00677EC6">
        <w:trPr>
          <w:trHeight w:val="288"/>
        </w:trPr>
        <w:tc>
          <w:tcPr>
            <w:tcW w:w="1271" w:type="dxa"/>
          </w:tcPr>
          <w:p w14:paraId="3334ED42" w14:textId="6EC9E9E1" w:rsidR="00884319" w:rsidRDefault="00884319" w:rsidP="00884319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IL-12-p70</w:t>
            </w:r>
          </w:p>
        </w:tc>
        <w:tc>
          <w:tcPr>
            <w:tcW w:w="1276" w:type="dxa"/>
          </w:tcPr>
          <w:p w14:paraId="107EC536" w14:textId="7FD506AE" w:rsidR="00884319" w:rsidRDefault="00884319" w:rsidP="00884319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WCC</w:t>
            </w:r>
          </w:p>
        </w:tc>
        <w:tc>
          <w:tcPr>
            <w:tcW w:w="4819" w:type="dxa"/>
          </w:tcPr>
          <w:p w14:paraId="6A605FFD" w14:textId="05968142" w:rsidR="00884319" w:rsidRDefault="00884319" w:rsidP="00884319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Brain-before-blood pattern for patients with high WCC levels.</w:t>
            </w:r>
          </w:p>
        </w:tc>
        <w:tc>
          <w:tcPr>
            <w:tcW w:w="1560" w:type="dxa"/>
          </w:tcPr>
          <w:p w14:paraId="0E4F4FAB" w14:textId="119946BF" w:rsidR="00884319" w:rsidRDefault="00884319" w:rsidP="00884319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</w:tbl>
    <w:p w14:paraId="707D6F26" w14:textId="77777777" w:rsidR="005E37EB" w:rsidRDefault="005E37EB" w:rsidP="003131E4">
      <w:pPr>
        <w:jc w:val="both"/>
        <w:rPr>
          <w:lang w:val="en-US"/>
        </w:rPr>
      </w:pPr>
    </w:p>
    <w:p w14:paraId="554B45F2" w14:textId="77777777" w:rsidR="003131E4" w:rsidRPr="00AD5D09" w:rsidRDefault="003131E4" w:rsidP="00F23667">
      <w:pPr>
        <w:jc w:val="both"/>
        <w:rPr>
          <w:lang w:val="en-US"/>
        </w:rPr>
      </w:pPr>
    </w:p>
    <w:sectPr w:rsidR="003131E4" w:rsidRPr="00AD5D09" w:rsidSect="0063474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D09"/>
    <w:rsid w:val="0002143F"/>
    <w:rsid w:val="00030FA7"/>
    <w:rsid w:val="00037F48"/>
    <w:rsid w:val="0004725A"/>
    <w:rsid w:val="00102DCB"/>
    <w:rsid w:val="0014374A"/>
    <w:rsid w:val="00147981"/>
    <w:rsid w:val="001545E5"/>
    <w:rsid w:val="001820B0"/>
    <w:rsid w:val="001B0ABD"/>
    <w:rsid w:val="001B193C"/>
    <w:rsid w:val="001E1E95"/>
    <w:rsid w:val="001E54A0"/>
    <w:rsid w:val="001F7981"/>
    <w:rsid w:val="00234697"/>
    <w:rsid w:val="00265D32"/>
    <w:rsid w:val="002A291C"/>
    <w:rsid w:val="002B1240"/>
    <w:rsid w:val="002C458A"/>
    <w:rsid w:val="002E644C"/>
    <w:rsid w:val="002F7A38"/>
    <w:rsid w:val="003131E4"/>
    <w:rsid w:val="003252FA"/>
    <w:rsid w:val="00334068"/>
    <w:rsid w:val="00354E50"/>
    <w:rsid w:val="003D2D3E"/>
    <w:rsid w:val="003E0D4B"/>
    <w:rsid w:val="004252AA"/>
    <w:rsid w:val="00483B16"/>
    <w:rsid w:val="004B1406"/>
    <w:rsid w:val="004D4876"/>
    <w:rsid w:val="004E3B10"/>
    <w:rsid w:val="004F6E4C"/>
    <w:rsid w:val="0050554E"/>
    <w:rsid w:val="00554169"/>
    <w:rsid w:val="00562BC4"/>
    <w:rsid w:val="005E37EB"/>
    <w:rsid w:val="005E523D"/>
    <w:rsid w:val="00624A4F"/>
    <w:rsid w:val="0063474C"/>
    <w:rsid w:val="00677EC6"/>
    <w:rsid w:val="007117F7"/>
    <w:rsid w:val="00722549"/>
    <w:rsid w:val="0072729A"/>
    <w:rsid w:val="00801C71"/>
    <w:rsid w:val="00884319"/>
    <w:rsid w:val="008C2B72"/>
    <w:rsid w:val="008D7D13"/>
    <w:rsid w:val="00900767"/>
    <w:rsid w:val="00907151"/>
    <w:rsid w:val="009232A0"/>
    <w:rsid w:val="00931FB0"/>
    <w:rsid w:val="0095182F"/>
    <w:rsid w:val="00974F73"/>
    <w:rsid w:val="00981876"/>
    <w:rsid w:val="009B2BAD"/>
    <w:rsid w:val="00A33A10"/>
    <w:rsid w:val="00A56E6C"/>
    <w:rsid w:val="00A61BC8"/>
    <w:rsid w:val="00A70369"/>
    <w:rsid w:val="00A7352E"/>
    <w:rsid w:val="00A802E7"/>
    <w:rsid w:val="00A81EE0"/>
    <w:rsid w:val="00AC2FF2"/>
    <w:rsid w:val="00AC40B7"/>
    <w:rsid w:val="00AD5D09"/>
    <w:rsid w:val="00AF367F"/>
    <w:rsid w:val="00B5472C"/>
    <w:rsid w:val="00B63631"/>
    <w:rsid w:val="00B666D8"/>
    <w:rsid w:val="00B961FA"/>
    <w:rsid w:val="00BC17F5"/>
    <w:rsid w:val="00BE1737"/>
    <w:rsid w:val="00C45746"/>
    <w:rsid w:val="00C634A2"/>
    <w:rsid w:val="00C75E86"/>
    <w:rsid w:val="00C83F2E"/>
    <w:rsid w:val="00C910E8"/>
    <w:rsid w:val="00D0429A"/>
    <w:rsid w:val="00D2247B"/>
    <w:rsid w:val="00D35181"/>
    <w:rsid w:val="00D903E4"/>
    <w:rsid w:val="00D93CE5"/>
    <w:rsid w:val="00E0269F"/>
    <w:rsid w:val="00E16671"/>
    <w:rsid w:val="00E33E5A"/>
    <w:rsid w:val="00E7514E"/>
    <w:rsid w:val="00E84F45"/>
    <w:rsid w:val="00EB6369"/>
    <w:rsid w:val="00ED610D"/>
    <w:rsid w:val="00F01EFB"/>
    <w:rsid w:val="00F23667"/>
    <w:rsid w:val="00F27389"/>
    <w:rsid w:val="00F50C0A"/>
    <w:rsid w:val="00F6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C2E1F4"/>
  <w15:chartTrackingRefBased/>
  <w15:docId w15:val="{D8C86355-39AC-404F-80AC-F0543CCF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3D0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D07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5E37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7</Pages>
  <Words>971</Words>
  <Characters>5538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Lassarén</dc:creator>
  <cp:keywords/>
  <dc:description/>
  <cp:lastModifiedBy>Philipp Lassarén</cp:lastModifiedBy>
  <cp:revision>92</cp:revision>
  <dcterms:created xsi:type="dcterms:W3CDTF">2020-09-06T17:13:00Z</dcterms:created>
  <dcterms:modified xsi:type="dcterms:W3CDTF">2021-03-18T12:13:00Z</dcterms:modified>
</cp:coreProperties>
</file>