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D9D7B" w14:textId="77777777" w:rsidR="00FA7AA4" w:rsidRPr="00FA7AA4" w:rsidRDefault="00FA7AA4" w:rsidP="00FA7AA4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FA7AA4">
        <w:rPr>
          <w:rFonts w:ascii="Times New Roman" w:hAnsi="Times New Roman" w:cs="Times New Roman"/>
          <w:color w:val="000000" w:themeColor="text1"/>
        </w:rPr>
        <w:t xml:space="preserve">Supplementary Material </w:t>
      </w:r>
    </w:p>
    <w:p w14:paraId="516F75B6" w14:textId="4B84EF9D" w:rsidR="00FA7AA4" w:rsidRPr="00FA7AA4" w:rsidRDefault="00FA7AA4" w:rsidP="00FA7AA4">
      <w:pPr>
        <w:pStyle w:val="tablelegend"/>
        <w:rPr>
          <w:rFonts w:ascii="Times New Roman" w:hAnsi="Times New Roman" w:cs="Times New Roman"/>
          <w:color w:val="000000" w:themeColor="text1"/>
        </w:rPr>
      </w:pPr>
      <w:r w:rsidRPr="00FA7AA4">
        <w:rPr>
          <w:rFonts w:ascii="Times New Roman" w:hAnsi="Times New Roman" w:cs="Times New Roman"/>
          <w:color w:val="000000" w:themeColor="text1"/>
        </w:rPr>
        <w:t>Table S1. Simulation outputs for the sensitivity analysis</w:t>
      </w:r>
      <w:r w:rsidR="006E7E2D">
        <w:rPr>
          <w:rFonts w:ascii="Times New Roman" w:hAnsi="Times New Roman" w:cs="Times New Roman"/>
          <w:color w:val="000000" w:themeColor="text1"/>
        </w:rPr>
        <w:t xml:space="preserve"> of 27 </w:t>
      </w:r>
      <w:r w:rsidR="00BD5304">
        <w:rPr>
          <w:rFonts w:ascii="Times New Roman" w:hAnsi="Times New Roman" w:cs="Times New Roman"/>
          <w:color w:val="000000" w:themeColor="text1"/>
        </w:rPr>
        <w:t>parameter setting</w:t>
      </w:r>
      <w:r w:rsidR="006E7E2D">
        <w:rPr>
          <w:rFonts w:ascii="Times New Roman" w:hAnsi="Times New Roman" w:cs="Times New Roman"/>
          <w:color w:val="000000" w:themeColor="text1"/>
        </w:rPr>
        <w:t>s</w:t>
      </w:r>
    </w:p>
    <w:tbl>
      <w:tblPr>
        <w:tblStyle w:val="TableGrid"/>
        <w:tblW w:w="7920" w:type="dxa"/>
        <w:tblLook w:val="04A0" w:firstRow="1" w:lastRow="0" w:firstColumn="1" w:lastColumn="0" w:noHBand="0" w:noVBand="1"/>
      </w:tblPr>
      <w:tblGrid>
        <w:gridCol w:w="1365"/>
        <w:gridCol w:w="1618"/>
        <w:gridCol w:w="1670"/>
        <w:gridCol w:w="1633"/>
        <w:gridCol w:w="1634"/>
      </w:tblGrid>
      <w:tr w:rsidR="00FA7AA4" w:rsidRPr="00FA7AA4" w14:paraId="6BC93895" w14:textId="77777777" w:rsidTr="00890BE2"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EAAAA" w:themeFill="background2" w:themeFillShade="BF"/>
          </w:tcPr>
          <w:p w14:paraId="3C03B50A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Case index</w:t>
            </w: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sym w:font="Symbol" w:char="F02A"/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EAAAA" w:themeFill="background2" w:themeFillShade="BF"/>
          </w:tcPr>
          <w:p w14:paraId="7545060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Total death (95% CI)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EAAAA" w:themeFill="background2" w:themeFillShade="BF"/>
          </w:tcPr>
          <w:p w14:paraId="7404A8E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Total rejection   (95% CI)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EAAAA" w:themeFill="background2" w:themeFillShade="BF"/>
          </w:tcPr>
          <w:p w14:paraId="71D1BEC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ICU daily census (95% CI)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EAAAA" w:themeFill="background2" w:themeFillShade="BF"/>
          </w:tcPr>
          <w:p w14:paraId="1691A08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Ward daily census (95% CI)</w:t>
            </w:r>
          </w:p>
        </w:tc>
      </w:tr>
      <w:tr w:rsidR="00FA7AA4" w:rsidRPr="00FA7AA4" w14:paraId="55B369AA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C938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4955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 (0.36, 0.58)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2B2C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24E2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0.17 (0.16, 0.17)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ACBBF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1.38 (1.36, 1.41)</w:t>
            </w:r>
          </w:p>
        </w:tc>
      </w:tr>
      <w:tr w:rsidR="00FA7AA4" w:rsidRPr="00FA7AA4" w14:paraId="1D76B67E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5EE9796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14:paraId="3DE3F5D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 (0.56, 0.84)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6D5ABEC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4D5690D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0.26 (0.26, 0.27)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0CFE93B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1.28 (1.25, 1.30)</w:t>
            </w:r>
          </w:p>
        </w:tc>
      </w:tr>
      <w:tr w:rsidR="00FA7AA4" w:rsidRPr="00FA7AA4" w14:paraId="0C99F7E1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43CAC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7075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 (1.05, 1.47)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06BC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E41B8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0.41 (0.40, 0.42)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008FD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 (1.06, 1.11)</w:t>
            </w:r>
          </w:p>
        </w:tc>
      </w:tr>
      <w:tr w:rsidR="00FA7AA4" w:rsidRPr="00FA7AA4" w14:paraId="44A1B939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9C73A0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B08BB8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 (0.83, 1.16)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90E5C3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 (0.00, 0.04)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6F3A83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 (0.31, 0.33)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C88BC04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2.62 (2.57, 2.67)</w:t>
            </w:r>
          </w:p>
        </w:tc>
      </w:tr>
      <w:tr w:rsidR="00FA7AA4" w:rsidRPr="00FA7AA4" w14:paraId="6DB843F2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B4B9C6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EBB9C9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1.59 (1.35, 1.83)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E742FA4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 (0.00, 0.01)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54831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 (0.49, 0.51)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736D5E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2.43 (2.38, 2.47)</w:t>
            </w:r>
          </w:p>
        </w:tc>
      </w:tr>
      <w:tr w:rsidR="00FA7AA4" w:rsidRPr="00FA7AA4" w14:paraId="4D59F438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1139CF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87A7C5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2.53 (2.21, 2.85)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E00D4B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 (0.00, 0.07)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0EC886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 (0.78, 0.82)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D39CC2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2.15 (2.11, 2.19)</w:t>
            </w:r>
          </w:p>
        </w:tc>
      </w:tr>
      <w:tr w:rsidR="00FA7AA4" w:rsidRPr="00FA7AA4" w14:paraId="035D7517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FAF27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33BAA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1.47 (1.26, 1.68)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D990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 (0.40, 0.90)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355A8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 (0.46, 0.48)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DE6F3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3.95 (3.88, 4.02)</w:t>
            </w:r>
          </w:p>
        </w:tc>
      </w:tr>
      <w:tr w:rsidR="00FA7AA4" w:rsidRPr="00FA7AA4" w14:paraId="1BF1EBFE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33619A3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14:paraId="426720C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2.27 (1.96, 2.57)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09614D7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 (0.13, 0.47)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74E643B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0.76 (0.75, 0.78)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40BFDF9A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3.60 (3.54, 3.67)</w:t>
            </w:r>
          </w:p>
        </w:tc>
      </w:tr>
      <w:tr w:rsidR="00FA7AA4" w:rsidRPr="00FA7AA4" w14:paraId="7956B1EF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728F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B86B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3.59 (3.16, 4.02)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9AEA8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0.44 (0.27, 0.61)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24EA2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 (1.17, 1.22)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8C12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3.13 (3.07, 3.19)</w:t>
            </w:r>
          </w:p>
        </w:tc>
      </w:tr>
      <w:tr w:rsidR="00FA7AA4" w:rsidRPr="00FA7AA4" w14:paraId="22D73257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DF5039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B971D6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0.66 (0.53, 0.79)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F4FF40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52655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0.22 (0.21, 0.22)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05E96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1.81 (1.78, 1.84)</w:t>
            </w:r>
          </w:p>
        </w:tc>
      </w:tr>
      <w:tr w:rsidR="00FA7AA4" w:rsidRPr="00FA7AA4" w14:paraId="157E6951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4B2F00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FADF2E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 (0.88, 1.23)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F4CB65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CFC6F24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0.34 (0.33, 0.35)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B4086C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1.67 (1.64, 1.70)</w:t>
            </w:r>
          </w:p>
        </w:tc>
      </w:tr>
      <w:tr w:rsidR="00FA7AA4" w:rsidRPr="00FA7AA4" w14:paraId="6BA40523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D9AFBA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DB5FEF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1.59 (1.37, 1.81)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A03A29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 (0.00, 0.01)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880AE8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 (0.53, 0.56)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BB3612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1.42 (1.39, 1.44)</w:t>
            </w:r>
          </w:p>
        </w:tc>
      </w:tr>
      <w:tr w:rsidR="00FA7AA4" w:rsidRPr="00FA7AA4" w14:paraId="6BA8BF4D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66115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B419B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1.20 (0.99, 1.41)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4C270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 (0.03, 0.18)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82EAFA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0.40 (0.39, 0.41)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7D36B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3.50 (3.44, 3.56)</w:t>
            </w:r>
          </w:p>
        </w:tc>
      </w:tr>
      <w:tr w:rsidR="00FA7AA4" w:rsidRPr="00FA7AA4" w14:paraId="2C6D2219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43BFEF6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14:paraId="3550E53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1.92 (1.66, 2.17)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7B7646C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 (0.02, 0.28)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0386D57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0.68 (0.67, 0.70)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66B798C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3.22 (3.16, 3.28)</w:t>
            </w:r>
          </w:p>
        </w:tc>
      </w:tr>
      <w:tr w:rsidR="00FA7AA4" w:rsidRPr="00FA7AA4" w14:paraId="3583AF4E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C1F31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96D92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3.07 (2.66, 3.48)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557F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 (0.20, 0.52)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BFA9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 (1.03, 1.08)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A441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2.81 (2.76, 2.86)</w:t>
            </w:r>
          </w:p>
        </w:tc>
      </w:tr>
      <w:tr w:rsidR="00FA7AA4" w:rsidRPr="00FA7AA4" w14:paraId="602ED618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7E9019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0EF489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1.75 (1.48, 2.01)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6C1767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3.40 (2.65, 4.14)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6E9AAD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0.62 (0.60, 0.63)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D4CA3A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4.96 (4.87, 5.04)</w:t>
            </w:r>
          </w:p>
        </w:tc>
      </w:tr>
      <w:tr w:rsidR="00FA7AA4" w:rsidRPr="00FA7AA4" w14:paraId="684CAD19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FD838C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507E16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2.93 (2.56, 3.30)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5EC02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2.69 (2.07, 3.31)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FFD5CB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 (0.99, 1.03)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5DA070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4.62 (4.55, 4.70)</w:t>
            </w:r>
          </w:p>
        </w:tc>
      </w:tr>
      <w:tr w:rsidR="00FA7AA4" w:rsidRPr="00FA7AA4" w14:paraId="15345FD0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099873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CE497A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4.72 (4.17, 5.27)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89BB41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1.94 (1.55, 2.33)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859CED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1.54 (1.51, 1.57)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862110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4.13 (4.06, 4.21)</w:t>
            </w:r>
          </w:p>
        </w:tc>
      </w:tr>
      <w:tr w:rsidR="00FA7AA4" w:rsidRPr="00FA7AA4" w14:paraId="1E402A5D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C645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B3074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 (0.65, 0.95)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2BBB5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BEAC1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0.27 (0.26, 0.27)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C734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2.26 (2.21, 2.30)</w:t>
            </w:r>
          </w:p>
        </w:tc>
      </w:tr>
      <w:tr w:rsidR="00FA7AA4" w:rsidRPr="00FA7AA4" w14:paraId="5E73B5A1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1EA6000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14:paraId="615B3ED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1.18 (0.99, 1.37)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0486B07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3E2BE64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 (0.42, 0.44)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352EC62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2.05 (2.02, 2.09)</w:t>
            </w:r>
          </w:p>
        </w:tc>
      </w:tr>
      <w:tr w:rsidR="00FA7AA4" w:rsidRPr="00FA7AA4" w14:paraId="7AB9452B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BD2E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7CE74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1.97 (1.70, 2.23)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7F16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 (0.00, 0.00)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4341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 (0.69, 0.72)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00B96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1.84 (1.80, 1.87)</w:t>
            </w:r>
          </w:p>
        </w:tc>
      </w:tr>
      <w:tr w:rsidR="00FA7AA4" w:rsidRPr="00FA7AA4" w14:paraId="6B1935DF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09F6DF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F4B8E5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1.61 (1.38, 1.84)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0A0EDC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1.26 (0.91, 1.61)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8CFF33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0.51 (0.50, 0.53)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CB3719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4.23 (4.16, 4.30)</w:t>
            </w:r>
          </w:p>
        </w:tc>
      </w:tr>
      <w:tr w:rsidR="00FA7AA4" w:rsidRPr="00FA7AA4" w14:paraId="3FCCCEA5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134968F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980D12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2.58 (2.23, 2.93)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DE5946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 (0.55, 1.21)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B7AD9DB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 (0.83, 0.87)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3048770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3.97 (3.90, 4.04)</w:t>
            </w:r>
          </w:p>
        </w:tc>
      </w:tr>
      <w:tr w:rsidR="00FA7AA4" w:rsidRPr="00FA7AA4" w14:paraId="70C46EB2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F206C8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9F14A8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3.99 (3.51, 4.47)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8C590D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0.68 (0.47, 0.89)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1E53240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1.33 (1.31, 1.36)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69943A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3.45 (3.39, 3.51)</w:t>
            </w:r>
          </w:p>
        </w:tc>
      </w:tr>
      <w:tr w:rsidR="00FA7AA4" w:rsidRPr="00FA7AA4" w14:paraId="05116435" w14:textId="77777777" w:rsidTr="00890BE2">
        <w:trPr>
          <w:trHeight w:hRule="exact" w:val="432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D7A29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8470E9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2.31 (2.00, 2.62)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EC8B7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9.35 (7.97, 10.73)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B0032A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0.77 (0.75, 0.78)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764A68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5.84 (5.74, 5.93)</w:t>
            </w:r>
          </w:p>
        </w:tc>
      </w:tr>
      <w:tr w:rsidR="00FA7AA4" w:rsidRPr="00FA7AA4" w14:paraId="4B3703E0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073DF27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14:paraId="6E8A7A77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3.66 (3.20, 4.12)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518927E2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7.12 (5.95, 8.29)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</w:tcPr>
          <w:p w14:paraId="15CBDE4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1.24 (1.22, 1.27)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14:paraId="491BD13E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5.48 (5.39, 5.57)</w:t>
            </w:r>
          </w:p>
        </w:tc>
      </w:tr>
      <w:tr w:rsidR="00FA7AA4" w:rsidRPr="00FA7AA4" w14:paraId="59092E86" w14:textId="77777777" w:rsidTr="00890BE2">
        <w:trPr>
          <w:trHeight w:hRule="exact" w:val="432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C85BD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36393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5.59 (4.97, 6.21)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CFD5EC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5.87 (4.86, 6.87)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4E7835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1.84 (1.81, 1.88)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6648F1" w14:textId="77777777" w:rsidR="00FA7AA4" w:rsidRPr="00FA7AA4" w:rsidRDefault="00FA7AA4" w:rsidP="00890BE2">
            <w:pPr>
              <w:pStyle w:val="tablelegend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7AA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4.90 (4.81, 4.98)</w:t>
            </w:r>
          </w:p>
        </w:tc>
      </w:tr>
    </w:tbl>
    <w:p w14:paraId="504AB6F3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sym w:font="Symbol" w:char="F02A"/>
      </w:r>
      <w:r w:rsidRPr="00FA7AA4">
        <w:rPr>
          <w:rFonts w:ascii="Times New Roman" w:hAnsi="Times New Roman" w:cs="Times New Roman"/>
          <w:color w:val="000000" w:themeColor="text1"/>
          <w:sz w:val="20"/>
        </w:rPr>
        <w:t>Case index is explained below:</w:t>
      </w:r>
      <w:r w:rsidRPr="00FA7AA4">
        <w:rPr>
          <w:rFonts w:ascii="Times New Roman" w:hAnsi="Times New Roman" w:cs="Times New Roman"/>
          <w:color w:val="000000" w:themeColor="text1"/>
          <w:sz w:val="20"/>
          <w:vertAlign w:val="superscript"/>
        </w:rPr>
        <w:t xml:space="preserve"> </w:t>
      </w:r>
    </w:p>
    <w:p w14:paraId="5D59742C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1-3: 15%, 25%, 40% ICU rate, with 15% hospitalization rate, 5% hospital market share.</w:t>
      </w:r>
    </w:p>
    <w:p w14:paraId="4BCAAB67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4-6: 15%, 25%, 40% ICU rate, with 15% hospitalization rate, 10% hospital market share.</w:t>
      </w:r>
    </w:p>
    <w:p w14:paraId="391E6C14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7-9: 15%, 25%, 40% ICU rate, with 15% hospitalization rate, 15% hospital market share.</w:t>
      </w:r>
    </w:p>
    <w:p w14:paraId="5F25170D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lastRenderedPageBreak/>
        <w:t>Cases 10-12: 15%, 25%, 40% ICU rate, with 20% hospitalization rate, 5% hospital market share.</w:t>
      </w:r>
    </w:p>
    <w:p w14:paraId="2CF23B1F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13-15: 15%, 25%, 40% ICU rate, with 20% hospitalization rate, 10% hospital market share.</w:t>
      </w:r>
    </w:p>
    <w:p w14:paraId="63D2CF3A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16-18: 15%, 25%, 40% ICU rate, with 20% hospitalization rate, 15% hospital market share.</w:t>
      </w:r>
    </w:p>
    <w:p w14:paraId="2964E267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19-21: 15%, 25%, 40% ICU rate, with 25% hospitalization rate, 5% hospital market share.</w:t>
      </w:r>
    </w:p>
    <w:p w14:paraId="1E4E4656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22-24: 15%, 25%, 40% ICU rate, with 25% hospitalization rate, 10% hospital market share.</w:t>
      </w:r>
    </w:p>
    <w:p w14:paraId="3BED1E92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  <w:sz w:val="20"/>
        </w:rPr>
      </w:pPr>
      <w:r w:rsidRPr="00FA7AA4">
        <w:rPr>
          <w:rFonts w:ascii="Times New Roman" w:hAnsi="Times New Roman" w:cs="Times New Roman"/>
          <w:color w:val="000000" w:themeColor="text1"/>
          <w:sz w:val="20"/>
        </w:rPr>
        <w:t>Cases 25-27: 15%, 25%, 40% ICU rate, with 25% hospitalization rate, 15% hospital market share.</w:t>
      </w:r>
    </w:p>
    <w:p w14:paraId="12BA8BE7" w14:textId="77777777" w:rsidR="00FA7AA4" w:rsidRPr="00FA7AA4" w:rsidRDefault="00FA7AA4" w:rsidP="00FA7AA4">
      <w:pPr>
        <w:pStyle w:val="tablelegend"/>
        <w:rPr>
          <w:rFonts w:ascii="Times New Roman" w:hAnsi="Times New Roman" w:cs="Times New Roman"/>
          <w:color w:val="000000" w:themeColor="text1"/>
        </w:rPr>
      </w:pPr>
    </w:p>
    <w:p w14:paraId="1995CDA0" w14:textId="77777777" w:rsidR="00FA7AA4" w:rsidRPr="00FA7AA4" w:rsidRDefault="00FA7AA4" w:rsidP="00FA7AA4">
      <w:pPr>
        <w:rPr>
          <w:rFonts w:ascii="Times New Roman" w:hAnsi="Times New Roman" w:cs="Times New Roman"/>
          <w:color w:val="000000" w:themeColor="text1"/>
        </w:rPr>
      </w:pPr>
    </w:p>
    <w:p w14:paraId="4E6C57C4" w14:textId="77777777" w:rsidR="00FA7AA4" w:rsidRPr="00FA7AA4" w:rsidRDefault="00FA7AA4">
      <w:pPr>
        <w:rPr>
          <w:rFonts w:ascii="Times New Roman" w:hAnsi="Times New Roman" w:cs="Times New Roman"/>
        </w:rPr>
      </w:pPr>
    </w:p>
    <w:sectPr w:rsidR="00FA7AA4" w:rsidRPr="00FA7AA4">
      <w:footerReference w:type="default" r:id="rId4"/>
      <w:pgSz w:w="11907" w:h="16840"/>
      <w:pgMar w:top="1418" w:right="1418" w:bottom="1134" w:left="25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E2927" w14:textId="77777777" w:rsidR="00FC24F8" w:rsidRDefault="00BD5304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AA4"/>
    <w:rsid w:val="006E7E2D"/>
    <w:rsid w:val="00BD5304"/>
    <w:rsid w:val="00FA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18F54"/>
  <w15:chartTrackingRefBased/>
  <w15:docId w15:val="{ADE48568-4153-4B12-AF08-E6815C6C0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AA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A7AA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FA7AA4"/>
  </w:style>
  <w:style w:type="character" w:styleId="PageNumber">
    <w:name w:val="page number"/>
    <w:basedOn w:val="DefaultParagraphFont"/>
    <w:rsid w:val="00FA7AA4"/>
  </w:style>
  <w:style w:type="paragraph" w:customStyle="1" w:styleId="heading1">
    <w:name w:val="heading1"/>
    <w:basedOn w:val="Normal"/>
    <w:next w:val="Normal"/>
    <w:rsid w:val="00FA7AA4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tablelegend">
    <w:name w:val="tablelegend"/>
    <w:basedOn w:val="Normal"/>
    <w:next w:val="Normal"/>
    <w:rsid w:val="00FA7AA4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FA7AA4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Zhong</dc:creator>
  <cp:keywords/>
  <dc:description/>
  <cp:lastModifiedBy>Xiang Zhong</cp:lastModifiedBy>
  <cp:revision>3</cp:revision>
  <dcterms:created xsi:type="dcterms:W3CDTF">2020-05-25T22:36:00Z</dcterms:created>
  <dcterms:modified xsi:type="dcterms:W3CDTF">2020-05-25T22:39:00Z</dcterms:modified>
</cp:coreProperties>
</file>