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B5991D" w14:textId="77777777" w:rsidR="00A6234F" w:rsidRPr="006E4684" w:rsidRDefault="00A6234F" w:rsidP="00A6234F">
      <w:pPr>
        <w:spacing w:line="480" w:lineRule="auto"/>
        <w:rPr>
          <w:rFonts w:ascii="Arial" w:hAnsi="Arial" w:cs="Arial"/>
          <w:b/>
          <w:bCs/>
          <w:color w:val="000000"/>
          <w:shd w:val="clear" w:color="auto" w:fill="FFFFFF"/>
        </w:rPr>
      </w:pPr>
      <w:r w:rsidRPr="006E4684">
        <w:rPr>
          <w:rFonts w:ascii="Arial" w:hAnsi="Arial" w:cs="Arial"/>
          <w:b/>
          <w:bCs/>
          <w:color w:val="000000"/>
          <w:shd w:val="clear" w:color="auto" w:fill="FFFFFF"/>
        </w:rPr>
        <w:t>APPENDIX</w:t>
      </w:r>
    </w:p>
    <w:p w14:paraId="12BFC2F5" w14:textId="77777777" w:rsidR="00A6234F" w:rsidRPr="00E370CD" w:rsidRDefault="00A6234F" w:rsidP="00A6234F">
      <w:pPr>
        <w:spacing w:line="480" w:lineRule="auto"/>
        <w:rPr>
          <w:rFonts w:ascii="Arial" w:hAnsi="Arial" w:cs="Arial"/>
          <w:color w:val="000000"/>
          <w:shd w:val="clear" w:color="auto" w:fill="FFFFFF"/>
        </w:rPr>
      </w:pPr>
    </w:p>
    <w:p w14:paraId="61A6E72D" w14:textId="77777777" w:rsidR="00A6234F" w:rsidRPr="00E370CD" w:rsidRDefault="00A6234F" w:rsidP="00A6234F">
      <w:pPr>
        <w:spacing w:line="480" w:lineRule="auto"/>
        <w:rPr>
          <w:rFonts w:ascii="Arial" w:hAnsi="Arial" w:cs="Arial"/>
          <w:b/>
          <w:bCs/>
          <w:iCs/>
          <w:spacing w:val="-1"/>
        </w:rPr>
      </w:pPr>
      <w:r w:rsidRPr="00E370CD">
        <w:rPr>
          <w:rFonts w:ascii="Arial" w:hAnsi="Arial" w:cs="Arial"/>
          <w:b/>
          <w:bCs/>
        </w:rPr>
        <w:t>Supplemental Table 1</w:t>
      </w:r>
      <w:bookmarkStart w:id="0" w:name="_Toc35794956"/>
      <w:bookmarkStart w:id="1" w:name="_Toc36481353"/>
      <w:r w:rsidRPr="00E370CD">
        <w:rPr>
          <w:rFonts w:ascii="Arial" w:hAnsi="Arial" w:cs="Arial"/>
          <w:b/>
          <w:bCs/>
        </w:rPr>
        <w:t>. Inclusion and Exclusion Criteria</w:t>
      </w:r>
      <w:bookmarkStart w:id="2" w:name="_Toc35794957"/>
      <w:bookmarkStart w:id="3" w:name="_Toc36481354"/>
      <w:bookmarkEnd w:id="0"/>
      <w:bookmarkEnd w:id="1"/>
    </w:p>
    <w:bookmarkEnd w:id="2"/>
    <w:bookmarkEnd w:id="3"/>
    <w:p w14:paraId="5AFF8FB3" w14:textId="77777777" w:rsidR="00A6234F" w:rsidRPr="00E370CD" w:rsidRDefault="00A6234F" w:rsidP="00A6234F">
      <w:pPr>
        <w:pStyle w:val="Heading2"/>
        <w:spacing w:line="480" w:lineRule="auto"/>
        <w:rPr>
          <w:rFonts w:ascii="Arial" w:hAnsi="Arial" w:cs="Arial"/>
          <w:szCs w:val="24"/>
        </w:rPr>
      </w:pPr>
    </w:p>
    <w:tbl>
      <w:tblPr>
        <w:tblStyle w:val="TableGrid"/>
        <w:tblW w:w="10075" w:type="dxa"/>
        <w:tblLook w:val="04A0" w:firstRow="1" w:lastRow="0" w:firstColumn="1" w:lastColumn="0" w:noHBand="0" w:noVBand="1"/>
      </w:tblPr>
      <w:tblGrid>
        <w:gridCol w:w="4225"/>
        <w:gridCol w:w="5850"/>
      </w:tblGrid>
      <w:tr w:rsidR="00A6234F" w:rsidRPr="00E370CD" w14:paraId="43009D66" w14:textId="77777777" w:rsidTr="008A7255">
        <w:tc>
          <w:tcPr>
            <w:tcW w:w="4225" w:type="dxa"/>
          </w:tcPr>
          <w:p w14:paraId="1938A484" w14:textId="77777777" w:rsidR="00A6234F" w:rsidRPr="00E370CD" w:rsidRDefault="00A6234F" w:rsidP="008A7255">
            <w:pPr>
              <w:pStyle w:val="BodyText"/>
              <w:spacing w:line="480" w:lineRule="auto"/>
            </w:pPr>
            <w:r w:rsidRPr="00E370CD">
              <w:t>Key inclusion criteria</w:t>
            </w:r>
          </w:p>
        </w:tc>
        <w:tc>
          <w:tcPr>
            <w:tcW w:w="5850" w:type="dxa"/>
          </w:tcPr>
          <w:p w14:paraId="2D0C114E" w14:textId="77777777" w:rsidR="00A6234F" w:rsidRPr="00E370CD" w:rsidRDefault="00A6234F" w:rsidP="008A7255">
            <w:pPr>
              <w:pStyle w:val="BodyText"/>
              <w:spacing w:line="480" w:lineRule="auto"/>
            </w:pPr>
            <w:r w:rsidRPr="00E370CD">
              <w:t>Key exclusion criteria</w:t>
            </w:r>
          </w:p>
        </w:tc>
      </w:tr>
      <w:tr w:rsidR="00A6234F" w:rsidRPr="00E370CD" w14:paraId="7D6AE678" w14:textId="77777777" w:rsidTr="008A7255">
        <w:tc>
          <w:tcPr>
            <w:tcW w:w="4225" w:type="dxa"/>
          </w:tcPr>
          <w:p w14:paraId="09A33783" w14:textId="77777777" w:rsidR="00A6234F" w:rsidRPr="006E4684" w:rsidRDefault="00A6234F" w:rsidP="008A7255">
            <w:pPr>
              <w:pStyle w:val="ListNumber"/>
            </w:pPr>
            <w:r w:rsidRPr="006E4684">
              <w:t>Male or female and 22-75 years of age, inclusive</w:t>
            </w:r>
          </w:p>
        </w:tc>
        <w:tc>
          <w:tcPr>
            <w:tcW w:w="5850" w:type="dxa"/>
          </w:tcPr>
          <w:p w14:paraId="55954DD1" w14:textId="77777777" w:rsidR="00A6234F" w:rsidRPr="006E4684" w:rsidRDefault="00A6234F" w:rsidP="008A7255">
            <w:pPr>
              <w:pStyle w:val="ListNumber"/>
            </w:pPr>
            <w:r>
              <w:t>Received a biologic or targeted synthetic DMARD</w:t>
            </w:r>
            <w:r w:rsidRPr="006E4684">
              <w:t xml:space="preserve"> within the defined number of days prior to </w:t>
            </w:r>
            <w:r>
              <w:t>implant procedure</w:t>
            </w:r>
            <w:r w:rsidRPr="006E4684">
              <w:t>:</w:t>
            </w:r>
          </w:p>
          <w:p w14:paraId="5BD731BA" w14:textId="77777777" w:rsidR="00A6234F" w:rsidRPr="006E4684" w:rsidRDefault="00A6234F" w:rsidP="008A7255">
            <w:pPr>
              <w:pStyle w:val="ListNumber"/>
            </w:pPr>
            <w:r w:rsidRPr="006E4684">
              <w:t>Biologic DMARD: abatacept</w:t>
            </w:r>
            <w:r>
              <w:t xml:space="preserve"> weekly SC (14 days) or monthly IV </w:t>
            </w:r>
            <w:r w:rsidRPr="006E4684">
              <w:t>(</w:t>
            </w:r>
            <w:r>
              <w:t>30</w:t>
            </w:r>
            <w:r w:rsidRPr="006E4684">
              <w:t xml:space="preserve"> days), adalimumab (</w:t>
            </w:r>
            <w:r>
              <w:t>21</w:t>
            </w:r>
            <w:r w:rsidRPr="006E4684">
              <w:t xml:space="preserve"> days), anakinra (</w:t>
            </w:r>
            <w:r>
              <w:t>2</w:t>
            </w:r>
            <w:r w:rsidRPr="006E4684">
              <w:t xml:space="preserve"> days), certolizumab </w:t>
            </w:r>
            <w:r>
              <w:t>every 2 week</w:t>
            </w:r>
            <w:r w:rsidRPr="006E4684">
              <w:t xml:space="preserve"> (</w:t>
            </w:r>
            <w:r>
              <w:t>21</w:t>
            </w:r>
            <w:r w:rsidRPr="006E4684">
              <w:t xml:space="preserve"> days)</w:t>
            </w:r>
            <w:r>
              <w:t xml:space="preserve"> or every 4 weeks (30 days)</w:t>
            </w:r>
            <w:r w:rsidRPr="006E4684">
              <w:t>, etanercept (14 days), golimumab</w:t>
            </w:r>
            <w:r>
              <w:t xml:space="preserve"> SW every 4 weeks</w:t>
            </w:r>
            <w:r w:rsidRPr="006E4684">
              <w:t xml:space="preserve"> (30 days)</w:t>
            </w:r>
            <w:r>
              <w:t xml:space="preserve"> or every 8 weeks IV (60 Days)</w:t>
            </w:r>
            <w:r w:rsidRPr="006E4684">
              <w:t>, infliximab</w:t>
            </w:r>
            <w:r>
              <w:t xml:space="preserve"> every 4 weeks SQ</w:t>
            </w:r>
            <w:r w:rsidRPr="006E4684">
              <w:t xml:space="preserve"> (</w:t>
            </w:r>
            <w:r>
              <w:t>30</w:t>
            </w:r>
            <w:r w:rsidRPr="006E4684">
              <w:t xml:space="preserve"> days)</w:t>
            </w:r>
            <w:r>
              <w:t xml:space="preserve"> or every 6 weeks SC (40 days) or every 8 weeks SC (60 days)</w:t>
            </w:r>
            <w:r w:rsidRPr="006E4684">
              <w:t>, rituximab (</w:t>
            </w:r>
            <w:r>
              <w:t>120</w:t>
            </w:r>
            <w:r w:rsidRPr="006E4684">
              <w:t xml:space="preserve"> days), sarilumab (</w:t>
            </w:r>
            <w:r>
              <w:t>28</w:t>
            </w:r>
            <w:r w:rsidRPr="006E4684">
              <w:t xml:space="preserve"> days), or tocilizumab</w:t>
            </w:r>
            <w:r>
              <w:t xml:space="preserve"> IV</w:t>
            </w:r>
            <w:r w:rsidRPr="006E4684">
              <w:t xml:space="preserve"> (</w:t>
            </w:r>
            <w:r>
              <w:t>3</w:t>
            </w:r>
            <w:r w:rsidRPr="006E4684">
              <w:t>0 days)</w:t>
            </w:r>
            <w:r>
              <w:t xml:space="preserve"> or SC (21 days) </w:t>
            </w:r>
          </w:p>
          <w:p w14:paraId="699B8E80" w14:textId="77777777" w:rsidR="00A6234F" w:rsidRDefault="00A6234F" w:rsidP="008A7255">
            <w:pPr>
              <w:autoSpaceDE w:val="0"/>
              <w:autoSpaceDN w:val="0"/>
              <w:adjustRightInd w:val="0"/>
              <w:rPr>
                <w:rFonts w:eastAsiaTheme="minorHAnsi"/>
              </w:rPr>
            </w:pPr>
          </w:p>
          <w:p w14:paraId="0FB6ADDA" w14:textId="77777777" w:rsidR="00A6234F" w:rsidRDefault="00A6234F" w:rsidP="008A7255">
            <w:pPr>
              <w:autoSpaceDE w:val="0"/>
              <w:autoSpaceDN w:val="0"/>
              <w:adjustRightInd w:val="0"/>
            </w:pPr>
            <w:r w:rsidRPr="00AF0684">
              <w:rPr>
                <w:rFonts w:eastAsiaTheme="minorHAnsi"/>
              </w:rPr>
              <w:t>Targeted</w:t>
            </w:r>
            <w:r w:rsidRPr="006E4684">
              <w:t xml:space="preserve"> synthetic DMARD: baricitinib (</w:t>
            </w:r>
            <w:r>
              <w:t>2</w:t>
            </w:r>
            <w:r w:rsidRPr="006E4684">
              <w:t xml:space="preserve"> days), tofacitinib</w:t>
            </w:r>
            <w:r>
              <w:t xml:space="preserve"> (2 days)</w:t>
            </w:r>
            <w:r w:rsidRPr="006E4684">
              <w:t>, upadacitinib (</w:t>
            </w:r>
            <w:r>
              <w:t>2</w:t>
            </w:r>
            <w:r w:rsidRPr="006E4684">
              <w:t xml:space="preserve"> days)</w:t>
            </w:r>
          </w:p>
          <w:p w14:paraId="6E384681" w14:textId="77777777" w:rsidR="00A6234F" w:rsidRDefault="00A6234F" w:rsidP="008A7255">
            <w:pPr>
              <w:pStyle w:val="ListNumber"/>
            </w:pPr>
          </w:p>
          <w:p w14:paraId="7FF5B98C" w14:textId="77777777" w:rsidR="00A6234F" w:rsidRPr="006E4684" w:rsidRDefault="00A6234F" w:rsidP="008A7255">
            <w:pPr>
              <w:pStyle w:val="ListNumber"/>
            </w:pPr>
            <w:r>
              <w:t>Prior JAKi user not within the protocol limit of 10% of the study stage 1 population (n=6)</w:t>
            </w:r>
          </w:p>
          <w:p w14:paraId="10DC2546" w14:textId="77777777" w:rsidR="00A6234F" w:rsidRDefault="00A6234F" w:rsidP="008A7255">
            <w:pPr>
              <w:pStyle w:val="ListNumber"/>
            </w:pPr>
          </w:p>
          <w:p w14:paraId="688EBA2E" w14:textId="77777777" w:rsidR="00A6234F" w:rsidRPr="006E4684" w:rsidRDefault="00A6234F" w:rsidP="008A7255">
            <w:pPr>
              <w:pStyle w:val="ListNumber"/>
            </w:pPr>
            <w:r>
              <w:t>Received i</w:t>
            </w:r>
            <w:r w:rsidRPr="006E4684">
              <w:t xml:space="preserve">ntra-articular corticosteroid injection </w:t>
            </w:r>
            <w:r>
              <w:t>within 30</w:t>
            </w:r>
            <w:r w:rsidRPr="006E4684">
              <w:t xml:space="preserve"> days</w:t>
            </w:r>
            <w:r>
              <w:t xml:space="preserve"> of implant procedure</w:t>
            </w:r>
          </w:p>
          <w:p w14:paraId="4689690D" w14:textId="77777777" w:rsidR="00A6234F" w:rsidRDefault="00A6234F" w:rsidP="008A7255">
            <w:pPr>
              <w:pStyle w:val="ListNumber"/>
            </w:pPr>
          </w:p>
          <w:p w14:paraId="208FF89B" w14:textId="77777777" w:rsidR="00A6234F" w:rsidRDefault="00A6234F" w:rsidP="008A7255">
            <w:pPr>
              <w:pStyle w:val="ListNumber"/>
            </w:pPr>
            <w:r>
              <w:t>Received g</w:t>
            </w:r>
            <w:r w:rsidRPr="006E4684">
              <w:t xml:space="preserve">lucocorticoids at doses greater than 10 mg QD of prednisone (or equivalent) or have been receiving an unstable dosing regimen within 14 days of </w:t>
            </w:r>
            <w:r>
              <w:t>informed consent</w:t>
            </w:r>
          </w:p>
          <w:p w14:paraId="4E4126D4" w14:textId="77777777" w:rsidR="00A6234F" w:rsidRPr="00AF0684" w:rsidRDefault="00A6234F" w:rsidP="008A7255">
            <w:pPr>
              <w:pStyle w:val="ListNumber"/>
            </w:pPr>
          </w:p>
          <w:p w14:paraId="347B68A9" w14:textId="77777777" w:rsidR="00A6234F" w:rsidRPr="00AF0684" w:rsidRDefault="00A6234F" w:rsidP="008A7255">
            <w:pPr>
              <w:autoSpaceDE w:val="0"/>
              <w:autoSpaceDN w:val="0"/>
              <w:adjustRightInd w:val="0"/>
              <w:rPr>
                <w:rFonts w:eastAsiaTheme="minorHAnsi"/>
              </w:rPr>
            </w:pPr>
            <w:r>
              <w:rPr>
                <w:rFonts w:eastAsiaTheme="minorHAnsi"/>
              </w:rPr>
              <w:t>Have started treatment with NSAIDs or have been receiving an unstable dosing regimen of NSAIDs within 14 days of informed consent. Over-the-counter use of NSAIDs is permissible</w:t>
            </w:r>
          </w:p>
        </w:tc>
      </w:tr>
      <w:tr w:rsidR="00A6234F" w:rsidRPr="00E370CD" w14:paraId="3F980DB3" w14:textId="77777777" w:rsidTr="008A7255">
        <w:tc>
          <w:tcPr>
            <w:tcW w:w="4225" w:type="dxa"/>
          </w:tcPr>
          <w:p w14:paraId="091889F3" w14:textId="77777777" w:rsidR="00A6234F" w:rsidRPr="006E4684" w:rsidRDefault="00A6234F" w:rsidP="008A7255">
            <w:pPr>
              <w:pStyle w:val="ListNumber"/>
            </w:pPr>
            <w:r w:rsidRPr="006E4684">
              <w:t>Provided written informed consent</w:t>
            </w:r>
          </w:p>
        </w:tc>
        <w:tc>
          <w:tcPr>
            <w:tcW w:w="5850" w:type="dxa"/>
          </w:tcPr>
          <w:p w14:paraId="0D70E89A" w14:textId="77777777" w:rsidR="00A6234F" w:rsidRPr="00AF0684" w:rsidRDefault="00A6234F" w:rsidP="008A7255">
            <w:pPr>
              <w:autoSpaceDE w:val="0"/>
              <w:autoSpaceDN w:val="0"/>
              <w:adjustRightInd w:val="0"/>
              <w:rPr>
                <w:rFonts w:eastAsiaTheme="minorHAnsi"/>
              </w:rPr>
            </w:pPr>
            <w:r>
              <w:rPr>
                <w:rFonts w:eastAsiaTheme="minorHAnsi"/>
              </w:rPr>
              <w:t>Current, regular use of nicotine products, including but not limited to cigarettes or other nicotine-containing products such as cigars, pipe tobacco, chewing tobacco, patches, gums, lozenges, or electronic cigarettes. Subject does not agree to abstain from using nicotine containing products throughout study participation.</w:t>
            </w:r>
          </w:p>
        </w:tc>
      </w:tr>
      <w:tr w:rsidR="00A6234F" w:rsidRPr="00E370CD" w14:paraId="64BA0062" w14:textId="77777777" w:rsidTr="008A7255">
        <w:tc>
          <w:tcPr>
            <w:tcW w:w="4225" w:type="dxa"/>
          </w:tcPr>
          <w:p w14:paraId="475256E1" w14:textId="77777777" w:rsidR="00A6234F" w:rsidRPr="006E4684" w:rsidRDefault="00A6234F" w:rsidP="008A7255">
            <w:pPr>
              <w:pStyle w:val="ListNumber"/>
            </w:pPr>
            <w:r w:rsidRPr="006E4684">
              <w:rPr>
                <w:rFonts w:eastAsia="PMingLiU"/>
              </w:rPr>
              <w:lastRenderedPageBreak/>
              <w:t xml:space="preserve">Have active, </w:t>
            </w:r>
            <w:r w:rsidRPr="006E4684">
              <w:t>moderate-to-severe RA, defined as at least 4/28 tender joints and 4/28 swollen joints</w:t>
            </w:r>
          </w:p>
        </w:tc>
        <w:tc>
          <w:tcPr>
            <w:tcW w:w="5850" w:type="dxa"/>
          </w:tcPr>
          <w:p w14:paraId="3CDBE130" w14:textId="77777777" w:rsidR="00A6234F" w:rsidRDefault="00A6234F" w:rsidP="008A7255">
            <w:pPr>
              <w:pStyle w:val="ListNumber"/>
            </w:pPr>
            <w:r>
              <w:rPr>
                <w:rFonts w:eastAsiaTheme="minorHAnsi"/>
              </w:rPr>
              <w:t>Woman who is either pregnant or breast feeding</w:t>
            </w:r>
          </w:p>
          <w:p w14:paraId="5A5AB40B" w14:textId="77777777" w:rsidR="00A6234F" w:rsidRPr="00AF0684" w:rsidRDefault="00A6234F" w:rsidP="008A7255">
            <w:pPr>
              <w:autoSpaceDE w:val="0"/>
              <w:autoSpaceDN w:val="0"/>
              <w:adjustRightInd w:val="0"/>
              <w:rPr>
                <w:rFonts w:eastAsiaTheme="minorHAnsi"/>
              </w:rPr>
            </w:pPr>
            <w:r>
              <w:rPr>
                <w:rFonts w:eastAsiaTheme="minorHAnsi"/>
              </w:rPr>
              <w:t>Woman of childbearing potential who does not agree to use an effective method of contraception throughout the study</w:t>
            </w:r>
          </w:p>
        </w:tc>
      </w:tr>
      <w:tr w:rsidR="00A6234F" w:rsidRPr="00E370CD" w14:paraId="41C33C09" w14:textId="77777777" w:rsidTr="008A7255">
        <w:tc>
          <w:tcPr>
            <w:tcW w:w="4225" w:type="dxa"/>
          </w:tcPr>
          <w:p w14:paraId="4EAD8924" w14:textId="77777777" w:rsidR="00A6234F" w:rsidRPr="006E4684" w:rsidRDefault="00A6234F" w:rsidP="008A7255">
            <w:pPr>
              <w:pStyle w:val="ListNumber"/>
            </w:pPr>
            <w:r w:rsidRPr="006E4684">
              <w:t xml:space="preserve">Demonstrated an inadequate response, loss of response, or intolerance to at least 1 approved for RA biologic or targeted synthetic DMARD, including JAKi (limited to 10% of the </w:t>
            </w:r>
            <w:r>
              <w:t>stage 1</w:t>
            </w:r>
            <w:r w:rsidRPr="006E4684">
              <w:t xml:space="preserve"> study population)</w:t>
            </w:r>
          </w:p>
        </w:tc>
        <w:tc>
          <w:tcPr>
            <w:tcW w:w="5850" w:type="dxa"/>
          </w:tcPr>
          <w:p w14:paraId="7273063D" w14:textId="77777777" w:rsidR="00A6234F" w:rsidRPr="006E4684" w:rsidRDefault="00A6234F" w:rsidP="008A7255">
            <w:pPr>
              <w:pStyle w:val="ListNumber"/>
            </w:pPr>
            <w:r>
              <w:rPr>
                <w:rFonts w:eastAsiaTheme="minorHAnsi"/>
              </w:rPr>
              <w:t>Untreated or poorly controlled psychiatric illness or history of substance abuse</w:t>
            </w:r>
          </w:p>
        </w:tc>
      </w:tr>
      <w:tr w:rsidR="00A6234F" w:rsidRPr="00E370CD" w14:paraId="0D6E8CE3" w14:textId="77777777" w:rsidTr="008A7255">
        <w:tc>
          <w:tcPr>
            <w:tcW w:w="4225" w:type="dxa"/>
          </w:tcPr>
          <w:p w14:paraId="79E2F211" w14:textId="77777777" w:rsidR="00A6234F" w:rsidRPr="006E4684" w:rsidRDefault="00A6234F" w:rsidP="008A7255">
            <w:pPr>
              <w:pStyle w:val="ListNumber"/>
            </w:pPr>
            <w:r w:rsidRPr="006E4684">
              <w:t xml:space="preserve">Receiving treatment with at least 1 conventional synthetic DMARD for at least 12 weeks prior and on a continuous, non-changing dose for at least 4 weeks prior to screening and able to continue the same stable dose through Week 12. A stable dose equivalent to </w:t>
            </w:r>
            <w:r w:rsidRPr="006E4684">
              <w:rPr>
                <w:rFonts w:ascii="Symbol" w:eastAsia="Symbol" w:hAnsi="Symbol" w:cs="Symbol"/>
              </w:rPr>
              <w:t>³</w:t>
            </w:r>
            <w:r w:rsidRPr="006E4684">
              <w:t xml:space="preserve"> 10 mg/week of MTX is acceptable. Combinations of oral DMARDS such as MTX and hydroxychloroquine or sulfasalazine are acceptable.</w:t>
            </w:r>
          </w:p>
        </w:tc>
        <w:tc>
          <w:tcPr>
            <w:tcW w:w="5850" w:type="dxa"/>
          </w:tcPr>
          <w:p w14:paraId="126D7D59" w14:textId="77777777" w:rsidR="00A6234F" w:rsidRPr="006E4684" w:rsidRDefault="00A6234F" w:rsidP="008A7255">
            <w:pPr>
              <w:pStyle w:val="ListNumber"/>
            </w:pPr>
            <w:r>
              <w:rPr>
                <w:rFonts w:eastAsiaTheme="minorHAnsi"/>
              </w:rPr>
              <w:t>Active infection requiring treatment with antibiotics or corticosteroids at screening</w:t>
            </w:r>
          </w:p>
        </w:tc>
      </w:tr>
      <w:tr w:rsidR="00A6234F" w:rsidRPr="00E370CD" w14:paraId="33613835" w14:textId="77777777" w:rsidTr="008A7255">
        <w:tc>
          <w:tcPr>
            <w:tcW w:w="4225" w:type="dxa"/>
          </w:tcPr>
          <w:p w14:paraId="651F93DD" w14:textId="77777777" w:rsidR="00A6234F" w:rsidRPr="006E4684" w:rsidRDefault="00A6234F" w:rsidP="008A7255">
            <w:pPr>
              <w:pStyle w:val="ListNumber"/>
            </w:pPr>
            <w:r w:rsidRPr="006E4684">
              <w:t>Willing and able to comply with protocol requirements</w:t>
            </w:r>
          </w:p>
        </w:tc>
        <w:tc>
          <w:tcPr>
            <w:tcW w:w="5850" w:type="dxa"/>
          </w:tcPr>
          <w:p w14:paraId="0778765B" w14:textId="77777777" w:rsidR="00A6234F" w:rsidRPr="00AF0684" w:rsidRDefault="00A6234F" w:rsidP="008A7255">
            <w:pPr>
              <w:autoSpaceDE w:val="0"/>
              <w:autoSpaceDN w:val="0"/>
              <w:adjustRightInd w:val="0"/>
              <w:rPr>
                <w:rFonts w:eastAsiaTheme="minorHAnsi"/>
              </w:rPr>
            </w:pPr>
            <w:r>
              <w:rPr>
                <w:rFonts w:eastAsiaTheme="minorHAnsi"/>
              </w:rPr>
              <w:t>Significant immunodeficiency due to underlying illness (e.g., active, untreated HBV/HCV and HIV positive)</w:t>
            </w:r>
          </w:p>
        </w:tc>
      </w:tr>
      <w:tr w:rsidR="00A6234F" w:rsidRPr="00E370CD" w14:paraId="22A4A437" w14:textId="77777777" w:rsidTr="008A7255">
        <w:tc>
          <w:tcPr>
            <w:tcW w:w="4225" w:type="dxa"/>
          </w:tcPr>
          <w:p w14:paraId="33B6171B" w14:textId="77777777" w:rsidR="00A6234F" w:rsidRPr="006E4684" w:rsidRDefault="00A6234F" w:rsidP="008A7255">
            <w:pPr>
              <w:pStyle w:val="ListNumber"/>
            </w:pPr>
          </w:p>
        </w:tc>
        <w:tc>
          <w:tcPr>
            <w:tcW w:w="5850" w:type="dxa"/>
          </w:tcPr>
          <w:p w14:paraId="6BA13615" w14:textId="77777777" w:rsidR="00A6234F" w:rsidRPr="00AF0684" w:rsidRDefault="00A6234F" w:rsidP="008A7255">
            <w:pPr>
              <w:autoSpaceDE w:val="0"/>
              <w:autoSpaceDN w:val="0"/>
              <w:adjustRightInd w:val="0"/>
              <w:rPr>
                <w:rFonts w:eastAsiaTheme="minorHAnsi"/>
              </w:rPr>
            </w:pPr>
            <w:r>
              <w:rPr>
                <w:rFonts w:eastAsiaTheme="minorHAnsi"/>
              </w:rPr>
              <w:t>History of CVA or transient ischemic attack, or diagnosis of cerebrovascular fibromuscular dysplasia</w:t>
            </w:r>
          </w:p>
        </w:tc>
      </w:tr>
      <w:tr w:rsidR="00A6234F" w:rsidRPr="00E370CD" w14:paraId="1F6CAB16" w14:textId="77777777" w:rsidTr="008A7255">
        <w:tc>
          <w:tcPr>
            <w:tcW w:w="4225" w:type="dxa"/>
          </w:tcPr>
          <w:p w14:paraId="213C8AB4" w14:textId="77777777" w:rsidR="00A6234F" w:rsidRPr="006E4684" w:rsidRDefault="00A6234F" w:rsidP="008A7255">
            <w:pPr>
              <w:pStyle w:val="ListNumber"/>
            </w:pPr>
          </w:p>
        </w:tc>
        <w:tc>
          <w:tcPr>
            <w:tcW w:w="5850" w:type="dxa"/>
          </w:tcPr>
          <w:p w14:paraId="2AA1E220" w14:textId="77777777" w:rsidR="00A6234F" w:rsidRPr="00AF0684" w:rsidRDefault="00A6234F" w:rsidP="008A7255">
            <w:pPr>
              <w:autoSpaceDE w:val="0"/>
              <w:autoSpaceDN w:val="0"/>
              <w:adjustRightInd w:val="0"/>
              <w:rPr>
                <w:rFonts w:eastAsiaTheme="minorHAnsi"/>
              </w:rPr>
            </w:pPr>
            <w:r>
              <w:rPr>
                <w:rFonts w:eastAsiaTheme="minorHAnsi"/>
              </w:rPr>
              <w:t>History of clinically significant cardiovascular disease, including cardiomyopathy with ejection fraction &lt; 40%, myocardial infarction, unstable angina, or diagnosis of congestive heart failure (NYHA Class III or IV) in the preceding 12 months. Subjects with a history of cardiovascular disease must obtain clearance from a cardiologist</w:t>
            </w:r>
          </w:p>
        </w:tc>
      </w:tr>
      <w:tr w:rsidR="00A6234F" w:rsidRPr="00E370CD" w14:paraId="4AE1B9C6" w14:textId="77777777" w:rsidTr="008A7255">
        <w:tc>
          <w:tcPr>
            <w:tcW w:w="4225" w:type="dxa"/>
          </w:tcPr>
          <w:p w14:paraId="26EC2D15" w14:textId="77777777" w:rsidR="00A6234F" w:rsidRPr="006E4684" w:rsidRDefault="00A6234F" w:rsidP="008A7255">
            <w:pPr>
              <w:pStyle w:val="ListNumber"/>
            </w:pPr>
          </w:p>
        </w:tc>
        <w:tc>
          <w:tcPr>
            <w:tcW w:w="5850" w:type="dxa"/>
          </w:tcPr>
          <w:p w14:paraId="4D8A3A0C" w14:textId="77777777" w:rsidR="00A6234F" w:rsidRPr="00AF0684" w:rsidRDefault="00A6234F" w:rsidP="008A7255">
            <w:pPr>
              <w:autoSpaceDE w:val="0"/>
              <w:autoSpaceDN w:val="0"/>
              <w:adjustRightInd w:val="0"/>
              <w:rPr>
                <w:rFonts w:eastAsiaTheme="minorHAnsi"/>
              </w:rPr>
            </w:pPr>
            <w:r>
              <w:rPr>
                <w:rFonts w:eastAsiaTheme="minorHAnsi"/>
              </w:rPr>
              <w:t>Neurological syndromes including multiple sclerosis, Alzheimer’s disease, or Parkinson’s disease</w:t>
            </w:r>
          </w:p>
        </w:tc>
      </w:tr>
      <w:tr w:rsidR="00A6234F" w:rsidRPr="00E370CD" w14:paraId="1FC940DB" w14:textId="77777777" w:rsidTr="008A7255">
        <w:tc>
          <w:tcPr>
            <w:tcW w:w="4225" w:type="dxa"/>
          </w:tcPr>
          <w:p w14:paraId="50A0AB7C" w14:textId="77777777" w:rsidR="00A6234F" w:rsidRPr="006E4684" w:rsidRDefault="00A6234F" w:rsidP="008A7255">
            <w:pPr>
              <w:pStyle w:val="ListNumber"/>
            </w:pPr>
          </w:p>
        </w:tc>
        <w:tc>
          <w:tcPr>
            <w:tcW w:w="5850" w:type="dxa"/>
          </w:tcPr>
          <w:p w14:paraId="3EDF839F" w14:textId="77777777" w:rsidR="00A6234F" w:rsidRPr="00AF0684" w:rsidRDefault="00A6234F" w:rsidP="008A7255">
            <w:pPr>
              <w:autoSpaceDE w:val="0"/>
              <w:autoSpaceDN w:val="0"/>
              <w:adjustRightInd w:val="0"/>
              <w:rPr>
                <w:rFonts w:eastAsiaTheme="minorHAnsi"/>
              </w:rPr>
            </w:pPr>
            <w:r>
              <w:rPr>
                <w:rFonts w:eastAsiaTheme="minorHAnsi"/>
              </w:rPr>
              <w:t>Active fibromyalgia despite ongoing treatment that in the opinion of investigator is confounding the tender and swollen joint count</w:t>
            </w:r>
          </w:p>
        </w:tc>
      </w:tr>
      <w:tr w:rsidR="00A6234F" w:rsidRPr="00E370CD" w14:paraId="50BA3878" w14:textId="77777777" w:rsidTr="008A7255">
        <w:tc>
          <w:tcPr>
            <w:tcW w:w="4225" w:type="dxa"/>
          </w:tcPr>
          <w:p w14:paraId="06C9E016" w14:textId="77777777" w:rsidR="00A6234F" w:rsidRPr="006E4684" w:rsidRDefault="00A6234F" w:rsidP="008A7255">
            <w:pPr>
              <w:pStyle w:val="ListNumber"/>
            </w:pPr>
          </w:p>
        </w:tc>
        <w:tc>
          <w:tcPr>
            <w:tcW w:w="5850" w:type="dxa"/>
          </w:tcPr>
          <w:p w14:paraId="09A66D42" w14:textId="77777777" w:rsidR="00A6234F" w:rsidRPr="00AF0684" w:rsidRDefault="00A6234F" w:rsidP="008A7255">
            <w:pPr>
              <w:autoSpaceDE w:val="0"/>
              <w:autoSpaceDN w:val="0"/>
              <w:adjustRightInd w:val="0"/>
              <w:rPr>
                <w:rFonts w:eastAsiaTheme="minorHAnsi"/>
              </w:rPr>
            </w:pPr>
            <w:r>
              <w:rPr>
                <w:rFonts w:eastAsiaTheme="minorHAnsi"/>
              </w:rPr>
              <w:t>Known clinically significant cerebrovascular atherosclerotic disease including contralateral carotid artery disease (non-implanted side)</w:t>
            </w:r>
            <w:r w:rsidRPr="006E4684" w:rsidDel="00DD23A4">
              <w:t xml:space="preserve"> </w:t>
            </w:r>
            <w:r w:rsidRPr="006E4684">
              <w:t>lung disease causing clinically significant dyspnea at screening</w:t>
            </w:r>
          </w:p>
        </w:tc>
      </w:tr>
      <w:tr w:rsidR="00A6234F" w:rsidRPr="00E370CD" w14:paraId="202C5390" w14:textId="77777777" w:rsidTr="008A7255">
        <w:tc>
          <w:tcPr>
            <w:tcW w:w="4225" w:type="dxa"/>
          </w:tcPr>
          <w:p w14:paraId="131535FA" w14:textId="77777777" w:rsidR="00A6234F" w:rsidRPr="006E4684" w:rsidRDefault="00A6234F" w:rsidP="008A7255">
            <w:pPr>
              <w:pStyle w:val="ListNumber"/>
            </w:pPr>
          </w:p>
        </w:tc>
        <w:tc>
          <w:tcPr>
            <w:tcW w:w="5850" w:type="dxa"/>
          </w:tcPr>
          <w:p w14:paraId="2FC47E41" w14:textId="77777777" w:rsidR="00A6234F" w:rsidRPr="00AF0684" w:rsidRDefault="00A6234F" w:rsidP="008A7255">
            <w:pPr>
              <w:autoSpaceDE w:val="0"/>
              <w:autoSpaceDN w:val="0"/>
              <w:adjustRightInd w:val="0"/>
              <w:rPr>
                <w:rFonts w:eastAsiaTheme="minorHAnsi"/>
              </w:rPr>
            </w:pPr>
            <w:r>
              <w:rPr>
                <w:rFonts w:eastAsiaTheme="minorHAnsi"/>
              </w:rPr>
              <w:t>History of or pre-surgical X-ray that shows cervical spine disorder or instability that would preclude safe endotracheal anesthesia</w:t>
            </w:r>
          </w:p>
        </w:tc>
      </w:tr>
      <w:tr w:rsidR="00A6234F" w:rsidRPr="00E370CD" w14:paraId="63505419" w14:textId="77777777" w:rsidTr="008A7255">
        <w:tc>
          <w:tcPr>
            <w:tcW w:w="4225" w:type="dxa"/>
          </w:tcPr>
          <w:p w14:paraId="5F8E8DE2" w14:textId="77777777" w:rsidR="00A6234F" w:rsidRPr="006E4684" w:rsidRDefault="00A6234F" w:rsidP="008A7255">
            <w:pPr>
              <w:pStyle w:val="ListNumber"/>
            </w:pPr>
          </w:p>
        </w:tc>
        <w:tc>
          <w:tcPr>
            <w:tcW w:w="5850" w:type="dxa"/>
          </w:tcPr>
          <w:p w14:paraId="7AE5F762" w14:textId="77777777" w:rsidR="00A6234F" w:rsidRPr="006E4684" w:rsidRDefault="00A6234F" w:rsidP="008A7255">
            <w:pPr>
              <w:pStyle w:val="ListNumber"/>
            </w:pPr>
            <w:r>
              <w:t>Calculated creatinine clearance less than or equal to 50 mL/min/1.73 m</w:t>
            </w:r>
            <w:r>
              <w:rPr>
                <w:sz w:val="16"/>
                <w:szCs w:val="16"/>
              </w:rPr>
              <w:t xml:space="preserve">2 </w:t>
            </w:r>
            <w:r>
              <w:t>at Screening</w:t>
            </w:r>
          </w:p>
        </w:tc>
      </w:tr>
      <w:tr w:rsidR="00A6234F" w:rsidRPr="00E370CD" w14:paraId="62A7542F" w14:textId="77777777" w:rsidTr="008A7255">
        <w:tc>
          <w:tcPr>
            <w:tcW w:w="4225" w:type="dxa"/>
          </w:tcPr>
          <w:p w14:paraId="1BB739B2" w14:textId="77777777" w:rsidR="00A6234F" w:rsidRPr="006E4684" w:rsidRDefault="00A6234F" w:rsidP="008A7255">
            <w:pPr>
              <w:pStyle w:val="ListNumber"/>
            </w:pPr>
          </w:p>
        </w:tc>
        <w:tc>
          <w:tcPr>
            <w:tcW w:w="5850" w:type="dxa"/>
          </w:tcPr>
          <w:p w14:paraId="5F2D29BE" w14:textId="77777777" w:rsidR="00A6234F" w:rsidRDefault="00A6234F" w:rsidP="008A7255">
            <w:pPr>
              <w:pStyle w:val="ListNumber"/>
            </w:pPr>
            <w:r>
              <w:t>History of left or right carotid surgery (e.g., carotid endarterectomy or stent); unilateral or bilateral vagotomy; partial or complete splenectomy</w:t>
            </w:r>
          </w:p>
        </w:tc>
      </w:tr>
      <w:tr w:rsidR="00A6234F" w:rsidRPr="00E370CD" w14:paraId="2CEB6790" w14:textId="77777777" w:rsidTr="008A7255">
        <w:tc>
          <w:tcPr>
            <w:tcW w:w="4225" w:type="dxa"/>
          </w:tcPr>
          <w:p w14:paraId="48557A12" w14:textId="77777777" w:rsidR="00A6234F" w:rsidRPr="006E4684" w:rsidRDefault="00A6234F" w:rsidP="008A7255">
            <w:pPr>
              <w:pStyle w:val="ListNumber"/>
            </w:pPr>
          </w:p>
        </w:tc>
        <w:tc>
          <w:tcPr>
            <w:tcW w:w="5850" w:type="dxa"/>
          </w:tcPr>
          <w:p w14:paraId="1238ED11" w14:textId="77777777" w:rsidR="00A6234F" w:rsidRDefault="00A6234F" w:rsidP="008A7255">
            <w:pPr>
              <w:pStyle w:val="ListNumber"/>
            </w:pPr>
            <w:r>
              <w:t>Recurrent vasovagal syncope episodes</w:t>
            </w:r>
          </w:p>
        </w:tc>
      </w:tr>
      <w:tr w:rsidR="00A6234F" w:rsidRPr="00E370CD" w14:paraId="09FFC737" w14:textId="77777777" w:rsidTr="008A7255">
        <w:tc>
          <w:tcPr>
            <w:tcW w:w="4225" w:type="dxa"/>
          </w:tcPr>
          <w:p w14:paraId="5DF0D69A" w14:textId="77777777" w:rsidR="00A6234F" w:rsidRPr="006E4684" w:rsidRDefault="00A6234F" w:rsidP="008A7255">
            <w:pPr>
              <w:pStyle w:val="ListNumber"/>
            </w:pPr>
          </w:p>
        </w:tc>
        <w:tc>
          <w:tcPr>
            <w:tcW w:w="5850" w:type="dxa"/>
          </w:tcPr>
          <w:p w14:paraId="7B65C33C" w14:textId="77777777" w:rsidR="00A6234F" w:rsidRPr="00AF0684" w:rsidRDefault="00A6234F" w:rsidP="008A7255">
            <w:pPr>
              <w:autoSpaceDE w:val="0"/>
              <w:autoSpaceDN w:val="0"/>
              <w:adjustRightInd w:val="0"/>
              <w:rPr>
                <w:rFonts w:eastAsiaTheme="minorHAnsi"/>
              </w:rPr>
            </w:pPr>
            <w:r>
              <w:rPr>
                <w:rFonts w:eastAsiaTheme="minorHAnsi"/>
              </w:rPr>
              <w:t>Clinically significant cardiac rhythm disturbances, or ECG findings of atrioventricular block exceeding first degree, or cardiac conduction pathway abnormalities other than isolated right bundle branch block or isolated left anterior fascicle block on Screening ECG</w:t>
            </w:r>
          </w:p>
        </w:tc>
      </w:tr>
      <w:tr w:rsidR="00A6234F" w:rsidRPr="00E370CD" w14:paraId="05012930" w14:textId="77777777" w:rsidTr="008A7255">
        <w:tc>
          <w:tcPr>
            <w:tcW w:w="4225" w:type="dxa"/>
          </w:tcPr>
          <w:p w14:paraId="348A4A8B" w14:textId="77777777" w:rsidR="00A6234F" w:rsidRPr="006E4684" w:rsidRDefault="00A6234F" w:rsidP="008A7255">
            <w:pPr>
              <w:pStyle w:val="ListNumber"/>
            </w:pPr>
          </w:p>
        </w:tc>
        <w:tc>
          <w:tcPr>
            <w:tcW w:w="5850" w:type="dxa"/>
          </w:tcPr>
          <w:p w14:paraId="385A8DDD" w14:textId="77777777" w:rsidR="00A6234F" w:rsidRPr="00AF0684" w:rsidRDefault="00A6234F" w:rsidP="008A7255">
            <w:pPr>
              <w:autoSpaceDE w:val="0"/>
              <w:autoSpaceDN w:val="0"/>
              <w:adjustRightInd w:val="0"/>
              <w:rPr>
                <w:rFonts w:eastAsiaTheme="minorHAnsi"/>
              </w:rPr>
            </w:pPr>
            <w:r>
              <w:rPr>
                <w:rFonts w:eastAsiaTheme="minorHAnsi"/>
              </w:rPr>
              <w:t>Cancer within last 3 years, except fully resected basal or squamous skin cancer, fully resected cervical carcinoma in situ, or fully treated mammary ductal carcinoma in situ that has been in clinical remission for at least 3 years</w:t>
            </w:r>
          </w:p>
        </w:tc>
      </w:tr>
      <w:tr w:rsidR="00A6234F" w:rsidRPr="00E370CD" w14:paraId="7D5AFBBA" w14:textId="77777777" w:rsidTr="008A7255">
        <w:tc>
          <w:tcPr>
            <w:tcW w:w="4225" w:type="dxa"/>
          </w:tcPr>
          <w:p w14:paraId="1895B802" w14:textId="77777777" w:rsidR="00A6234F" w:rsidRPr="006E4684" w:rsidRDefault="00A6234F" w:rsidP="008A7255">
            <w:pPr>
              <w:pStyle w:val="ListNumber"/>
            </w:pPr>
          </w:p>
        </w:tc>
        <w:tc>
          <w:tcPr>
            <w:tcW w:w="5850" w:type="dxa"/>
          </w:tcPr>
          <w:p w14:paraId="42C0E697" w14:textId="77777777" w:rsidR="00A6234F" w:rsidRPr="00AF0684" w:rsidRDefault="00A6234F" w:rsidP="008A7255">
            <w:pPr>
              <w:autoSpaceDE w:val="0"/>
              <w:autoSpaceDN w:val="0"/>
              <w:adjustRightInd w:val="0"/>
              <w:rPr>
                <w:rFonts w:eastAsiaTheme="minorHAnsi"/>
              </w:rPr>
            </w:pPr>
            <w:r>
              <w:rPr>
                <w:rFonts w:eastAsiaTheme="minorHAnsi"/>
              </w:rPr>
              <w:t>Clinically significant esophageal dysfunction such as dysphagia, odynophagia, or esophagitis</w:t>
            </w:r>
          </w:p>
        </w:tc>
      </w:tr>
      <w:tr w:rsidR="00A6234F" w:rsidRPr="00E370CD" w14:paraId="2FE623DF" w14:textId="77777777" w:rsidTr="008A7255">
        <w:tc>
          <w:tcPr>
            <w:tcW w:w="4225" w:type="dxa"/>
          </w:tcPr>
          <w:p w14:paraId="26781CB6" w14:textId="77777777" w:rsidR="00A6234F" w:rsidRPr="006E4684" w:rsidRDefault="00A6234F" w:rsidP="008A7255">
            <w:pPr>
              <w:pStyle w:val="ListNumber"/>
            </w:pPr>
          </w:p>
        </w:tc>
        <w:tc>
          <w:tcPr>
            <w:tcW w:w="5850" w:type="dxa"/>
          </w:tcPr>
          <w:p w14:paraId="68F23B9F" w14:textId="77777777" w:rsidR="00A6234F" w:rsidRPr="00AF0684" w:rsidRDefault="00A6234F" w:rsidP="008A7255">
            <w:pPr>
              <w:autoSpaceDE w:val="0"/>
              <w:autoSpaceDN w:val="0"/>
              <w:adjustRightInd w:val="0"/>
              <w:rPr>
                <w:rFonts w:eastAsiaTheme="minorHAnsi"/>
              </w:rPr>
            </w:pPr>
            <w:r>
              <w:rPr>
                <w:rFonts w:eastAsiaTheme="minorHAnsi"/>
              </w:rPr>
              <w:t>Pre-existing clinically significant vocal cord dysfunction or hoarseness, or history of vocal cord polyps</w:t>
            </w:r>
          </w:p>
        </w:tc>
      </w:tr>
      <w:tr w:rsidR="00A6234F" w:rsidRPr="00E370CD" w14:paraId="16DC7E47" w14:textId="77777777" w:rsidTr="008A7255">
        <w:tc>
          <w:tcPr>
            <w:tcW w:w="4225" w:type="dxa"/>
          </w:tcPr>
          <w:p w14:paraId="2AFAE513" w14:textId="77777777" w:rsidR="00A6234F" w:rsidRPr="006E4684" w:rsidRDefault="00A6234F" w:rsidP="008A7255">
            <w:pPr>
              <w:pStyle w:val="ListNumber"/>
            </w:pPr>
          </w:p>
        </w:tc>
        <w:tc>
          <w:tcPr>
            <w:tcW w:w="5850" w:type="dxa"/>
          </w:tcPr>
          <w:p w14:paraId="7632D32E" w14:textId="77777777" w:rsidR="00A6234F" w:rsidRDefault="00A6234F" w:rsidP="008A7255">
            <w:pPr>
              <w:pStyle w:val="ListNumber"/>
            </w:pPr>
            <w:r>
              <w:t>Active and uncontrolled peptic ulcer disease</w:t>
            </w:r>
          </w:p>
        </w:tc>
      </w:tr>
      <w:tr w:rsidR="00A6234F" w:rsidRPr="00E370CD" w14:paraId="75AE2C28" w14:textId="77777777" w:rsidTr="008A7255">
        <w:tc>
          <w:tcPr>
            <w:tcW w:w="4225" w:type="dxa"/>
          </w:tcPr>
          <w:p w14:paraId="23E5394B" w14:textId="77777777" w:rsidR="00A6234F" w:rsidRPr="006E4684" w:rsidRDefault="00A6234F" w:rsidP="008A7255">
            <w:pPr>
              <w:pStyle w:val="ListNumber"/>
            </w:pPr>
          </w:p>
        </w:tc>
        <w:tc>
          <w:tcPr>
            <w:tcW w:w="5850" w:type="dxa"/>
          </w:tcPr>
          <w:p w14:paraId="2BD3C15F" w14:textId="77777777" w:rsidR="00A6234F" w:rsidRPr="00AF0684" w:rsidRDefault="00A6234F" w:rsidP="008A7255">
            <w:pPr>
              <w:autoSpaceDE w:val="0"/>
              <w:autoSpaceDN w:val="0"/>
              <w:adjustRightInd w:val="0"/>
              <w:rPr>
                <w:rFonts w:eastAsiaTheme="minorHAnsi"/>
              </w:rPr>
            </w:pPr>
            <w:r>
              <w:rPr>
                <w:rFonts w:eastAsiaTheme="minorHAnsi"/>
              </w:rPr>
              <w:t>Implanted active medical devices (e.g., cardiac pacemakers, automatic implantable cardioverter defibrillators, drug pumps), or likely need for implantation of such devices within 6 months</w:t>
            </w:r>
          </w:p>
        </w:tc>
      </w:tr>
      <w:tr w:rsidR="00A6234F" w:rsidRPr="00E370CD" w14:paraId="094838A3" w14:textId="77777777" w:rsidTr="008A7255">
        <w:tc>
          <w:tcPr>
            <w:tcW w:w="4225" w:type="dxa"/>
          </w:tcPr>
          <w:p w14:paraId="35E0E1C9" w14:textId="77777777" w:rsidR="00A6234F" w:rsidRPr="006E4684" w:rsidRDefault="00A6234F" w:rsidP="008A7255">
            <w:pPr>
              <w:pStyle w:val="ListNumber"/>
            </w:pPr>
          </w:p>
        </w:tc>
        <w:tc>
          <w:tcPr>
            <w:tcW w:w="5850" w:type="dxa"/>
          </w:tcPr>
          <w:p w14:paraId="0F429B30" w14:textId="77777777" w:rsidR="00A6234F" w:rsidRPr="00AF0684" w:rsidRDefault="00A6234F" w:rsidP="008A7255">
            <w:pPr>
              <w:autoSpaceDE w:val="0"/>
              <w:autoSpaceDN w:val="0"/>
              <w:adjustRightInd w:val="0"/>
              <w:rPr>
                <w:rFonts w:eastAsiaTheme="minorHAnsi"/>
              </w:rPr>
            </w:pPr>
            <w:r>
              <w:rPr>
                <w:rFonts w:eastAsiaTheme="minorHAnsi"/>
              </w:rPr>
              <w:t>Uncontrolled asthma, chronic obstructive pulmonary disease, or any other pulmonary disease such as interstitial lung disease causing clinically significant dyspnea</w:t>
            </w:r>
          </w:p>
        </w:tc>
      </w:tr>
      <w:tr w:rsidR="00A6234F" w:rsidRPr="00E370CD" w14:paraId="7ECACBF1" w14:textId="77777777" w:rsidTr="008A7255">
        <w:tc>
          <w:tcPr>
            <w:tcW w:w="4225" w:type="dxa"/>
          </w:tcPr>
          <w:p w14:paraId="32B18189" w14:textId="77777777" w:rsidR="00A6234F" w:rsidRPr="006E4684" w:rsidRDefault="00A6234F" w:rsidP="008A7255">
            <w:pPr>
              <w:pStyle w:val="ListNumber"/>
            </w:pPr>
          </w:p>
        </w:tc>
        <w:tc>
          <w:tcPr>
            <w:tcW w:w="5850" w:type="dxa"/>
          </w:tcPr>
          <w:p w14:paraId="5EC320B6" w14:textId="77777777" w:rsidR="00A6234F" w:rsidRDefault="00A6234F" w:rsidP="008A7255">
            <w:pPr>
              <w:pStyle w:val="ListNumber"/>
            </w:pPr>
            <w:r>
              <w:t>Limited life expectancy due to terminal disease</w:t>
            </w:r>
          </w:p>
        </w:tc>
      </w:tr>
      <w:tr w:rsidR="00A6234F" w:rsidRPr="00E370CD" w14:paraId="78C14391" w14:textId="77777777" w:rsidTr="008A7255">
        <w:tc>
          <w:tcPr>
            <w:tcW w:w="4225" w:type="dxa"/>
          </w:tcPr>
          <w:p w14:paraId="44FED6FC" w14:textId="77777777" w:rsidR="00A6234F" w:rsidRPr="006E4684" w:rsidRDefault="00A6234F" w:rsidP="008A7255">
            <w:pPr>
              <w:pStyle w:val="ListNumber"/>
            </w:pPr>
          </w:p>
        </w:tc>
        <w:tc>
          <w:tcPr>
            <w:tcW w:w="5850" w:type="dxa"/>
          </w:tcPr>
          <w:p w14:paraId="7F8A53E4" w14:textId="77777777" w:rsidR="00A6234F" w:rsidRPr="00AF0684" w:rsidRDefault="00A6234F" w:rsidP="008A7255">
            <w:pPr>
              <w:autoSpaceDE w:val="0"/>
              <w:autoSpaceDN w:val="0"/>
              <w:adjustRightInd w:val="0"/>
              <w:rPr>
                <w:rFonts w:eastAsiaTheme="minorHAnsi"/>
              </w:rPr>
            </w:pPr>
            <w:r>
              <w:rPr>
                <w:rFonts w:eastAsiaTheme="minorHAnsi"/>
              </w:rPr>
              <w:t>Hypersensitivity/allergy to MRI contrast agents and/or unable to perform MRI (e.g., claustrophobia)</w:t>
            </w:r>
          </w:p>
        </w:tc>
      </w:tr>
      <w:tr w:rsidR="00A6234F" w:rsidRPr="00E370CD" w14:paraId="16A95247" w14:textId="77777777" w:rsidTr="008A7255">
        <w:tc>
          <w:tcPr>
            <w:tcW w:w="4225" w:type="dxa"/>
          </w:tcPr>
          <w:p w14:paraId="294A07B1" w14:textId="77777777" w:rsidR="00A6234F" w:rsidRPr="006E4684" w:rsidRDefault="00A6234F" w:rsidP="008A7255">
            <w:pPr>
              <w:pStyle w:val="ListNumber"/>
            </w:pPr>
          </w:p>
        </w:tc>
        <w:tc>
          <w:tcPr>
            <w:tcW w:w="5850" w:type="dxa"/>
          </w:tcPr>
          <w:p w14:paraId="1815C813" w14:textId="77777777" w:rsidR="00A6234F" w:rsidRDefault="00A6234F" w:rsidP="008A7255">
            <w:pPr>
              <w:autoSpaceDE w:val="0"/>
              <w:autoSpaceDN w:val="0"/>
              <w:adjustRightInd w:val="0"/>
              <w:rPr>
                <w:rFonts w:eastAsiaTheme="minorHAnsi"/>
              </w:rPr>
            </w:pPr>
            <w:r>
              <w:rPr>
                <w:rFonts w:eastAsiaTheme="minorHAnsi"/>
              </w:rPr>
              <w:t>Unable to use or wear Energizer</w:t>
            </w:r>
          </w:p>
        </w:tc>
      </w:tr>
      <w:tr w:rsidR="00A6234F" w:rsidRPr="00E370CD" w14:paraId="544B0A66" w14:textId="77777777" w:rsidTr="008A7255">
        <w:tc>
          <w:tcPr>
            <w:tcW w:w="4225" w:type="dxa"/>
          </w:tcPr>
          <w:p w14:paraId="78C62B4E" w14:textId="77777777" w:rsidR="00A6234F" w:rsidRPr="006E4684" w:rsidRDefault="00A6234F" w:rsidP="008A7255">
            <w:pPr>
              <w:pStyle w:val="ListNumber"/>
            </w:pPr>
          </w:p>
        </w:tc>
        <w:tc>
          <w:tcPr>
            <w:tcW w:w="5850" w:type="dxa"/>
          </w:tcPr>
          <w:p w14:paraId="65785468" w14:textId="77777777" w:rsidR="00A6234F" w:rsidRDefault="00A6234F" w:rsidP="008A7255">
            <w:pPr>
              <w:autoSpaceDE w:val="0"/>
              <w:autoSpaceDN w:val="0"/>
              <w:adjustRightInd w:val="0"/>
              <w:rPr>
                <w:rFonts w:eastAsiaTheme="minorHAnsi"/>
              </w:rPr>
            </w:pPr>
            <w:r>
              <w:rPr>
                <w:rFonts w:eastAsiaTheme="minorHAnsi"/>
              </w:rPr>
              <w:t>Requires treatment by any of the prohibited interventions (see Table 2)</w:t>
            </w:r>
          </w:p>
        </w:tc>
      </w:tr>
      <w:tr w:rsidR="00A6234F" w:rsidRPr="00E370CD" w14:paraId="23E9ECAF" w14:textId="77777777" w:rsidTr="008A7255">
        <w:tc>
          <w:tcPr>
            <w:tcW w:w="4225" w:type="dxa"/>
          </w:tcPr>
          <w:p w14:paraId="5DDAC51E" w14:textId="77777777" w:rsidR="00A6234F" w:rsidRPr="006E4684" w:rsidRDefault="00A6234F" w:rsidP="008A7255">
            <w:pPr>
              <w:pStyle w:val="ListNumber"/>
            </w:pPr>
          </w:p>
        </w:tc>
        <w:tc>
          <w:tcPr>
            <w:tcW w:w="5850" w:type="dxa"/>
          </w:tcPr>
          <w:p w14:paraId="2CC8F67A" w14:textId="77777777" w:rsidR="00A6234F" w:rsidRDefault="00A6234F" w:rsidP="008A7255">
            <w:pPr>
              <w:autoSpaceDE w:val="0"/>
              <w:autoSpaceDN w:val="0"/>
              <w:adjustRightInd w:val="0"/>
              <w:rPr>
                <w:rFonts w:eastAsiaTheme="minorHAnsi"/>
              </w:rPr>
            </w:pPr>
            <w:r>
              <w:rPr>
                <w:rFonts w:eastAsiaTheme="minorHAnsi"/>
              </w:rPr>
              <w:t>Currently participating in another clinical research study with an investigational drug or</w:t>
            </w:r>
          </w:p>
          <w:p w14:paraId="34A47359" w14:textId="77777777" w:rsidR="00A6234F" w:rsidRDefault="00A6234F" w:rsidP="008A7255">
            <w:pPr>
              <w:autoSpaceDE w:val="0"/>
              <w:autoSpaceDN w:val="0"/>
              <w:adjustRightInd w:val="0"/>
              <w:rPr>
                <w:rFonts w:eastAsiaTheme="minorHAnsi"/>
              </w:rPr>
            </w:pPr>
            <w:r>
              <w:rPr>
                <w:rFonts w:eastAsiaTheme="minorHAnsi"/>
              </w:rPr>
              <w:t>medical device</w:t>
            </w:r>
          </w:p>
        </w:tc>
      </w:tr>
      <w:tr w:rsidR="00A6234F" w:rsidRPr="00E370CD" w14:paraId="027581D7" w14:textId="77777777" w:rsidTr="008A7255">
        <w:tc>
          <w:tcPr>
            <w:tcW w:w="4225" w:type="dxa"/>
          </w:tcPr>
          <w:p w14:paraId="6029B6C3" w14:textId="77777777" w:rsidR="00A6234F" w:rsidRPr="006E4684" w:rsidRDefault="00A6234F" w:rsidP="008A7255">
            <w:pPr>
              <w:pStyle w:val="ListNumber"/>
            </w:pPr>
          </w:p>
        </w:tc>
        <w:tc>
          <w:tcPr>
            <w:tcW w:w="5850" w:type="dxa"/>
          </w:tcPr>
          <w:p w14:paraId="3B5531BA" w14:textId="77777777" w:rsidR="00A6234F" w:rsidRDefault="00A6234F" w:rsidP="008A7255">
            <w:pPr>
              <w:autoSpaceDE w:val="0"/>
              <w:autoSpaceDN w:val="0"/>
              <w:adjustRightInd w:val="0"/>
              <w:rPr>
                <w:rFonts w:eastAsiaTheme="minorHAnsi"/>
              </w:rPr>
            </w:pPr>
            <w:r>
              <w:rPr>
                <w:rFonts w:eastAsiaTheme="minorHAnsi"/>
              </w:rPr>
              <w:t>Have taken an investigational drug for RA within the defined time period prior to Implant Procedure:</w:t>
            </w:r>
          </w:p>
          <w:p w14:paraId="4E619312" w14:textId="77777777" w:rsidR="00A6234F" w:rsidRDefault="00A6234F" w:rsidP="008A7255">
            <w:pPr>
              <w:autoSpaceDE w:val="0"/>
              <w:autoSpaceDN w:val="0"/>
              <w:adjustRightInd w:val="0"/>
              <w:rPr>
                <w:rFonts w:eastAsiaTheme="minorHAnsi"/>
              </w:rPr>
            </w:pPr>
            <w:r>
              <w:rPr>
                <w:rFonts w:eastAsiaTheme="minorHAnsi"/>
              </w:rPr>
              <w:t>a. Have taken an investigational drug consisting of biologic agents within 30 days prior to Implant Procedure</w:t>
            </w:r>
          </w:p>
          <w:p w14:paraId="105405F7" w14:textId="77777777" w:rsidR="00A6234F" w:rsidRDefault="00A6234F" w:rsidP="008A7255">
            <w:pPr>
              <w:autoSpaceDE w:val="0"/>
              <w:autoSpaceDN w:val="0"/>
              <w:adjustRightInd w:val="0"/>
              <w:rPr>
                <w:rFonts w:eastAsiaTheme="minorHAnsi"/>
              </w:rPr>
            </w:pPr>
            <w:r>
              <w:rPr>
                <w:rFonts w:eastAsiaTheme="minorHAnsi"/>
              </w:rPr>
              <w:t>b. Have taken an investigational drug consisting of small molecules within 30 days or 5 times the pharmacokinetic half-life, whichever is longer, of Implant Procedure</w:t>
            </w:r>
          </w:p>
        </w:tc>
      </w:tr>
      <w:tr w:rsidR="00A6234F" w:rsidRPr="00E370CD" w14:paraId="5C3AC27A" w14:textId="77777777" w:rsidTr="008A7255">
        <w:tc>
          <w:tcPr>
            <w:tcW w:w="4225" w:type="dxa"/>
          </w:tcPr>
          <w:p w14:paraId="7102D5EA" w14:textId="77777777" w:rsidR="00A6234F" w:rsidRPr="006E4684" w:rsidRDefault="00A6234F" w:rsidP="008A7255">
            <w:pPr>
              <w:pStyle w:val="ListNumber"/>
            </w:pPr>
          </w:p>
        </w:tc>
        <w:tc>
          <w:tcPr>
            <w:tcW w:w="5850" w:type="dxa"/>
          </w:tcPr>
          <w:p w14:paraId="14D576C9" w14:textId="77777777" w:rsidR="00A6234F" w:rsidRDefault="00A6234F" w:rsidP="008A7255">
            <w:pPr>
              <w:autoSpaceDE w:val="0"/>
              <w:autoSpaceDN w:val="0"/>
              <w:adjustRightInd w:val="0"/>
              <w:rPr>
                <w:rFonts w:eastAsiaTheme="minorHAnsi"/>
              </w:rPr>
            </w:pPr>
            <w:r>
              <w:rPr>
                <w:rFonts w:eastAsiaTheme="minorHAnsi"/>
              </w:rPr>
              <w:t>Uncontrolled hypertension, diabetes mellitus</w:t>
            </w:r>
          </w:p>
        </w:tc>
      </w:tr>
      <w:tr w:rsidR="00A6234F" w:rsidRPr="00E370CD" w14:paraId="016E16C0" w14:textId="77777777" w:rsidTr="008A7255">
        <w:tc>
          <w:tcPr>
            <w:tcW w:w="4225" w:type="dxa"/>
          </w:tcPr>
          <w:p w14:paraId="5543AAC5" w14:textId="77777777" w:rsidR="00A6234F" w:rsidRPr="006E4684" w:rsidRDefault="00A6234F" w:rsidP="008A7255">
            <w:pPr>
              <w:pStyle w:val="ListNumber"/>
            </w:pPr>
          </w:p>
        </w:tc>
        <w:tc>
          <w:tcPr>
            <w:tcW w:w="5850" w:type="dxa"/>
          </w:tcPr>
          <w:p w14:paraId="1FFB295A" w14:textId="77777777" w:rsidR="00A6234F" w:rsidRDefault="00A6234F" w:rsidP="008A7255">
            <w:pPr>
              <w:autoSpaceDE w:val="0"/>
              <w:autoSpaceDN w:val="0"/>
              <w:adjustRightInd w:val="0"/>
              <w:rPr>
                <w:rFonts w:eastAsiaTheme="minorHAnsi"/>
              </w:rPr>
            </w:pPr>
            <w:r>
              <w:rPr>
                <w:rFonts w:eastAsiaTheme="minorHAnsi"/>
              </w:rPr>
              <w:t xml:space="preserve">Any comorbidity or current status of subject’s physiological fitness that in the surgeon’s or anesthesiologist’s opinion represents safety concerns that make the subject medically unfit for the implant </w:t>
            </w:r>
            <w:r>
              <w:rPr>
                <w:rFonts w:eastAsiaTheme="minorHAnsi"/>
              </w:rPr>
              <w:lastRenderedPageBreak/>
              <w:t>procedure or may prevent proper placement of MicroRegulator and POD</w:t>
            </w:r>
          </w:p>
        </w:tc>
      </w:tr>
      <w:tr w:rsidR="00A6234F" w:rsidRPr="00E370CD" w14:paraId="2664A542" w14:textId="77777777" w:rsidTr="008A7255">
        <w:tc>
          <w:tcPr>
            <w:tcW w:w="4225" w:type="dxa"/>
          </w:tcPr>
          <w:p w14:paraId="776B67F0" w14:textId="77777777" w:rsidR="00A6234F" w:rsidRPr="006E4684" w:rsidRDefault="00A6234F" w:rsidP="008A7255">
            <w:pPr>
              <w:pStyle w:val="ListNumber"/>
            </w:pPr>
          </w:p>
        </w:tc>
        <w:tc>
          <w:tcPr>
            <w:tcW w:w="5850" w:type="dxa"/>
          </w:tcPr>
          <w:p w14:paraId="6E7F5820" w14:textId="77777777" w:rsidR="00A6234F" w:rsidRDefault="00A6234F" w:rsidP="008A7255">
            <w:pPr>
              <w:autoSpaceDE w:val="0"/>
              <w:autoSpaceDN w:val="0"/>
              <w:adjustRightInd w:val="0"/>
              <w:rPr>
                <w:rFonts w:eastAsiaTheme="minorHAnsi"/>
              </w:rPr>
            </w:pPr>
            <w:r>
              <w:rPr>
                <w:rFonts w:eastAsiaTheme="minorHAnsi"/>
              </w:rPr>
              <w:t>A positive COVID-19 test between informed consent and Implant Procedure</w:t>
            </w:r>
          </w:p>
        </w:tc>
      </w:tr>
      <w:tr w:rsidR="00A6234F" w:rsidRPr="00E370CD" w14:paraId="5385460D" w14:textId="77777777" w:rsidTr="008A7255">
        <w:tc>
          <w:tcPr>
            <w:tcW w:w="4225" w:type="dxa"/>
          </w:tcPr>
          <w:p w14:paraId="7E24A286" w14:textId="77777777" w:rsidR="00A6234F" w:rsidRPr="006E4684" w:rsidRDefault="00A6234F" w:rsidP="008A7255">
            <w:pPr>
              <w:pStyle w:val="ListNumber"/>
            </w:pPr>
          </w:p>
        </w:tc>
        <w:tc>
          <w:tcPr>
            <w:tcW w:w="5850" w:type="dxa"/>
          </w:tcPr>
          <w:p w14:paraId="5E7BEECE" w14:textId="77777777" w:rsidR="00A6234F" w:rsidRDefault="00A6234F" w:rsidP="008A7255">
            <w:pPr>
              <w:autoSpaceDE w:val="0"/>
              <w:autoSpaceDN w:val="0"/>
              <w:adjustRightInd w:val="0"/>
              <w:rPr>
                <w:rFonts w:eastAsiaTheme="minorHAnsi"/>
              </w:rPr>
            </w:pPr>
            <w:r>
              <w:rPr>
                <w:rFonts w:eastAsiaTheme="minorHAnsi"/>
              </w:rPr>
              <w:t>Works or resides in an environment where radio frequency (RF) exposure is higher than levels deemed safe for normal daily activity by the general public (e.g., near radio or television broadcasting antennas, radar systems, industrial heaters and sealers)</w:t>
            </w:r>
          </w:p>
        </w:tc>
      </w:tr>
      <w:tr w:rsidR="00A6234F" w:rsidRPr="00E370CD" w14:paraId="1DD70C3F" w14:textId="77777777" w:rsidTr="008A7255">
        <w:tc>
          <w:tcPr>
            <w:tcW w:w="4225" w:type="dxa"/>
          </w:tcPr>
          <w:p w14:paraId="3ADD4C2C" w14:textId="77777777" w:rsidR="00A6234F" w:rsidRPr="006E4684" w:rsidRDefault="00A6234F" w:rsidP="008A7255">
            <w:pPr>
              <w:pStyle w:val="ListNumber"/>
            </w:pPr>
          </w:p>
        </w:tc>
        <w:tc>
          <w:tcPr>
            <w:tcW w:w="5850" w:type="dxa"/>
          </w:tcPr>
          <w:p w14:paraId="56BFF997" w14:textId="77777777" w:rsidR="00A6234F" w:rsidRDefault="00A6234F" w:rsidP="008A7255">
            <w:pPr>
              <w:autoSpaceDE w:val="0"/>
              <w:autoSpaceDN w:val="0"/>
              <w:adjustRightInd w:val="0"/>
              <w:rPr>
                <w:rFonts w:eastAsiaTheme="minorHAnsi"/>
              </w:rPr>
            </w:pPr>
            <w:r>
              <w:rPr>
                <w:rFonts w:eastAsiaTheme="minorHAnsi"/>
              </w:rPr>
              <w:t>Any condition that, in the investigator’s opinion, may preclude completion of follow-up assessments during the 12-week study duration (e.g., a medical condition that may increase the risk associated with study participation or may interfere with interpretation of study results, inability to adhere to the visit schedule, or poor compliance with treatment regimen)</w:t>
            </w:r>
          </w:p>
        </w:tc>
      </w:tr>
    </w:tbl>
    <w:p w14:paraId="5DFD8010" w14:textId="77777777" w:rsidR="00A6234F" w:rsidRPr="00E370CD" w:rsidRDefault="00A6234F" w:rsidP="00A6234F">
      <w:pPr>
        <w:pStyle w:val="Heading2"/>
        <w:spacing w:line="480" w:lineRule="auto"/>
        <w:ind w:left="907" w:hanging="907"/>
        <w:rPr>
          <w:rFonts w:ascii="Arial" w:hAnsi="Arial" w:cs="Arial"/>
          <w:szCs w:val="24"/>
        </w:rPr>
      </w:pPr>
    </w:p>
    <w:p w14:paraId="6126C1F9" w14:textId="77777777" w:rsidR="00A6234F" w:rsidRPr="00E370CD" w:rsidRDefault="00A6234F" w:rsidP="00A6234F">
      <w:pPr>
        <w:spacing w:line="480" w:lineRule="auto"/>
        <w:rPr>
          <w:rFonts w:ascii="Arial" w:hAnsi="Arial" w:cs="Arial"/>
          <w:b/>
          <w:bCs/>
          <w:iCs/>
          <w:spacing w:val="-1"/>
        </w:rPr>
      </w:pPr>
      <w:r w:rsidRPr="00E370CD">
        <w:rPr>
          <w:rFonts w:ascii="Arial" w:hAnsi="Arial" w:cs="Arial"/>
        </w:rPr>
        <w:br w:type="page"/>
      </w:r>
    </w:p>
    <w:p w14:paraId="26EC5755" w14:textId="77777777" w:rsidR="00A6234F" w:rsidRPr="006E4684" w:rsidRDefault="00A6234F" w:rsidP="00A6234F">
      <w:pPr>
        <w:pStyle w:val="Heading2"/>
        <w:spacing w:line="480" w:lineRule="auto"/>
        <w:ind w:left="907" w:hanging="907"/>
        <w:rPr>
          <w:rFonts w:ascii="Arial" w:hAnsi="Arial" w:cs="Arial"/>
          <w:b/>
          <w:bCs/>
          <w:color w:val="000000" w:themeColor="text1"/>
          <w:sz w:val="24"/>
          <w:szCs w:val="24"/>
        </w:rPr>
      </w:pPr>
      <w:r w:rsidRPr="006E4684">
        <w:rPr>
          <w:rFonts w:ascii="Arial" w:hAnsi="Arial" w:cs="Arial"/>
          <w:b/>
          <w:bCs/>
          <w:color w:val="000000" w:themeColor="text1"/>
          <w:sz w:val="24"/>
          <w:szCs w:val="24"/>
        </w:rPr>
        <w:lastRenderedPageBreak/>
        <w:t>Supplemental Table 2. Prohibited Medical and Surgical Interventions</w:t>
      </w:r>
    </w:p>
    <w:tbl>
      <w:tblPr>
        <w:tblStyle w:val="TableGrid"/>
        <w:tblW w:w="0" w:type="auto"/>
        <w:tblLook w:val="04A0" w:firstRow="1" w:lastRow="0" w:firstColumn="1" w:lastColumn="0" w:noHBand="0" w:noVBand="1"/>
      </w:tblPr>
      <w:tblGrid>
        <w:gridCol w:w="9350"/>
      </w:tblGrid>
      <w:tr w:rsidR="00A6234F" w:rsidRPr="00E370CD" w14:paraId="328C2826" w14:textId="77777777" w:rsidTr="008A7255">
        <w:tc>
          <w:tcPr>
            <w:tcW w:w="9350" w:type="dxa"/>
          </w:tcPr>
          <w:p w14:paraId="53DF249B" w14:textId="77777777" w:rsidR="00A6234F" w:rsidRPr="00E370CD" w:rsidRDefault="00A6234F" w:rsidP="008A7255">
            <w:pPr>
              <w:pStyle w:val="BodyText"/>
              <w:spacing w:line="480" w:lineRule="auto"/>
            </w:pPr>
            <w:r w:rsidRPr="00E370CD">
              <w:t>The following medications and medical treatments are prohibited during study participation:</w:t>
            </w:r>
          </w:p>
        </w:tc>
      </w:tr>
      <w:tr w:rsidR="00A6234F" w:rsidRPr="00E370CD" w14:paraId="31DE20B6" w14:textId="77777777" w:rsidTr="008A7255">
        <w:tc>
          <w:tcPr>
            <w:tcW w:w="9350" w:type="dxa"/>
          </w:tcPr>
          <w:p w14:paraId="45ED0B7A" w14:textId="77777777" w:rsidR="00A6234F" w:rsidRPr="00E370CD" w:rsidRDefault="00A6234F" w:rsidP="00A6234F">
            <w:pPr>
              <w:pStyle w:val="Bulletlisting3"/>
              <w:numPr>
                <w:ilvl w:val="0"/>
                <w:numId w:val="2"/>
              </w:numPr>
              <w:spacing w:line="480" w:lineRule="auto"/>
              <w:ind w:left="1440"/>
              <w:rPr>
                <w:rFonts w:ascii="Arial" w:hAnsi="Arial"/>
              </w:rPr>
            </w:pPr>
            <w:r w:rsidRPr="00E370CD">
              <w:rPr>
                <w:rFonts w:ascii="Arial" w:hAnsi="Arial"/>
              </w:rPr>
              <w:t xml:space="preserve">Steroid pulse therapy </w:t>
            </w:r>
            <w:r>
              <w:rPr>
                <w:rFonts w:ascii="Arial" w:hAnsi="Arial"/>
              </w:rPr>
              <w:t>through Week 12</w:t>
            </w:r>
          </w:p>
        </w:tc>
      </w:tr>
      <w:tr w:rsidR="00A6234F" w:rsidRPr="00E370CD" w14:paraId="70A85FB8" w14:textId="77777777" w:rsidTr="008A7255">
        <w:tc>
          <w:tcPr>
            <w:tcW w:w="9350" w:type="dxa"/>
          </w:tcPr>
          <w:p w14:paraId="3199B458" w14:textId="77777777" w:rsidR="00A6234F" w:rsidRPr="00E370CD" w:rsidRDefault="00A6234F" w:rsidP="00A6234F">
            <w:pPr>
              <w:pStyle w:val="Bulletlisting3"/>
              <w:numPr>
                <w:ilvl w:val="0"/>
                <w:numId w:val="2"/>
              </w:numPr>
              <w:spacing w:line="480" w:lineRule="auto"/>
              <w:ind w:left="1440"/>
              <w:rPr>
                <w:rFonts w:ascii="Arial" w:hAnsi="Arial"/>
              </w:rPr>
            </w:pPr>
            <w:r w:rsidRPr="00E370CD">
              <w:rPr>
                <w:rFonts w:ascii="Arial" w:hAnsi="Arial"/>
              </w:rPr>
              <w:t xml:space="preserve">Biologic or targeted synthetic DMARDs </w:t>
            </w:r>
            <w:r>
              <w:rPr>
                <w:rFonts w:ascii="Arial" w:hAnsi="Arial"/>
              </w:rPr>
              <w:t>through Week 12</w:t>
            </w:r>
          </w:p>
        </w:tc>
      </w:tr>
      <w:tr w:rsidR="00A6234F" w:rsidRPr="00E370CD" w14:paraId="1FDFD41C" w14:textId="77777777" w:rsidTr="008A7255">
        <w:tc>
          <w:tcPr>
            <w:tcW w:w="9350" w:type="dxa"/>
          </w:tcPr>
          <w:p w14:paraId="066D0830" w14:textId="77777777" w:rsidR="00A6234F" w:rsidRPr="00E370CD" w:rsidRDefault="00A6234F" w:rsidP="00A6234F">
            <w:pPr>
              <w:pStyle w:val="Bulletlisting3"/>
              <w:numPr>
                <w:ilvl w:val="0"/>
                <w:numId w:val="2"/>
              </w:numPr>
              <w:spacing w:line="480" w:lineRule="auto"/>
              <w:ind w:left="1440"/>
              <w:rPr>
                <w:rFonts w:ascii="Arial" w:hAnsi="Arial"/>
              </w:rPr>
            </w:pPr>
            <w:r w:rsidRPr="00E370CD">
              <w:rPr>
                <w:rFonts w:ascii="Arial" w:hAnsi="Arial"/>
              </w:rPr>
              <w:t>Intra-articular corticosteroid injection</w:t>
            </w:r>
            <w:r>
              <w:rPr>
                <w:rFonts w:ascii="Arial" w:hAnsi="Arial"/>
              </w:rPr>
              <w:t xml:space="preserve"> through Week 12</w:t>
            </w:r>
          </w:p>
        </w:tc>
      </w:tr>
      <w:tr w:rsidR="00A6234F" w:rsidRPr="00E370CD" w14:paraId="65D2E81A" w14:textId="77777777" w:rsidTr="008A7255">
        <w:tc>
          <w:tcPr>
            <w:tcW w:w="9350" w:type="dxa"/>
          </w:tcPr>
          <w:p w14:paraId="68D8F243" w14:textId="77777777" w:rsidR="00A6234F" w:rsidRPr="00E370CD" w:rsidRDefault="00A6234F" w:rsidP="00A6234F">
            <w:pPr>
              <w:pStyle w:val="Bulletlisting3"/>
              <w:numPr>
                <w:ilvl w:val="0"/>
                <w:numId w:val="2"/>
              </w:numPr>
              <w:spacing w:line="480" w:lineRule="auto"/>
              <w:ind w:left="1440"/>
              <w:rPr>
                <w:rFonts w:ascii="Arial" w:hAnsi="Arial"/>
              </w:rPr>
            </w:pPr>
            <w:r w:rsidRPr="00E370CD">
              <w:rPr>
                <w:rFonts w:ascii="Arial" w:hAnsi="Arial"/>
              </w:rPr>
              <w:t xml:space="preserve">Ionic or nonionic linear chelated gadolinium-based contrast agents for MRI studies such as gadodiamide, gadoversematide, gadofosvest trisodium, gadoxetate disodium, gadopentate dimeglumine, and gadobenate dimeglumine </w:t>
            </w:r>
          </w:p>
        </w:tc>
      </w:tr>
      <w:tr w:rsidR="00A6234F" w:rsidRPr="00E370CD" w14:paraId="300D8329" w14:textId="77777777" w:rsidTr="008A7255">
        <w:tc>
          <w:tcPr>
            <w:tcW w:w="9350" w:type="dxa"/>
          </w:tcPr>
          <w:p w14:paraId="671F1FA2" w14:textId="77777777" w:rsidR="00A6234F" w:rsidRPr="00E370CD" w:rsidRDefault="00A6234F" w:rsidP="00A6234F">
            <w:pPr>
              <w:pStyle w:val="Bulletlisting3"/>
              <w:numPr>
                <w:ilvl w:val="0"/>
                <w:numId w:val="2"/>
              </w:numPr>
              <w:spacing w:line="480" w:lineRule="auto"/>
              <w:ind w:left="1440"/>
              <w:rPr>
                <w:rFonts w:ascii="Arial" w:hAnsi="Arial"/>
              </w:rPr>
            </w:pPr>
            <w:r w:rsidRPr="00E370CD">
              <w:rPr>
                <w:rFonts w:ascii="Arial" w:hAnsi="Arial"/>
              </w:rPr>
              <w:t>External electrical stimulation devices (e.g., TENS units) on the neck</w:t>
            </w:r>
          </w:p>
        </w:tc>
      </w:tr>
      <w:tr w:rsidR="00A6234F" w:rsidRPr="00E370CD" w14:paraId="348639ED" w14:textId="77777777" w:rsidTr="008A7255">
        <w:tc>
          <w:tcPr>
            <w:tcW w:w="9350" w:type="dxa"/>
          </w:tcPr>
          <w:p w14:paraId="116D98A9" w14:textId="77777777" w:rsidR="00A6234F" w:rsidRPr="00E370CD" w:rsidRDefault="00A6234F" w:rsidP="00A6234F">
            <w:pPr>
              <w:pStyle w:val="Bulletlisting3"/>
              <w:numPr>
                <w:ilvl w:val="0"/>
                <w:numId w:val="2"/>
              </w:numPr>
              <w:spacing w:line="480" w:lineRule="auto"/>
              <w:ind w:left="1440"/>
              <w:rPr>
                <w:rFonts w:ascii="Arial" w:hAnsi="Arial"/>
              </w:rPr>
            </w:pPr>
            <w:r w:rsidRPr="00E370CD">
              <w:rPr>
                <w:rFonts w:ascii="Arial" w:hAnsi="Arial"/>
              </w:rPr>
              <w:t>Electrically active implantable medical devices (e.g., cardiac pacemakers, automatic implantable cardioverter-defibrillators)</w:t>
            </w:r>
          </w:p>
        </w:tc>
      </w:tr>
      <w:tr w:rsidR="00A6234F" w:rsidRPr="00E370CD" w14:paraId="04E0402F" w14:textId="77777777" w:rsidTr="008A7255">
        <w:tc>
          <w:tcPr>
            <w:tcW w:w="9350" w:type="dxa"/>
          </w:tcPr>
          <w:p w14:paraId="1C690B39" w14:textId="77777777" w:rsidR="00A6234F" w:rsidRPr="00E370CD" w:rsidRDefault="00A6234F" w:rsidP="00A6234F">
            <w:pPr>
              <w:pStyle w:val="Bulletlisting3"/>
              <w:numPr>
                <w:ilvl w:val="0"/>
                <w:numId w:val="2"/>
              </w:numPr>
              <w:spacing w:line="480" w:lineRule="auto"/>
              <w:ind w:left="1440"/>
              <w:rPr>
                <w:rFonts w:ascii="Arial" w:hAnsi="Arial"/>
              </w:rPr>
            </w:pPr>
            <w:r w:rsidRPr="00E370CD">
              <w:rPr>
                <w:rFonts w:ascii="Arial" w:hAnsi="Arial"/>
              </w:rPr>
              <w:t xml:space="preserve">Extra-corporeal shock wave lithotripsy in the cervical spine region </w:t>
            </w:r>
          </w:p>
        </w:tc>
      </w:tr>
      <w:tr w:rsidR="00A6234F" w:rsidRPr="00E370CD" w14:paraId="0321D568" w14:textId="77777777" w:rsidTr="008A7255">
        <w:tc>
          <w:tcPr>
            <w:tcW w:w="9350" w:type="dxa"/>
          </w:tcPr>
          <w:p w14:paraId="2A0B0093" w14:textId="77777777" w:rsidR="00A6234F" w:rsidRPr="00E370CD" w:rsidRDefault="00A6234F" w:rsidP="00A6234F">
            <w:pPr>
              <w:pStyle w:val="Bulletlisting3"/>
              <w:numPr>
                <w:ilvl w:val="0"/>
                <w:numId w:val="2"/>
              </w:numPr>
              <w:spacing w:line="480" w:lineRule="auto"/>
              <w:ind w:left="1440"/>
              <w:rPr>
                <w:rFonts w:ascii="Arial" w:hAnsi="Arial"/>
              </w:rPr>
            </w:pPr>
            <w:r w:rsidRPr="00E370CD">
              <w:rPr>
                <w:rFonts w:ascii="Arial" w:hAnsi="Arial"/>
              </w:rPr>
              <w:t>Short-wave diathermy, microwave diathermy, or therapeutic ultrasound diathermy. Diagnostic ultrasound is not included in this contraindication</w:t>
            </w:r>
          </w:p>
        </w:tc>
      </w:tr>
      <w:tr w:rsidR="00A6234F" w:rsidRPr="00E370CD" w14:paraId="0285D1D6" w14:textId="77777777" w:rsidTr="008A7255">
        <w:tc>
          <w:tcPr>
            <w:tcW w:w="9350" w:type="dxa"/>
          </w:tcPr>
          <w:p w14:paraId="4404ADA1" w14:textId="77777777" w:rsidR="00A6234F" w:rsidRPr="00E370CD" w:rsidRDefault="00A6234F" w:rsidP="00A6234F">
            <w:pPr>
              <w:pStyle w:val="Bulletlisting3"/>
              <w:numPr>
                <w:ilvl w:val="0"/>
                <w:numId w:val="2"/>
              </w:numPr>
              <w:spacing w:line="480" w:lineRule="auto"/>
              <w:ind w:left="1440"/>
              <w:rPr>
                <w:rFonts w:ascii="Arial" w:hAnsi="Arial"/>
              </w:rPr>
            </w:pPr>
            <w:r w:rsidRPr="00E370CD">
              <w:rPr>
                <w:rFonts w:ascii="Arial" w:hAnsi="Arial"/>
              </w:rPr>
              <w:t>Electrosurgery (electrocautery or radio frequency ablation devices) in the cervical spine region</w:t>
            </w:r>
          </w:p>
        </w:tc>
      </w:tr>
      <w:tr w:rsidR="00A6234F" w:rsidRPr="00E370CD" w14:paraId="538AB050" w14:textId="77777777" w:rsidTr="008A7255">
        <w:tc>
          <w:tcPr>
            <w:tcW w:w="9350" w:type="dxa"/>
          </w:tcPr>
          <w:p w14:paraId="62CFA8C6" w14:textId="77777777" w:rsidR="00A6234F" w:rsidRPr="00E370CD" w:rsidRDefault="00A6234F" w:rsidP="00A6234F">
            <w:pPr>
              <w:pStyle w:val="Bulletlisting3"/>
              <w:numPr>
                <w:ilvl w:val="0"/>
                <w:numId w:val="2"/>
              </w:numPr>
              <w:spacing w:line="480" w:lineRule="auto"/>
              <w:ind w:left="1440"/>
              <w:rPr>
                <w:rFonts w:ascii="Arial" w:hAnsi="Arial"/>
              </w:rPr>
            </w:pPr>
            <w:r w:rsidRPr="00E370CD">
              <w:rPr>
                <w:rFonts w:ascii="Arial" w:hAnsi="Arial"/>
              </w:rPr>
              <w:lastRenderedPageBreak/>
              <w:t>Monopolar electrocautery</w:t>
            </w:r>
          </w:p>
        </w:tc>
      </w:tr>
      <w:tr w:rsidR="00A6234F" w:rsidRPr="00E370CD" w14:paraId="6F827571" w14:textId="77777777" w:rsidTr="008A7255">
        <w:tc>
          <w:tcPr>
            <w:tcW w:w="9350" w:type="dxa"/>
          </w:tcPr>
          <w:p w14:paraId="0A9ACBA0" w14:textId="77777777" w:rsidR="00A6234F" w:rsidRPr="00E370CD" w:rsidRDefault="00A6234F" w:rsidP="00A6234F">
            <w:pPr>
              <w:pStyle w:val="Bulletlisting3"/>
              <w:numPr>
                <w:ilvl w:val="0"/>
                <w:numId w:val="2"/>
              </w:numPr>
              <w:spacing w:line="480" w:lineRule="auto"/>
              <w:ind w:left="1440"/>
              <w:rPr>
                <w:rFonts w:ascii="Arial" w:hAnsi="Arial"/>
              </w:rPr>
            </w:pPr>
            <w:r w:rsidRPr="00E370CD">
              <w:rPr>
                <w:rFonts w:ascii="Arial" w:hAnsi="Arial"/>
              </w:rPr>
              <w:t>Any investigational therapy</w:t>
            </w:r>
          </w:p>
        </w:tc>
      </w:tr>
      <w:tr w:rsidR="00A6234F" w:rsidRPr="00E370CD" w14:paraId="0AC452E4" w14:textId="77777777" w:rsidTr="008A7255">
        <w:tc>
          <w:tcPr>
            <w:tcW w:w="9350" w:type="dxa"/>
          </w:tcPr>
          <w:p w14:paraId="7AE0525A" w14:textId="77777777" w:rsidR="00A6234F" w:rsidRPr="00E370CD" w:rsidRDefault="00A6234F" w:rsidP="00A6234F">
            <w:pPr>
              <w:pStyle w:val="Bulletlisting3"/>
              <w:numPr>
                <w:ilvl w:val="0"/>
                <w:numId w:val="2"/>
              </w:numPr>
              <w:spacing w:line="480" w:lineRule="auto"/>
              <w:ind w:left="1440"/>
              <w:rPr>
                <w:rFonts w:ascii="Arial" w:hAnsi="Arial"/>
              </w:rPr>
            </w:pPr>
            <w:r w:rsidRPr="00E370CD">
              <w:rPr>
                <w:rFonts w:ascii="Arial" w:hAnsi="Arial"/>
              </w:rPr>
              <w:t>Therapeutic radiation</w:t>
            </w:r>
          </w:p>
        </w:tc>
      </w:tr>
    </w:tbl>
    <w:p w14:paraId="28ACA29C" w14:textId="77777777" w:rsidR="00A6234F" w:rsidRPr="00E370CD" w:rsidRDefault="00A6234F" w:rsidP="00A6234F">
      <w:pPr>
        <w:spacing w:line="480" w:lineRule="auto"/>
        <w:rPr>
          <w:rFonts w:ascii="Arial" w:hAnsi="Arial" w:cs="Arial"/>
        </w:rPr>
      </w:pPr>
    </w:p>
    <w:p w14:paraId="01E713D7" w14:textId="77777777" w:rsidR="00A6234F" w:rsidRPr="00E370CD" w:rsidRDefault="00A6234F" w:rsidP="00A6234F">
      <w:pPr>
        <w:spacing w:line="480" w:lineRule="auto"/>
        <w:rPr>
          <w:rFonts w:ascii="Arial" w:hAnsi="Arial" w:cs="Arial"/>
        </w:rPr>
      </w:pPr>
    </w:p>
    <w:p w14:paraId="18F0D86E" w14:textId="77777777" w:rsidR="00A6234F" w:rsidRPr="00E370CD" w:rsidRDefault="00A6234F" w:rsidP="00A6234F">
      <w:pPr>
        <w:spacing w:line="480" w:lineRule="auto"/>
        <w:rPr>
          <w:rFonts w:ascii="Arial" w:hAnsi="Arial" w:cs="Arial"/>
          <w:color w:val="000000"/>
          <w:shd w:val="clear" w:color="auto" w:fill="FFFFFF"/>
        </w:rPr>
      </w:pPr>
    </w:p>
    <w:p w14:paraId="4C76F6D7" w14:textId="77777777" w:rsidR="00755780" w:rsidRDefault="00755780"/>
    <w:sectPr w:rsidR="00755780" w:rsidSect="00A6234F">
      <w:footerReference w:type="even" r:id="rId5"/>
      <w:footerReference w:type="default" r:id="rI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BA5B7" w14:textId="77777777" w:rsidR="009D0041" w:rsidRDefault="00A6234F" w:rsidP="004908B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27</w:t>
    </w:r>
    <w:r>
      <w:rPr>
        <w:rStyle w:val="PageNumber"/>
      </w:rPr>
      <w:fldChar w:fldCharType="end"/>
    </w:r>
  </w:p>
  <w:p w14:paraId="56013F56" w14:textId="77777777" w:rsidR="009D0041" w:rsidRDefault="00A6234F">
    <w:pPr>
      <w:pStyle w:val="Footer"/>
    </w:pPr>
  </w:p>
  <w:p w14:paraId="08E7A8A0" w14:textId="77777777" w:rsidR="004A69B5" w:rsidRDefault="00A6234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04946430"/>
      <w:docPartObj>
        <w:docPartGallery w:val="Page Numbers (Bottom of Page)"/>
        <w:docPartUnique/>
      </w:docPartObj>
    </w:sdtPr>
    <w:sdtEndPr>
      <w:rPr>
        <w:rStyle w:val="PageNumber"/>
      </w:rPr>
    </w:sdtEndPr>
    <w:sdtContent>
      <w:p w14:paraId="48E6E5E6" w14:textId="77777777" w:rsidR="009D0041" w:rsidRDefault="00A6234F" w:rsidP="004908B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D0E7B20" w14:textId="77777777" w:rsidR="009D0041" w:rsidRDefault="00A6234F">
    <w:pPr>
      <w:pStyle w:val="Footer"/>
    </w:pPr>
  </w:p>
  <w:p w14:paraId="0F965AE9" w14:textId="77777777" w:rsidR="004A69B5" w:rsidRDefault="00A6234F"/>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5A258A"/>
    <w:multiLevelType w:val="hybridMultilevel"/>
    <w:tmpl w:val="99F86854"/>
    <w:lvl w:ilvl="0" w:tplc="4BBE30F4">
      <w:start w:val="1"/>
      <w:numFmt w:val="decimal"/>
      <w:lvlText w:val="%1."/>
      <w:lvlJc w:val="left"/>
      <w:pPr>
        <w:ind w:left="450" w:hanging="360"/>
      </w:pPr>
    </w:lvl>
    <w:lvl w:ilvl="1" w:tplc="8C5E89E2" w:tentative="1">
      <w:start w:val="1"/>
      <w:numFmt w:val="lowerLetter"/>
      <w:lvlText w:val="%2."/>
      <w:lvlJc w:val="left"/>
      <w:pPr>
        <w:ind w:left="1170" w:hanging="360"/>
      </w:pPr>
    </w:lvl>
    <w:lvl w:ilvl="2" w:tplc="1CEE4BEA" w:tentative="1">
      <w:start w:val="1"/>
      <w:numFmt w:val="lowerRoman"/>
      <w:lvlText w:val="%3."/>
      <w:lvlJc w:val="right"/>
      <w:pPr>
        <w:ind w:left="1890" w:hanging="180"/>
      </w:pPr>
    </w:lvl>
    <w:lvl w:ilvl="3" w:tplc="B8AE9E4A" w:tentative="1">
      <w:start w:val="1"/>
      <w:numFmt w:val="decimal"/>
      <w:lvlText w:val="%4."/>
      <w:lvlJc w:val="left"/>
      <w:pPr>
        <w:ind w:left="2610" w:hanging="360"/>
      </w:pPr>
    </w:lvl>
    <w:lvl w:ilvl="4" w:tplc="17626F48" w:tentative="1">
      <w:start w:val="1"/>
      <w:numFmt w:val="lowerLetter"/>
      <w:lvlText w:val="%5."/>
      <w:lvlJc w:val="left"/>
      <w:pPr>
        <w:ind w:left="3330" w:hanging="360"/>
      </w:pPr>
    </w:lvl>
    <w:lvl w:ilvl="5" w:tplc="C082E604" w:tentative="1">
      <w:start w:val="1"/>
      <w:numFmt w:val="lowerRoman"/>
      <w:lvlText w:val="%6."/>
      <w:lvlJc w:val="right"/>
      <w:pPr>
        <w:ind w:left="4050" w:hanging="180"/>
      </w:pPr>
    </w:lvl>
    <w:lvl w:ilvl="6" w:tplc="ADAC1660" w:tentative="1">
      <w:start w:val="1"/>
      <w:numFmt w:val="decimal"/>
      <w:lvlText w:val="%7."/>
      <w:lvlJc w:val="left"/>
      <w:pPr>
        <w:ind w:left="4770" w:hanging="360"/>
      </w:pPr>
    </w:lvl>
    <w:lvl w:ilvl="7" w:tplc="A63CFBE6" w:tentative="1">
      <w:start w:val="1"/>
      <w:numFmt w:val="lowerLetter"/>
      <w:lvlText w:val="%8."/>
      <w:lvlJc w:val="left"/>
      <w:pPr>
        <w:ind w:left="5490" w:hanging="360"/>
      </w:pPr>
    </w:lvl>
    <w:lvl w:ilvl="8" w:tplc="59487534" w:tentative="1">
      <w:start w:val="1"/>
      <w:numFmt w:val="lowerRoman"/>
      <w:lvlText w:val="%9."/>
      <w:lvlJc w:val="right"/>
      <w:pPr>
        <w:ind w:left="6210" w:hanging="180"/>
      </w:pPr>
    </w:lvl>
  </w:abstractNum>
  <w:abstractNum w:abstractNumId="1" w15:restartNumberingAfterBreak="0">
    <w:nsid w:val="503A068A"/>
    <w:multiLevelType w:val="singleLevel"/>
    <w:tmpl w:val="739A5DDC"/>
    <w:lvl w:ilvl="0">
      <w:start w:val="1"/>
      <w:numFmt w:val="bullet"/>
      <w:pStyle w:val="Bulletlisting3"/>
      <w:lvlText w:val=""/>
      <w:lvlJc w:val="left"/>
      <w:pPr>
        <w:tabs>
          <w:tab w:val="num" w:pos="1512"/>
        </w:tabs>
        <w:ind w:left="1512" w:hanging="432"/>
      </w:pPr>
      <w:rPr>
        <w:rFonts w:ascii="Symbol" w:hAnsi="Symbol" w:hint="default"/>
        <w:b w:val="0"/>
        <w:i w:val="0"/>
        <w:sz w:val="22"/>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34F"/>
    <w:rsid w:val="00755780"/>
    <w:rsid w:val="00A623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89946"/>
  <w15:chartTrackingRefBased/>
  <w15:docId w15:val="{1C43E5A2-A287-4B8E-8588-150669A85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34F"/>
    <w:pPr>
      <w:spacing w:after="0" w:line="240" w:lineRule="auto"/>
    </w:pPr>
    <w:rPr>
      <w:rFonts w:ascii="Times New Roman" w:eastAsia="Times New Roman" w:hAnsi="Times New Roman" w:cs="Times New Roman"/>
      <w:sz w:val="24"/>
      <w:szCs w:val="24"/>
    </w:rPr>
  </w:style>
  <w:style w:type="paragraph" w:styleId="Heading2">
    <w:name w:val="heading 2"/>
    <w:aliases w:val="Char1,Char1 Char,Heading 1.1"/>
    <w:basedOn w:val="Normal"/>
    <w:next w:val="Normal"/>
    <w:link w:val="Heading2Char"/>
    <w:uiPriority w:val="9"/>
    <w:unhideWhenUsed/>
    <w:qFormat/>
    <w:rsid w:val="00A623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Char1 Char1,Char1 Char Char,Heading 1.1 Char"/>
    <w:basedOn w:val="DefaultParagraphFont"/>
    <w:link w:val="Heading2"/>
    <w:uiPriority w:val="9"/>
    <w:rsid w:val="00A623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1"/>
    <w:qFormat/>
    <w:rsid w:val="00A6234F"/>
    <w:rPr>
      <w:rFonts w:ascii="Arial" w:hAnsi="Arial" w:cs="Arial"/>
      <w:b/>
      <w:bCs/>
    </w:rPr>
  </w:style>
  <w:style w:type="character" w:customStyle="1" w:styleId="BodyTextChar">
    <w:name w:val="Body Text Char"/>
    <w:basedOn w:val="DefaultParagraphFont"/>
    <w:link w:val="BodyText"/>
    <w:uiPriority w:val="1"/>
    <w:rsid w:val="00A6234F"/>
    <w:rPr>
      <w:rFonts w:ascii="Arial" w:eastAsia="Times New Roman" w:hAnsi="Arial" w:cs="Arial"/>
      <w:b/>
      <w:bCs/>
      <w:sz w:val="24"/>
      <w:szCs w:val="24"/>
    </w:rPr>
  </w:style>
  <w:style w:type="paragraph" w:styleId="Footer">
    <w:name w:val="footer"/>
    <w:basedOn w:val="Normal"/>
    <w:link w:val="FooterChar"/>
    <w:uiPriority w:val="99"/>
    <w:unhideWhenUsed/>
    <w:rsid w:val="00A6234F"/>
    <w:pPr>
      <w:tabs>
        <w:tab w:val="center" w:pos="4680"/>
        <w:tab w:val="right" w:pos="9360"/>
      </w:tabs>
    </w:pPr>
  </w:style>
  <w:style w:type="character" w:customStyle="1" w:styleId="FooterChar">
    <w:name w:val="Footer Char"/>
    <w:basedOn w:val="DefaultParagraphFont"/>
    <w:link w:val="Footer"/>
    <w:uiPriority w:val="99"/>
    <w:rsid w:val="00A6234F"/>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A6234F"/>
  </w:style>
  <w:style w:type="paragraph" w:styleId="ListNumber">
    <w:name w:val="List Number"/>
    <w:basedOn w:val="ListBullet"/>
    <w:autoRedefine/>
    <w:qFormat/>
    <w:rsid w:val="00A6234F"/>
    <w:pPr>
      <w:numPr>
        <w:numId w:val="0"/>
      </w:numPr>
      <w:autoSpaceDE w:val="0"/>
      <w:autoSpaceDN w:val="0"/>
      <w:adjustRightInd w:val="0"/>
      <w:contextualSpacing w:val="0"/>
    </w:pPr>
    <w:rPr>
      <w:rFonts w:eastAsia="Arial Unicode MS"/>
      <w:bCs/>
    </w:rPr>
  </w:style>
  <w:style w:type="paragraph" w:customStyle="1" w:styleId="Bulletlisting3">
    <w:name w:val="Bullet (listing)3"/>
    <w:basedOn w:val="Normal"/>
    <w:rsid w:val="00A6234F"/>
    <w:pPr>
      <w:numPr>
        <w:numId w:val="1"/>
      </w:numPr>
      <w:spacing w:before="120" w:after="120" w:line="276" w:lineRule="auto"/>
    </w:pPr>
    <w:rPr>
      <w:rFonts w:cs="Arial"/>
    </w:rPr>
  </w:style>
  <w:style w:type="table" w:styleId="TableGrid">
    <w:name w:val="Table Grid"/>
    <w:basedOn w:val="TableNormal"/>
    <w:uiPriority w:val="39"/>
    <w:rsid w:val="00A6234F"/>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semiHidden/>
    <w:unhideWhenUsed/>
    <w:rsid w:val="00A6234F"/>
    <w:pPr>
      <w:numPr>
        <w:numId w:val="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1221</Words>
  <Characters>6961</Characters>
  <Application>Microsoft Office Word</Application>
  <DocSecurity>0</DocSecurity>
  <Lines>58</Lines>
  <Paragraphs>16</Paragraphs>
  <ScaleCrop>false</ScaleCrop>
  <Company>Springer Nature</Company>
  <LinksUpToDate>false</LinksUpToDate>
  <CharactersWithSpaces>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2023-10-25T10:58:00Z</dcterms:created>
  <dcterms:modified xsi:type="dcterms:W3CDTF">2023-10-25T10:58:00Z</dcterms:modified>
</cp:coreProperties>
</file>