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3E02" w14:textId="77777777" w:rsidR="00F44802" w:rsidRPr="00E60B69" w:rsidRDefault="00DA7FD6">
      <w:pPr>
        <w:jc w:val="center"/>
        <w:rPr>
          <w:b/>
          <w:bCs/>
          <w:color w:val="4472C4" w:themeColor="accent1"/>
        </w:rPr>
      </w:pPr>
      <w:bookmarkStart w:id="0" w:name="_Toc86263582"/>
      <w:proofErr w:type="spellStart"/>
      <w:r w:rsidRPr="00E60B69">
        <w:rPr>
          <w:b/>
          <w:bCs/>
          <w:color w:val="4472C4" w:themeColor="accent1"/>
        </w:rPr>
        <w:t>Supplementary</w:t>
      </w:r>
      <w:proofErr w:type="spellEnd"/>
      <w:r w:rsidRPr="00E60B69">
        <w:rPr>
          <w:b/>
          <w:bCs/>
          <w:color w:val="4472C4" w:themeColor="accent1"/>
        </w:rPr>
        <w:t xml:space="preserve"> </w:t>
      </w:r>
      <w:proofErr w:type="spellStart"/>
      <w:r w:rsidRPr="00E60B69">
        <w:rPr>
          <w:b/>
          <w:bCs/>
          <w:color w:val="4472C4" w:themeColor="accent1"/>
        </w:rPr>
        <w:t>Material</w:t>
      </w:r>
      <w:proofErr w:type="spellEnd"/>
      <w:r w:rsidRPr="00E60B69">
        <w:rPr>
          <w:b/>
          <w:bCs/>
          <w:color w:val="4472C4" w:themeColor="accent1"/>
        </w:rPr>
        <w:t xml:space="preserve"> Index</w:t>
      </w:r>
      <w:bookmarkEnd w:id="0"/>
    </w:p>
    <w:p w14:paraId="77ABA9F1" w14:textId="77777777" w:rsidR="00F44802" w:rsidRPr="00E60B69" w:rsidRDefault="00F44802">
      <w:pPr>
        <w:rPr>
          <w:lang w:eastAsia="en-US"/>
        </w:rPr>
      </w:pPr>
    </w:p>
    <w:sdt>
      <w:sdtPr>
        <w:rPr>
          <w:rFonts w:ascii="Times New Roman" w:hAnsi="Times New Roman" w:cs="Times New Roman"/>
          <w:b w:val="0"/>
          <w:bCs w:val="0"/>
          <w:caps w:val="0"/>
          <w:sz w:val="24"/>
          <w:szCs w:val="24"/>
          <w:u w:val="none"/>
        </w:rPr>
        <w:id w:val="571632812"/>
        <w:docPartObj>
          <w:docPartGallery w:val="Table of Contents"/>
          <w:docPartUnique/>
        </w:docPartObj>
      </w:sdtPr>
      <w:sdtEndPr>
        <w:rPr>
          <w:noProof/>
        </w:rPr>
      </w:sdtEndPr>
      <w:sdtContent>
        <w:p w14:paraId="07DE567B" w14:textId="178C562E" w:rsidR="00B83925" w:rsidRPr="00E60B69" w:rsidRDefault="00DA7FD6">
          <w:pPr>
            <w:pStyle w:val="Sommario1"/>
            <w:tabs>
              <w:tab w:val="left" w:pos="410"/>
              <w:tab w:val="right" w:leader="dot" w:pos="9622"/>
            </w:tabs>
            <w:rPr>
              <w:rFonts w:ascii="Times New Roman" w:eastAsiaTheme="minorEastAsia" w:hAnsi="Times New Roman" w:cs="Times New Roman"/>
              <w:b w:val="0"/>
              <w:bCs w:val="0"/>
              <w:caps w:val="0"/>
              <w:noProof/>
              <w:sz w:val="24"/>
              <w:szCs w:val="24"/>
              <w:u w:val="none"/>
              <w:lang w:eastAsia="en-US"/>
            </w:rPr>
          </w:pPr>
          <w:r w:rsidRPr="00E60B69">
            <w:rPr>
              <w:rFonts w:ascii="Times New Roman" w:hAnsi="Times New Roman" w:cs="Times New Roman"/>
              <w:b w:val="0"/>
              <w:bCs w:val="0"/>
              <w:sz w:val="24"/>
              <w:szCs w:val="24"/>
            </w:rPr>
            <w:fldChar w:fldCharType="begin"/>
          </w:r>
          <w:r w:rsidRPr="00E60B69">
            <w:rPr>
              <w:rFonts w:ascii="Times New Roman" w:hAnsi="Times New Roman" w:cs="Times New Roman"/>
              <w:sz w:val="24"/>
              <w:szCs w:val="24"/>
            </w:rPr>
            <w:instrText>TOC \o "1-3" \h \z \u</w:instrText>
          </w:r>
          <w:r w:rsidRPr="00E60B69">
            <w:rPr>
              <w:rFonts w:ascii="Times New Roman" w:hAnsi="Times New Roman" w:cs="Times New Roman"/>
              <w:b w:val="0"/>
              <w:bCs w:val="0"/>
              <w:sz w:val="24"/>
              <w:szCs w:val="24"/>
            </w:rPr>
            <w:fldChar w:fldCharType="separate"/>
          </w:r>
          <w:hyperlink w:anchor="_Toc142384243" w:history="1">
            <w:r w:rsidR="00B83925" w:rsidRPr="00E60B69">
              <w:rPr>
                <w:rStyle w:val="Collegamentoipertestuale"/>
                <w:rFonts w:ascii="Times New Roman" w:hAnsi="Times New Roman" w:cs="Times New Roman"/>
                <w:noProof/>
              </w:rPr>
              <w:t>1.</w:t>
            </w:r>
            <w:r w:rsidR="00B83925" w:rsidRPr="00E60B69">
              <w:rPr>
                <w:rFonts w:ascii="Times New Roman" w:eastAsiaTheme="minorEastAsia" w:hAnsi="Times New Roman" w:cs="Times New Roman"/>
                <w:b w:val="0"/>
                <w:bCs w:val="0"/>
                <w:caps w:val="0"/>
                <w:noProof/>
                <w:sz w:val="24"/>
                <w:szCs w:val="24"/>
                <w:u w:val="none"/>
                <w:lang w:eastAsia="en-US"/>
              </w:rPr>
              <w:tab/>
            </w:r>
            <w:r w:rsidR="00B83925" w:rsidRPr="00E60B69">
              <w:rPr>
                <w:rStyle w:val="Collegamentoipertestuale"/>
                <w:rFonts w:ascii="Times New Roman" w:hAnsi="Times New Roman" w:cs="Times New Roman"/>
                <w:noProof/>
              </w:rPr>
              <w:t>Supplementary Methods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_Toc142384243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3</w:t>
            </w:r>
            <w:r w:rsidR="00B83925" w:rsidRPr="00E60B69">
              <w:rPr>
                <w:rFonts w:ascii="Times New Roman" w:hAnsi="Times New Roman" w:cs="Times New Roman"/>
                <w:noProof/>
                <w:webHidden/>
              </w:rPr>
              <w:fldChar w:fldCharType="end"/>
            </w:r>
          </w:hyperlink>
        </w:p>
        <w:p w14:paraId="77A87104" w14:textId="43B3BDA3"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44" w:history="1">
            <w:r w:rsidR="00B83925" w:rsidRPr="00E60B69">
              <w:rPr>
                <w:rStyle w:val="Collegamentoipertestuale"/>
                <w:rFonts w:ascii="Times New Roman" w:hAnsi="Times New Roman" w:cs="Times New Roman"/>
              </w:rPr>
              <w:t>1.1.</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Perfusate analyses</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_Toc142384244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3</w:t>
            </w:r>
            <w:r w:rsidR="00B83925" w:rsidRPr="00E60B69">
              <w:rPr>
                <w:rFonts w:ascii="Times New Roman" w:hAnsi="Times New Roman" w:cs="Times New Roman"/>
                <w:webHidden/>
              </w:rPr>
              <w:fldChar w:fldCharType="end"/>
            </w:r>
          </w:hyperlink>
        </w:p>
        <w:p w14:paraId="14049979" w14:textId="71085EC8"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45" w:history="1">
            <w:r w:rsidR="00B83925" w:rsidRPr="00E60B69">
              <w:rPr>
                <w:rStyle w:val="Collegamentoipertestuale"/>
                <w:rFonts w:ascii="Times New Roman" w:hAnsi="Times New Roman" w:cs="Times New Roman"/>
                <w:noProof/>
                <w:lang w:val="en-US"/>
              </w:rPr>
              <w:t>1.1.1.</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Processing and analysis of perfusate samples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_Toc142384245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3</w:t>
            </w:r>
            <w:r w:rsidR="00B83925" w:rsidRPr="00E60B69">
              <w:rPr>
                <w:rFonts w:ascii="Times New Roman" w:hAnsi="Times New Roman" w:cs="Times New Roman"/>
                <w:noProof/>
                <w:webHidden/>
              </w:rPr>
              <w:fldChar w:fldCharType="end"/>
            </w:r>
          </w:hyperlink>
        </w:p>
        <w:p w14:paraId="0F80638B" w14:textId="07A7667D"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46" w:history="1">
            <w:r w:rsidR="00B83925" w:rsidRPr="00E60B69">
              <w:rPr>
                <w:rStyle w:val="Collegamentoipertestuale"/>
                <w:rFonts w:ascii="Times New Roman" w:hAnsi="Times New Roman" w:cs="Times New Roman"/>
                <w:noProof/>
                <w:lang w:val="en-US"/>
              </w:rPr>
              <w:t>1.1.2.</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Adenylate kinase (AK) and Caspase cleaved cytokeratin 18 (CK18)</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_Toc142384246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3</w:t>
            </w:r>
            <w:r w:rsidR="00B83925" w:rsidRPr="00E60B69">
              <w:rPr>
                <w:rFonts w:ascii="Times New Roman" w:hAnsi="Times New Roman" w:cs="Times New Roman"/>
                <w:noProof/>
                <w:webHidden/>
              </w:rPr>
              <w:fldChar w:fldCharType="end"/>
            </w:r>
          </w:hyperlink>
        </w:p>
        <w:p w14:paraId="4B7781E5" w14:textId="0BE28496"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47" w:history="1">
            <w:r w:rsidR="00B83925" w:rsidRPr="00E60B69">
              <w:rPr>
                <w:rStyle w:val="Collegamentoipertestuale"/>
                <w:rFonts w:ascii="Times New Roman" w:hAnsi="Times New Roman" w:cs="Times New Roman"/>
                <w:noProof/>
                <w:lang w:val="en-US"/>
              </w:rPr>
              <w:t>1.1.3.</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Flavin mononucleotide (FMN)</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_Toc142384247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3</w:t>
            </w:r>
            <w:r w:rsidR="00B83925" w:rsidRPr="00E60B69">
              <w:rPr>
                <w:rFonts w:ascii="Times New Roman" w:hAnsi="Times New Roman" w:cs="Times New Roman"/>
                <w:noProof/>
                <w:webHidden/>
              </w:rPr>
              <w:fldChar w:fldCharType="end"/>
            </w:r>
          </w:hyperlink>
        </w:p>
        <w:p w14:paraId="42BF0316" w14:textId="512C54C7"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48" w:history="1">
            <w:r w:rsidR="00B83925" w:rsidRPr="00E60B69">
              <w:rPr>
                <w:rStyle w:val="Collegamentoipertestuale"/>
                <w:rFonts w:ascii="Times New Roman" w:hAnsi="Times New Roman" w:cs="Times New Roman"/>
                <w:noProof/>
                <w:lang w:val="en-US"/>
              </w:rPr>
              <w:t>1.1.4.</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Luminex xMAP® Technology immunofluorescent assays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_Toc142384248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3</w:t>
            </w:r>
            <w:r w:rsidR="00B83925" w:rsidRPr="00E60B69">
              <w:rPr>
                <w:rFonts w:ascii="Times New Roman" w:hAnsi="Times New Roman" w:cs="Times New Roman"/>
                <w:noProof/>
                <w:webHidden/>
              </w:rPr>
              <w:fldChar w:fldCharType="end"/>
            </w:r>
          </w:hyperlink>
        </w:p>
        <w:p w14:paraId="34E6351D" w14:textId="33533C0B"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49" w:history="1">
            <w:r w:rsidR="00B83925" w:rsidRPr="00E60B69">
              <w:rPr>
                <w:rStyle w:val="Collegamentoipertestuale"/>
                <w:rFonts w:ascii="Times New Roman" w:hAnsi="Times New Roman" w:cs="Times New Roman"/>
                <w:noProof/>
                <w:lang w:val="en-US"/>
              </w:rPr>
              <w:t>1.1.5.</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Assessment of 8-hydroxy-2'-deoxyguanosine” (8-OHdG)</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_Toc142384249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4</w:t>
            </w:r>
            <w:r w:rsidR="00B83925" w:rsidRPr="00E60B69">
              <w:rPr>
                <w:rFonts w:ascii="Times New Roman" w:hAnsi="Times New Roman" w:cs="Times New Roman"/>
                <w:noProof/>
                <w:webHidden/>
              </w:rPr>
              <w:fldChar w:fldCharType="end"/>
            </w:r>
          </w:hyperlink>
        </w:p>
        <w:p w14:paraId="7E90765E" w14:textId="489F5550"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50" w:history="1">
            <w:r w:rsidR="00B83925" w:rsidRPr="00E60B69">
              <w:rPr>
                <w:rStyle w:val="Collegamentoipertestuale"/>
                <w:rFonts w:ascii="Times New Roman" w:hAnsi="Times New Roman" w:cs="Times New Roman"/>
                <w:noProof/>
                <w:lang w:val="en-US"/>
              </w:rPr>
              <w:t>1.1.6.</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Glycosaminoglycan (GAG) determination</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_Toc142384250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4</w:t>
            </w:r>
            <w:r w:rsidR="00B83925" w:rsidRPr="00E60B69">
              <w:rPr>
                <w:rFonts w:ascii="Times New Roman" w:hAnsi="Times New Roman" w:cs="Times New Roman"/>
                <w:noProof/>
                <w:webHidden/>
              </w:rPr>
              <w:fldChar w:fldCharType="end"/>
            </w:r>
          </w:hyperlink>
        </w:p>
        <w:p w14:paraId="0719F661" w14:textId="7BEB2B31"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51" w:history="1">
            <w:r w:rsidR="00B83925" w:rsidRPr="00E60B69">
              <w:rPr>
                <w:rStyle w:val="Collegamentoipertestuale"/>
                <w:rFonts w:ascii="Times New Roman" w:hAnsi="Times New Roman" w:cs="Times New Roman"/>
                <w:noProof/>
                <w:lang w:val="en-US"/>
              </w:rPr>
              <w:t>1.1.7.</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Nicotinamide adenine dinucleotide + H</w:t>
            </w:r>
            <w:r w:rsidR="00B83925" w:rsidRPr="00E60B69">
              <w:rPr>
                <w:rStyle w:val="Collegamentoipertestuale"/>
                <w:rFonts w:ascii="Times New Roman" w:hAnsi="Times New Roman" w:cs="Times New Roman"/>
                <w:noProof/>
                <w:vertAlign w:val="superscript"/>
                <w:lang w:val="en-US"/>
              </w:rPr>
              <w:t>+</w:t>
            </w:r>
            <w:r w:rsidR="00B83925" w:rsidRPr="00E60B69">
              <w:rPr>
                <w:rStyle w:val="Collegamentoipertestuale"/>
                <w:rFonts w:ascii="Times New Roman" w:hAnsi="Times New Roman" w:cs="Times New Roman"/>
                <w:noProof/>
                <w:lang w:val="en-US"/>
              </w:rPr>
              <w:t xml:space="preserve"> (NADH) measurement</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_Toc142384251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4</w:t>
            </w:r>
            <w:r w:rsidR="00B83925" w:rsidRPr="00E60B69">
              <w:rPr>
                <w:rFonts w:ascii="Times New Roman" w:hAnsi="Times New Roman" w:cs="Times New Roman"/>
                <w:noProof/>
                <w:webHidden/>
              </w:rPr>
              <w:fldChar w:fldCharType="end"/>
            </w:r>
          </w:hyperlink>
        </w:p>
        <w:p w14:paraId="0A0D8F07" w14:textId="72A5BD2D"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52" w:history="1">
            <w:r w:rsidR="00B83925" w:rsidRPr="00E60B69">
              <w:rPr>
                <w:rStyle w:val="Collegamentoipertestuale"/>
                <w:rFonts w:ascii="Times New Roman" w:hAnsi="Times New Roman" w:cs="Times New Roman"/>
              </w:rPr>
              <w:t>1.2.</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Tissue analysis</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_Toc142384252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4</w:t>
            </w:r>
            <w:r w:rsidR="00B83925" w:rsidRPr="00E60B69">
              <w:rPr>
                <w:rFonts w:ascii="Times New Roman" w:hAnsi="Times New Roman" w:cs="Times New Roman"/>
                <w:webHidden/>
              </w:rPr>
              <w:fldChar w:fldCharType="end"/>
            </w:r>
          </w:hyperlink>
        </w:p>
        <w:p w14:paraId="4534C454" w14:textId="62986621"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53" w:history="1">
            <w:r w:rsidR="00B83925" w:rsidRPr="00E60B69">
              <w:rPr>
                <w:rStyle w:val="Collegamentoipertestuale"/>
                <w:rFonts w:ascii="Times New Roman" w:hAnsi="Times New Roman" w:cs="Times New Roman"/>
                <w:noProof/>
                <w:lang w:val="en-US"/>
              </w:rPr>
              <w:t>1.2.1.</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Nicotinamide adenine dinucleotide (NAD)</w:t>
            </w:r>
            <w:r w:rsidR="00B83925" w:rsidRPr="00E60B69">
              <w:rPr>
                <w:rStyle w:val="Collegamentoipertestuale"/>
                <w:rFonts w:ascii="Times New Roman" w:hAnsi="Times New Roman" w:cs="Times New Roman"/>
                <w:noProof/>
                <w:vertAlign w:val="superscript"/>
                <w:lang w:val="en-US"/>
              </w:rPr>
              <w:t>+</w:t>
            </w:r>
            <w:r w:rsidR="00B83925" w:rsidRPr="00E60B69">
              <w:rPr>
                <w:rStyle w:val="Collegamentoipertestuale"/>
                <w:rFonts w:ascii="Times New Roman" w:hAnsi="Times New Roman" w:cs="Times New Roman"/>
                <w:noProof/>
                <w:lang w:val="en-US"/>
              </w:rPr>
              <w:t>/NADH measurement</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_Toc142384253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4</w:t>
            </w:r>
            <w:r w:rsidR="00B83925" w:rsidRPr="00E60B69">
              <w:rPr>
                <w:rFonts w:ascii="Times New Roman" w:hAnsi="Times New Roman" w:cs="Times New Roman"/>
                <w:noProof/>
                <w:webHidden/>
              </w:rPr>
              <w:fldChar w:fldCharType="end"/>
            </w:r>
          </w:hyperlink>
        </w:p>
        <w:p w14:paraId="145C9A9E" w14:textId="5C5714C7"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54" w:history="1">
            <w:r w:rsidR="00B83925" w:rsidRPr="00E60B69">
              <w:rPr>
                <w:rStyle w:val="Collegamentoipertestuale"/>
                <w:rFonts w:ascii="Times New Roman" w:hAnsi="Times New Roman" w:cs="Times New Roman"/>
                <w:noProof/>
                <w:lang w:val="en-US"/>
              </w:rPr>
              <w:t>1.2.2.</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Malondialdehyde (MDA) measurement</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_Toc142384254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4</w:t>
            </w:r>
            <w:r w:rsidR="00B83925" w:rsidRPr="00E60B69">
              <w:rPr>
                <w:rFonts w:ascii="Times New Roman" w:hAnsi="Times New Roman" w:cs="Times New Roman"/>
                <w:noProof/>
                <w:webHidden/>
              </w:rPr>
              <w:fldChar w:fldCharType="end"/>
            </w:r>
          </w:hyperlink>
        </w:p>
        <w:p w14:paraId="3FA4598B" w14:textId="58614AFE"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55" w:history="1">
            <w:r w:rsidR="00B83925" w:rsidRPr="00E60B69">
              <w:rPr>
                <w:rStyle w:val="Collegamentoipertestuale"/>
                <w:rFonts w:ascii="Times New Roman" w:hAnsi="Times New Roman" w:cs="Times New Roman"/>
                <w:noProof/>
                <w:lang w:val="en-US"/>
              </w:rPr>
              <w:t>1.2.3.</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ATP content evaluation</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_Toc142384255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5</w:t>
            </w:r>
            <w:r w:rsidR="00B83925" w:rsidRPr="00E60B69">
              <w:rPr>
                <w:rFonts w:ascii="Times New Roman" w:hAnsi="Times New Roman" w:cs="Times New Roman"/>
                <w:noProof/>
                <w:webHidden/>
              </w:rPr>
              <w:fldChar w:fldCharType="end"/>
            </w:r>
          </w:hyperlink>
        </w:p>
        <w:p w14:paraId="1F0C018A" w14:textId="3DD25A15" w:rsidR="00B83925" w:rsidRPr="00E60B69" w:rsidRDefault="002510B2">
          <w:pPr>
            <w:pStyle w:val="Sommario3"/>
            <w:tabs>
              <w:tab w:val="left" w:pos="741"/>
              <w:tab w:val="right" w:leader="dot" w:pos="9622"/>
            </w:tabs>
            <w:rPr>
              <w:rFonts w:ascii="Times New Roman" w:eastAsiaTheme="minorEastAsia" w:hAnsi="Times New Roman" w:cs="Times New Roman"/>
              <w:smallCaps w:val="0"/>
              <w:noProof/>
              <w:sz w:val="24"/>
              <w:szCs w:val="24"/>
              <w:lang w:eastAsia="en-US"/>
            </w:rPr>
          </w:pPr>
          <w:hyperlink w:anchor="_Toc142384256" w:history="1">
            <w:r w:rsidR="00B83925" w:rsidRPr="00E60B69">
              <w:rPr>
                <w:rStyle w:val="Collegamentoipertestuale"/>
                <w:rFonts w:ascii="Times New Roman" w:hAnsi="Times New Roman" w:cs="Times New Roman"/>
                <w:noProof/>
                <w:lang w:val="en-US"/>
              </w:rPr>
              <w:t>1.2.4.</w:t>
            </w:r>
            <w:r w:rsidR="00B83925" w:rsidRPr="00E60B69">
              <w:rPr>
                <w:rFonts w:ascii="Times New Roman" w:eastAsiaTheme="minorEastAsia" w:hAnsi="Times New Roman" w:cs="Times New Roman"/>
                <w:smallCaps w:val="0"/>
                <w:noProof/>
                <w:sz w:val="24"/>
                <w:szCs w:val="24"/>
                <w:lang w:eastAsia="en-US"/>
              </w:rPr>
              <w:tab/>
            </w:r>
            <w:r w:rsidR="00B83925" w:rsidRPr="00E60B69">
              <w:rPr>
                <w:rStyle w:val="Collegamentoipertestuale"/>
                <w:rFonts w:ascii="Times New Roman" w:hAnsi="Times New Roman" w:cs="Times New Roman"/>
                <w:noProof/>
                <w:lang w:val="en-US"/>
              </w:rPr>
              <w:t>Nuclear magnetic resonance (NMR) spectroscopy-based metabolomics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_Toc142384256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5</w:t>
            </w:r>
            <w:r w:rsidR="00B83925" w:rsidRPr="00E60B69">
              <w:rPr>
                <w:rFonts w:ascii="Times New Roman" w:hAnsi="Times New Roman" w:cs="Times New Roman"/>
                <w:noProof/>
                <w:webHidden/>
              </w:rPr>
              <w:fldChar w:fldCharType="end"/>
            </w:r>
          </w:hyperlink>
        </w:p>
        <w:p w14:paraId="2AA3CF05" w14:textId="3C4C8224"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57" w:history="1">
            <w:r w:rsidR="00B83925" w:rsidRPr="00E60B69">
              <w:rPr>
                <w:rStyle w:val="Collegamentoipertestuale"/>
                <w:rFonts w:ascii="Times New Roman" w:hAnsi="Times New Roman" w:cs="Times New Roman"/>
              </w:rPr>
              <w:t>1.3.</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Sample size calculation</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_Toc142384257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6</w:t>
            </w:r>
            <w:r w:rsidR="00B83925" w:rsidRPr="00E60B69">
              <w:rPr>
                <w:rFonts w:ascii="Times New Roman" w:hAnsi="Times New Roman" w:cs="Times New Roman"/>
                <w:webHidden/>
              </w:rPr>
              <w:fldChar w:fldCharType="end"/>
            </w:r>
          </w:hyperlink>
        </w:p>
        <w:p w14:paraId="6949BC05" w14:textId="7B08861A"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58" w:history="1">
            <w:r w:rsidR="00B83925" w:rsidRPr="00E60B69">
              <w:rPr>
                <w:rStyle w:val="Collegamentoipertestuale"/>
                <w:rFonts w:ascii="Times New Roman" w:hAnsi="Times New Roman" w:cs="Times New Roman"/>
              </w:rPr>
              <w:t>1.4.</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VO</w:t>
            </w:r>
            <w:r w:rsidR="00B83925" w:rsidRPr="00E60B69">
              <w:rPr>
                <w:rStyle w:val="Collegamentoipertestuale"/>
                <w:rFonts w:ascii="Times New Roman" w:hAnsi="Times New Roman" w:cs="Times New Roman"/>
                <w:vertAlign w:val="subscript"/>
              </w:rPr>
              <w:t>2</w:t>
            </w:r>
            <w:r w:rsidR="00B83925" w:rsidRPr="00E60B69">
              <w:rPr>
                <w:rStyle w:val="Collegamentoipertestuale"/>
                <w:rFonts w:ascii="Times New Roman" w:hAnsi="Times New Roman" w:cs="Times New Roman"/>
              </w:rPr>
              <w:t xml:space="preserve"> and DO</w:t>
            </w:r>
            <w:r w:rsidR="00B83925" w:rsidRPr="00E60B69">
              <w:rPr>
                <w:rStyle w:val="Collegamentoipertestuale"/>
                <w:rFonts w:ascii="Times New Roman" w:hAnsi="Times New Roman" w:cs="Times New Roman"/>
                <w:vertAlign w:val="subscript"/>
              </w:rPr>
              <w:t>2</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_Toc142384258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6</w:t>
            </w:r>
            <w:r w:rsidR="00B83925" w:rsidRPr="00E60B69">
              <w:rPr>
                <w:rFonts w:ascii="Times New Roman" w:hAnsi="Times New Roman" w:cs="Times New Roman"/>
                <w:webHidden/>
              </w:rPr>
              <w:fldChar w:fldCharType="end"/>
            </w:r>
          </w:hyperlink>
        </w:p>
        <w:p w14:paraId="4CBEF76A" w14:textId="0A33D306" w:rsidR="00B83925" w:rsidRPr="00E60B69" w:rsidRDefault="002510B2">
          <w:pPr>
            <w:pStyle w:val="Sommario1"/>
            <w:tabs>
              <w:tab w:val="left" w:pos="410"/>
              <w:tab w:val="right" w:leader="dot" w:pos="9622"/>
            </w:tabs>
            <w:rPr>
              <w:rFonts w:ascii="Times New Roman" w:eastAsiaTheme="minorEastAsia" w:hAnsi="Times New Roman" w:cs="Times New Roman"/>
              <w:b w:val="0"/>
              <w:bCs w:val="0"/>
              <w:caps w:val="0"/>
              <w:noProof/>
              <w:sz w:val="24"/>
              <w:szCs w:val="24"/>
              <w:u w:val="none"/>
              <w:lang w:eastAsia="en-US"/>
            </w:rPr>
          </w:pPr>
          <w:hyperlink w:anchor="_Toc142384259" w:history="1">
            <w:r w:rsidR="00B83925" w:rsidRPr="00E60B69">
              <w:rPr>
                <w:rStyle w:val="Collegamentoipertestuale"/>
                <w:rFonts w:ascii="Times New Roman" w:hAnsi="Times New Roman" w:cs="Times New Roman"/>
                <w:noProof/>
              </w:rPr>
              <w:t>2.</w:t>
            </w:r>
            <w:r w:rsidR="00B83925" w:rsidRPr="00E60B69">
              <w:rPr>
                <w:rFonts w:ascii="Times New Roman" w:eastAsiaTheme="minorEastAsia" w:hAnsi="Times New Roman" w:cs="Times New Roman"/>
                <w:b w:val="0"/>
                <w:bCs w:val="0"/>
                <w:caps w:val="0"/>
                <w:noProof/>
                <w:sz w:val="24"/>
                <w:szCs w:val="24"/>
                <w:u w:val="none"/>
                <w:lang w:eastAsia="en-US"/>
              </w:rPr>
              <w:tab/>
            </w:r>
            <w:r w:rsidR="00B83925" w:rsidRPr="00E60B69">
              <w:rPr>
                <w:rStyle w:val="Collegamentoipertestuale"/>
                <w:rFonts w:ascii="Times New Roman" w:hAnsi="Times New Roman" w:cs="Times New Roman"/>
                <w:noProof/>
              </w:rPr>
              <w:t>Supplementary results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_Toc142384259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8</w:t>
            </w:r>
            <w:r w:rsidR="00B83925" w:rsidRPr="00E60B69">
              <w:rPr>
                <w:rFonts w:ascii="Times New Roman" w:hAnsi="Times New Roman" w:cs="Times New Roman"/>
                <w:noProof/>
                <w:webHidden/>
              </w:rPr>
              <w:fldChar w:fldCharType="end"/>
            </w:r>
          </w:hyperlink>
        </w:p>
        <w:p w14:paraId="5526710D" w14:textId="5A74E313" w:rsidR="00B83925" w:rsidRPr="00E60B69" w:rsidRDefault="002510B2">
          <w:pPr>
            <w:pStyle w:val="Sommario1"/>
            <w:tabs>
              <w:tab w:val="left" w:pos="410"/>
              <w:tab w:val="right" w:leader="dot" w:pos="9622"/>
            </w:tabs>
            <w:rPr>
              <w:rFonts w:ascii="Times New Roman" w:eastAsiaTheme="minorEastAsia" w:hAnsi="Times New Roman" w:cs="Times New Roman"/>
              <w:b w:val="0"/>
              <w:bCs w:val="0"/>
              <w:caps w:val="0"/>
              <w:noProof/>
              <w:sz w:val="24"/>
              <w:szCs w:val="24"/>
              <w:u w:val="none"/>
              <w:lang w:eastAsia="en-US"/>
            </w:rPr>
          </w:pPr>
          <w:hyperlink w:anchor="_Toc142384260" w:history="1">
            <w:r w:rsidR="00B83925" w:rsidRPr="00E60B69">
              <w:rPr>
                <w:rStyle w:val="Collegamentoipertestuale"/>
                <w:rFonts w:ascii="Times New Roman" w:hAnsi="Times New Roman" w:cs="Times New Roman"/>
                <w:noProof/>
              </w:rPr>
              <w:t>3.</w:t>
            </w:r>
            <w:r w:rsidR="00B83925" w:rsidRPr="00E60B69">
              <w:rPr>
                <w:rFonts w:ascii="Times New Roman" w:eastAsiaTheme="minorEastAsia" w:hAnsi="Times New Roman" w:cs="Times New Roman"/>
                <w:b w:val="0"/>
                <w:bCs w:val="0"/>
                <w:caps w:val="0"/>
                <w:noProof/>
                <w:sz w:val="24"/>
                <w:szCs w:val="24"/>
                <w:u w:val="none"/>
                <w:lang w:eastAsia="en-US"/>
              </w:rPr>
              <w:tab/>
            </w:r>
            <w:r w:rsidR="00B83925" w:rsidRPr="00E60B69">
              <w:rPr>
                <w:rStyle w:val="Collegamentoipertestuale"/>
                <w:rFonts w:ascii="Times New Roman" w:hAnsi="Times New Roman" w:cs="Times New Roman"/>
                <w:noProof/>
              </w:rPr>
              <w:t>Supplementary Tables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_Toc142384260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9</w:t>
            </w:r>
            <w:r w:rsidR="00B83925" w:rsidRPr="00E60B69">
              <w:rPr>
                <w:rFonts w:ascii="Times New Roman" w:hAnsi="Times New Roman" w:cs="Times New Roman"/>
                <w:noProof/>
                <w:webHidden/>
              </w:rPr>
              <w:fldChar w:fldCharType="end"/>
            </w:r>
          </w:hyperlink>
        </w:p>
        <w:p w14:paraId="3ECBEDDE" w14:textId="572DD1F2"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1" w:history="1">
            <w:r w:rsidR="00B83925" w:rsidRPr="00E60B69">
              <w:rPr>
                <w:rStyle w:val="Collegamentoipertestuale"/>
                <w:rFonts w:ascii="Times New Roman" w:hAnsi="Times New Roman" w:cs="Times New Roman"/>
              </w:rPr>
              <w:t>3.1.</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table 1. Composition of the perfusion fluid supplemented with acellular Oxygen carrier (Oxyglobin®)</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_Toc142384261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9</w:t>
            </w:r>
            <w:r w:rsidR="00B83925" w:rsidRPr="00E60B69">
              <w:rPr>
                <w:rFonts w:ascii="Times New Roman" w:hAnsi="Times New Roman" w:cs="Times New Roman"/>
                <w:webHidden/>
              </w:rPr>
              <w:fldChar w:fldCharType="end"/>
            </w:r>
          </w:hyperlink>
        </w:p>
        <w:p w14:paraId="307137F0" w14:textId="5C6691F4"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2" w:history="1">
            <w:r w:rsidR="00B83925" w:rsidRPr="00E60B69">
              <w:rPr>
                <w:rStyle w:val="Collegamentoipertestuale"/>
                <w:rFonts w:ascii="Times New Roman" w:hAnsi="Times New Roman" w:cs="Times New Roman"/>
              </w:rPr>
              <w:t>3.2.</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table 2. Perfusion fluid characteristics before graft connection to the NMP circuit and after 4 h and 12 h of perfusion.</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_Toc142384262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10</w:t>
            </w:r>
            <w:r w:rsidR="00B83925" w:rsidRPr="00E60B69">
              <w:rPr>
                <w:rFonts w:ascii="Times New Roman" w:hAnsi="Times New Roman" w:cs="Times New Roman"/>
                <w:webHidden/>
              </w:rPr>
              <w:fldChar w:fldCharType="end"/>
            </w:r>
          </w:hyperlink>
        </w:p>
        <w:p w14:paraId="027BC74F" w14:textId="3C040315" w:rsidR="00B83925" w:rsidRPr="00E60B69" w:rsidRDefault="002510B2">
          <w:pPr>
            <w:pStyle w:val="Sommario1"/>
            <w:tabs>
              <w:tab w:val="left" w:pos="410"/>
              <w:tab w:val="right" w:leader="dot" w:pos="9622"/>
            </w:tabs>
            <w:rPr>
              <w:rFonts w:ascii="Times New Roman" w:eastAsiaTheme="minorEastAsia" w:hAnsi="Times New Roman" w:cs="Times New Roman"/>
              <w:b w:val="0"/>
              <w:bCs w:val="0"/>
              <w:caps w:val="0"/>
              <w:noProof/>
              <w:sz w:val="24"/>
              <w:szCs w:val="24"/>
              <w:u w:val="none"/>
              <w:lang w:eastAsia="en-US"/>
            </w:rPr>
          </w:pPr>
          <w:hyperlink w:anchor="_Toc142384263" w:history="1">
            <w:r w:rsidR="00B83925" w:rsidRPr="00E60B69">
              <w:rPr>
                <w:rStyle w:val="Collegamentoipertestuale"/>
                <w:rFonts w:ascii="Times New Roman" w:hAnsi="Times New Roman" w:cs="Times New Roman"/>
                <w:noProof/>
              </w:rPr>
              <w:t>4.</w:t>
            </w:r>
            <w:r w:rsidR="00B83925" w:rsidRPr="00E60B69">
              <w:rPr>
                <w:rFonts w:ascii="Times New Roman" w:eastAsiaTheme="minorEastAsia" w:hAnsi="Times New Roman" w:cs="Times New Roman"/>
                <w:b w:val="0"/>
                <w:bCs w:val="0"/>
                <w:caps w:val="0"/>
                <w:noProof/>
                <w:sz w:val="24"/>
                <w:szCs w:val="24"/>
                <w:u w:val="none"/>
                <w:lang w:eastAsia="en-US"/>
              </w:rPr>
              <w:tab/>
            </w:r>
            <w:r w:rsidR="00B83925" w:rsidRPr="00E60B69">
              <w:rPr>
                <w:rStyle w:val="Collegamentoipertestuale"/>
                <w:rFonts w:ascii="Times New Roman" w:hAnsi="Times New Roman" w:cs="Times New Roman"/>
                <w:noProof/>
              </w:rPr>
              <w:t>Supplementary Figures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_Toc142384263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11</w:t>
            </w:r>
            <w:r w:rsidR="00B83925" w:rsidRPr="00E60B69">
              <w:rPr>
                <w:rFonts w:ascii="Times New Roman" w:hAnsi="Times New Roman" w:cs="Times New Roman"/>
                <w:noProof/>
                <w:webHidden/>
              </w:rPr>
              <w:fldChar w:fldCharType="end"/>
            </w:r>
          </w:hyperlink>
        </w:p>
        <w:p w14:paraId="6199E25C" w14:textId="7E7E88C8"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4" w:history="1">
            <w:r w:rsidR="00B83925" w:rsidRPr="00E60B69">
              <w:rPr>
                <w:rStyle w:val="Collegamentoipertestuale"/>
                <w:rFonts w:ascii="Times New Roman" w:hAnsi="Times New Roman" w:cs="Times New Roman"/>
              </w:rPr>
              <w:t>4.1.</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1. Schematic representation of experimental workflow and sample collection.</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_Toc142384264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11</w:t>
            </w:r>
            <w:r w:rsidR="00B83925" w:rsidRPr="00E60B69">
              <w:rPr>
                <w:rFonts w:ascii="Times New Roman" w:hAnsi="Times New Roman" w:cs="Times New Roman"/>
                <w:webHidden/>
              </w:rPr>
              <w:fldChar w:fldCharType="end"/>
            </w:r>
          </w:hyperlink>
        </w:p>
        <w:p w14:paraId="678DDA42" w14:textId="71BBA6F2"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5" w:history="1">
            <w:r w:rsidR="00B83925" w:rsidRPr="00E60B69">
              <w:rPr>
                <w:rStyle w:val="Collegamentoipertestuale"/>
                <w:rFonts w:ascii="Times New Roman" w:hAnsi="Times New Roman" w:cs="Times New Roman"/>
              </w:rPr>
              <w:t>4.2.</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2. Portal vein flow and resistance monitoring over NMP.</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_Toc142384265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12</w:t>
            </w:r>
            <w:r w:rsidR="00B83925" w:rsidRPr="00E60B69">
              <w:rPr>
                <w:rFonts w:ascii="Times New Roman" w:hAnsi="Times New Roman" w:cs="Times New Roman"/>
                <w:webHidden/>
              </w:rPr>
              <w:fldChar w:fldCharType="end"/>
            </w:r>
          </w:hyperlink>
        </w:p>
        <w:p w14:paraId="47FB09F7" w14:textId="0709F81C"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6" w:history="1">
            <w:r w:rsidR="00B83925" w:rsidRPr="00E60B69">
              <w:rPr>
                <w:rStyle w:val="Collegamentoipertestuale"/>
                <w:rFonts w:ascii="Times New Roman" w:hAnsi="Times New Roman" w:cs="Times New Roman"/>
              </w:rPr>
              <w:t>4.3.</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3. Perfusate glucose concentration over the NMP procedure.</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_Toc142384266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13</w:t>
            </w:r>
            <w:r w:rsidR="00B83925" w:rsidRPr="00E60B69">
              <w:rPr>
                <w:rFonts w:ascii="Times New Roman" w:hAnsi="Times New Roman" w:cs="Times New Roman"/>
                <w:webHidden/>
              </w:rPr>
              <w:fldChar w:fldCharType="end"/>
            </w:r>
          </w:hyperlink>
        </w:p>
        <w:p w14:paraId="04BA2978" w14:textId="47170419"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7" w:history="1">
            <w:r w:rsidR="00B83925" w:rsidRPr="00E60B69">
              <w:rPr>
                <w:rStyle w:val="Collegamentoipertestuale"/>
                <w:rFonts w:ascii="Times New Roman" w:hAnsi="Times New Roman" w:cs="Times New Roman"/>
              </w:rPr>
              <w:t>4.4.</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4. Lab test of perfusate samples</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_Toc142384267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14</w:t>
            </w:r>
            <w:r w:rsidR="00B83925" w:rsidRPr="00E60B69">
              <w:rPr>
                <w:rFonts w:ascii="Times New Roman" w:hAnsi="Times New Roman" w:cs="Times New Roman"/>
                <w:webHidden/>
              </w:rPr>
              <w:fldChar w:fldCharType="end"/>
            </w:r>
          </w:hyperlink>
        </w:p>
        <w:p w14:paraId="74D580CF" w14:textId="1586E74F"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8" w:history="1">
            <w:r w:rsidR="00B83925" w:rsidRPr="00E60B69">
              <w:rPr>
                <w:rStyle w:val="Collegamentoipertestuale"/>
                <w:rFonts w:ascii="Times New Roman" w:hAnsi="Times New Roman" w:cs="Times New Roman"/>
              </w:rPr>
              <w:t>4.5.</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5. Perfusate FMN over the NMP procedure.</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_Toc142384268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15</w:t>
            </w:r>
            <w:r w:rsidR="00B83925" w:rsidRPr="00E60B69">
              <w:rPr>
                <w:rFonts w:ascii="Times New Roman" w:hAnsi="Times New Roman" w:cs="Times New Roman"/>
                <w:webHidden/>
              </w:rPr>
              <w:fldChar w:fldCharType="end"/>
            </w:r>
          </w:hyperlink>
        </w:p>
        <w:p w14:paraId="3DBB8973" w14:textId="66CDFF79"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69" w:history="1">
            <w:r w:rsidR="00B83925" w:rsidRPr="00E60B69">
              <w:rPr>
                <w:rStyle w:val="Collegamentoipertestuale"/>
                <w:rFonts w:ascii="Times New Roman" w:hAnsi="Times New Roman" w:cs="Times New Roman"/>
              </w:rPr>
              <w:t>4.6.</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6. Histopathology of the liver tissue at the end of NMP compared to Native livers.</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_Toc142384269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16</w:t>
            </w:r>
            <w:r w:rsidR="00B83925" w:rsidRPr="00E60B69">
              <w:rPr>
                <w:rFonts w:ascii="Times New Roman" w:hAnsi="Times New Roman" w:cs="Times New Roman"/>
                <w:webHidden/>
              </w:rPr>
              <w:fldChar w:fldCharType="end"/>
            </w:r>
          </w:hyperlink>
        </w:p>
        <w:p w14:paraId="5E94CB2E" w14:textId="7F0B2CDF"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70" w:history="1">
            <w:r w:rsidR="00B83925" w:rsidRPr="00E60B69">
              <w:rPr>
                <w:rStyle w:val="Collegamentoipertestuale"/>
                <w:rFonts w:ascii="Times New Roman" w:hAnsi="Times New Roman" w:cs="Times New Roman"/>
              </w:rPr>
              <w:t>4.7.</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7. Release of Glycosaminoglycan (GAG) fragments over the 12 h-NMP procedure.</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_Toc142384270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17</w:t>
            </w:r>
            <w:r w:rsidR="00B83925" w:rsidRPr="00E60B69">
              <w:rPr>
                <w:rFonts w:ascii="Times New Roman" w:hAnsi="Times New Roman" w:cs="Times New Roman"/>
                <w:webHidden/>
              </w:rPr>
              <w:fldChar w:fldCharType="end"/>
            </w:r>
          </w:hyperlink>
        </w:p>
        <w:p w14:paraId="0D438BB7" w14:textId="442710B0"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71" w:history="1">
            <w:r w:rsidR="00B83925" w:rsidRPr="00E60B69">
              <w:rPr>
                <w:rStyle w:val="Collegamentoipertestuale"/>
                <w:rFonts w:ascii="Times New Roman" w:hAnsi="Times New Roman" w:cs="Times New Roman"/>
              </w:rPr>
              <w:t>4.8.</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8. NADH release in the perfusate over the 12 h-NMP procedure.</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_Toc142384271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18</w:t>
            </w:r>
            <w:r w:rsidR="00B83925" w:rsidRPr="00E60B69">
              <w:rPr>
                <w:rFonts w:ascii="Times New Roman" w:hAnsi="Times New Roman" w:cs="Times New Roman"/>
                <w:webHidden/>
              </w:rPr>
              <w:fldChar w:fldCharType="end"/>
            </w:r>
          </w:hyperlink>
        </w:p>
        <w:p w14:paraId="7353A373" w14:textId="28D6D490" w:rsidR="00B83925" w:rsidRPr="00E60B69" w:rsidRDefault="002510B2">
          <w:pPr>
            <w:pStyle w:val="Sommario2"/>
            <w:rPr>
              <w:rFonts w:ascii="Times New Roman" w:eastAsiaTheme="minorEastAsia" w:hAnsi="Times New Roman" w:cs="Times New Roman"/>
              <w:b w:val="0"/>
              <w:bCs w:val="0"/>
              <w:smallCaps w:val="0"/>
              <w:sz w:val="24"/>
              <w:szCs w:val="24"/>
              <w:lang w:eastAsia="en-US"/>
            </w:rPr>
          </w:pPr>
          <w:hyperlink w:anchor="_Toc142384272" w:history="1">
            <w:r w:rsidR="00B83925" w:rsidRPr="00E60B69">
              <w:rPr>
                <w:rStyle w:val="Collegamentoipertestuale"/>
                <w:rFonts w:ascii="Times New Roman" w:hAnsi="Times New Roman" w:cs="Times New Roman"/>
              </w:rPr>
              <w:t>4.9.</w:t>
            </w:r>
            <w:r w:rsidR="00B83925" w:rsidRPr="00E60B69">
              <w:rPr>
                <w:rFonts w:ascii="Times New Roman" w:eastAsiaTheme="minorEastAsia" w:hAnsi="Times New Roman" w:cs="Times New Roman"/>
                <w:b w:val="0"/>
                <w:bCs w:val="0"/>
                <w:smallCaps w:val="0"/>
                <w:sz w:val="24"/>
                <w:szCs w:val="24"/>
                <w:lang w:eastAsia="en-US"/>
              </w:rPr>
              <w:tab/>
            </w:r>
            <w:r w:rsidR="00B83925" w:rsidRPr="00E60B69">
              <w:rPr>
                <w:rStyle w:val="Collegamentoipertestuale"/>
                <w:rFonts w:ascii="Times New Roman" w:hAnsi="Times New Roman" w:cs="Times New Roman"/>
              </w:rPr>
              <w:t>Supplementary figure 9. Liver tissue metabolomics analysis.</w:t>
            </w:r>
            <w:r w:rsidR="00B83925" w:rsidRPr="00E60B69">
              <w:rPr>
                <w:rFonts w:ascii="Times New Roman" w:hAnsi="Times New Roman" w:cs="Times New Roman"/>
                <w:webHidden/>
              </w:rPr>
              <w:tab/>
            </w:r>
            <w:r w:rsidR="00B83925" w:rsidRPr="00E60B69">
              <w:rPr>
                <w:rFonts w:ascii="Times New Roman" w:hAnsi="Times New Roman" w:cs="Times New Roman"/>
                <w:webHidden/>
              </w:rPr>
              <w:fldChar w:fldCharType="begin"/>
            </w:r>
            <w:r w:rsidR="00B83925" w:rsidRPr="00E60B69">
              <w:rPr>
                <w:rFonts w:ascii="Times New Roman" w:hAnsi="Times New Roman" w:cs="Times New Roman"/>
                <w:webHidden/>
              </w:rPr>
              <w:instrText xml:space="preserve"> PAGEREF _Toc142384272 \h </w:instrText>
            </w:r>
            <w:r w:rsidR="00B83925" w:rsidRPr="00E60B69">
              <w:rPr>
                <w:rFonts w:ascii="Times New Roman" w:hAnsi="Times New Roman" w:cs="Times New Roman"/>
                <w:webHidden/>
              </w:rPr>
            </w:r>
            <w:r w:rsidR="00B83925" w:rsidRPr="00E60B69">
              <w:rPr>
                <w:rFonts w:ascii="Times New Roman" w:hAnsi="Times New Roman" w:cs="Times New Roman"/>
                <w:webHidden/>
              </w:rPr>
              <w:fldChar w:fldCharType="separate"/>
            </w:r>
            <w:r w:rsidR="00B83925" w:rsidRPr="00E60B69">
              <w:rPr>
                <w:rFonts w:ascii="Times New Roman" w:hAnsi="Times New Roman" w:cs="Times New Roman"/>
                <w:webHidden/>
              </w:rPr>
              <w:t>19</w:t>
            </w:r>
            <w:r w:rsidR="00B83925" w:rsidRPr="00E60B69">
              <w:rPr>
                <w:rFonts w:ascii="Times New Roman" w:hAnsi="Times New Roman" w:cs="Times New Roman"/>
                <w:webHidden/>
              </w:rPr>
              <w:fldChar w:fldCharType="end"/>
            </w:r>
          </w:hyperlink>
        </w:p>
        <w:p w14:paraId="6AB266EA" w14:textId="50D43984" w:rsidR="00B83925" w:rsidRPr="00E60B69" w:rsidRDefault="002510B2">
          <w:pPr>
            <w:pStyle w:val="Sommario1"/>
            <w:tabs>
              <w:tab w:val="left" w:pos="410"/>
              <w:tab w:val="right" w:leader="dot" w:pos="9622"/>
            </w:tabs>
            <w:rPr>
              <w:rFonts w:ascii="Times New Roman" w:eastAsiaTheme="minorEastAsia" w:hAnsi="Times New Roman" w:cs="Times New Roman"/>
              <w:b w:val="0"/>
              <w:bCs w:val="0"/>
              <w:caps w:val="0"/>
              <w:noProof/>
              <w:sz w:val="24"/>
              <w:szCs w:val="24"/>
              <w:u w:val="none"/>
              <w:lang w:eastAsia="en-US"/>
            </w:rPr>
          </w:pPr>
          <w:hyperlink w:anchor="_Toc142384273" w:history="1">
            <w:r w:rsidR="00B83925" w:rsidRPr="00E60B69">
              <w:rPr>
                <w:rStyle w:val="Collegamentoipertestuale"/>
                <w:rFonts w:ascii="Times New Roman" w:hAnsi="Times New Roman" w:cs="Times New Roman"/>
                <w:noProof/>
              </w:rPr>
              <w:t>5.</w:t>
            </w:r>
            <w:r w:rsidR="00B83925" w:rsidRPr="00E60B69">
              <w:rPr>
                <w:rFonts w:ascii="Times New Roman" w:eastAsiaTheme="minorEastAsia" w:hAnsi="Times New Roman" w:cs="Times New Roman"/>
                <w:b w:val="0"/>
                <w:bCs w:val="0"/>
                <w:caps w:val="0"/>
                <w:noProof/>
                <w:sz w:val="24"/>
                <w:szCs w:val="24"/>
                <w:u w:val="none"/>
                <w:lang w:eastAsia="en-US"/>
              </w:rPr>
              <w:tab/>
            </w:r>
            <w:r w:rsidR="00B83925" w:rsidRPr="00E60B69">
              <w:rPr>
                <w:rStyle w:val="Collegamentoipertestuale"/>
                <w:rFonts w:ascii="Times New Roman" w:hAnsi="Times New Roman" w:cs="Times New Roman"/>
                <w:noProof/>
              </w:rPr>
              <w:t>References</w:t>
            </w:r>
            <w:r w:rsidR="00B83925" w:rsidRPr="00E60B69">
              <w:rPr>
                <w:rFonts w:ascii="Times New Roman" w:hAnsi="Times New Roman" w:cs="Times New Roman"/>
                <w:noProof/>
                <w:webHidden/>
              </w:rPr>
              <w:tab/>
            </w:r>
            <w:r w:rsidR="00B83925" w:rsidRPr="00E60B69">
              <w:rPr>
                <w:rFonts w:ascii="Times New Roman" w:hAnsi="Times New Roman" w:cs="Times New Roman"/>
                <w:noProof/>
                <w:webHidden/>
              </w:rPr>
              <w:fldChar w:fldCharType="begin"/>
            </w:r>
            <w:r w:rsidR="00B83925" w:rsidRPr="00E60B69">
              <w:rPr>
                <w:rFonts w:ascii="Times New Roman" w:hAnsi="Times New Roman" w:cs="Times New Roman"/>
                <w:noProof/>
                <w:webHidden/>
              </w:rPr>
              <w:instrText xml:space="preserve"> PAGEREF _Toc142384273 \h </w:instrText>
            </w:r>
            <w:r w:rsidR="00B83925" w:rsidRPr="00E60B69">
              <w:rPr>
                <w:rFonts w:ascii="Times New Roman" w:hAnsi="Times New Roman" w:cs="Times New Roman"/>
                <w:noProof/>
                <w:webHidden/>
              </w:rPr>
            </w:r>
            <w:r w:rsidR="00B83925" w:rsidRPr="00E60B69">
              <w:rPr>
                <w:rFonts w:ascii="Times New Roman" w:hAnsi="Times New Roman" w:cs="Times New Roman"/>
                <w:noProof/>
                <w:webHidden/>
              </w:rPr>
              <w:fldChar w:fldCharType="separate"/>
            </w:r>
            <w:r w:rsidR="00B83925" w:rsidRPr="00E60B69">
              <w:rPr>
                <w:rFonts w:ascii="Times New Roman" w:hAnsi="Times New Roman" w:cs="Times New Roman"/>
                <w:noProof/>
                <w:webHidden/>
              </w:rPr>
              <w:t>20</w:t>
            </w:r>
            <w:r w:rsidR="00B83925" w:rsidRPr="00E60B69">
              <w:rPr>
                <w:rFonts w:ascii="Times New Roman" w:hAnsi="Times New Roman" w:cs="Times New Roman"/>
                <w:noProof/>
                <w:webHidden/>
              </w:rPr>
              <w:fldChar w:fldCharType="end"/>
            </w:r>
          </w:hyperlink>
        </w:p>
        <w:p w14:paraId="24573429" w14:textId="421056CA" w:rsidR="00F44802" w:rsidRPr="00E60B69" w:rsidRDefault="00DA7FD6">
          <w:r w:rsidRPr="00E60B69">
            <w:rPr>
              <w:b/>
              <w:bCs/>
              <w:noProof/>
            </w:rPr>
            <w:fldChar w:fldCharType="end"/>
          </w:r>
        </w:p>
      </w:sdtContent>
    </w:sdt>
    <w:p w14:paraId="4078C0B7" w14:textId="77777777" w:rsidR="00F44802" w:rsidRPr="00E60B69" w:rsidRDefault="00F44802">
      <w:pPr>
        <w:rPr>
          <w:lang w:eastAsia="en-US"/>
        </w:rPr>
      </w:pPr>
    </w:p>
    <w:p w14:paraId="738612AE" w14:textId="77777777" w:rsidR="00F44802" w:rsidRPr="00E60B69" w:rsidRDefault="00F44802">
      <w:pPr>
        <w:rPr>
          <w:lang w:eastAsia="en-US"/>
        </w:rPr>
      </w:pPr>
    </w:p>
    <w:p w14:paraId="7987941E" w14:textId="77777777" w:rsidR="00F44802" w:rsidRPr="00E60B69" w:rsidRDefault="00F44802">
      <w:pPr>
        <w:rPr>
          <w:lang w:eastAsia="en-US"/>
        </w:rPr>
      </w:pPr>
    </w:p>
    <w:p w14:paraId="614A4D4A" w14:textId="77777777" w:rsidR="00F44802" w:rsidRPr="00E60B69" w:rsidRDefault="00F44802">
      <w:pPr>
        <w:rPr>
          <w:lang w:eastAsia="en-US"/>
        </w:rPr>
      </w:pPr>
    </w:p>
    <w:p w14:paraId="7A83FC9A" w14:textId="77777777" w:rsidR="00F44802" w:rsidRPr="00E60B69" w:rsidRDefault="00F44802">
      <w:pPr>
        <w:rPr>
          <w:lang w:eastAsia="en-US"/>
        </w:rPr>
      </w:pPr>
    </w:p>
    <w:p w14:paraId="347E8F4A" w14:textId="77777777" w:rsidR="00F44802" w:rsidRPr="00E60B69" w:rsidRDefault="00F44802">
      <w:pPr>
        <w:rPr>
          <w:lang w:eastAsia="en-US"/>
        </w:rPr>
      </w:pPr>
    </w:p>
    <w:p w14:paraId="764BE0B9" w14:textId="77777777" w:rsidR="00F44802" w:rsidRPr="00E60B69" w:rsidRDefault="00F44802" w:rsidP="00E60B69">
      <w:pPr>
        <w:pStyle w:val="Titolo1"/>
        <w:sectPr w:rsidR="00F44802" w:rsidRPr="00E60B69">
          <w:footerReference w:type="even" r:id="rId8"/>
          <w:footerReference w:type="default" r:id="rId9"/>
          <w:pgSz w:w="11900" w:h="16840"/>
          <w:pgMar w:top="1417" w:right="1134" w:bottom="1134" w:left="1134" w:header="708" w:footer="708" w:gutter="0"/>
          <w:cols w:space="708"/>
          <w:docGrid w:linePitch="360"/>
        </w:sectPr>
      </w:pPr>
    </w:p>
    <w:p w14:paraId="57F9070D" w14:textId="77777777" w:rsidR="00F44802" w:rsidRPr="00E60B69" w:rsidRDefault="00DA7FD6" w:rsidP="00E60B69">
      <w:pPr>
        <w:pStyle w:val="Titolo1"/>
      </w:pPr>
      <w:bookmarkStart w:id="1" w:name="_Toc142384243"/>
      <w:r w:rsidRPr="00E60B69">
        <w:lastRenderedPageBreak/>
        <w:t>Supplementary Methods</w:t>
      </w:r>
      <w:bookmarkEnd w:id="1"/>
    </w:p>
    <w:p w14:paraId="079062A8" w14:textId="77777777" w:rsidR="00F44802" w:rsidRPr="00E60B69" w:rsidRDefault="00F44802">
      <w:pPr>
        <w:rPr>
          <w:sz w:val="20"/>
          <w:szCs w:val="20"/>
          <w:lang w:val="en-US" w:eastAsia="en-US"/>
        </w:rPr>
      </w:pPr>
    </w:p>
    <w:p w14:paraId="49256DD8" w14:textId="77777777" w:rsidR="00F44802" w:rsidRPr="00E60B69" w:rsidRDefault="00DA7FD6" w:rsidP="00B83925">
      <w:pPr>
        <w:pStyle w:val="Titolo2"/>
        <w:rPr>
          <w:rFonts w:ascii="Times New Roman" w:hAnsi="Times New Roman" w:cs="Times New Roman"/>
          <w:sz w:val="20"/>
          <w:szCs w:val="20"/>
        </w:rPr>
      </w:pPr>
      <w:bookmarkStart w:id="2" w:name="_Toc142384244"/>
      <w:r w:rsidRPr="00E60B69">
        <w:rPr>
          <w:rFonts w:ascii="Times New Roman" w:hAnsi="Times New Roman" w:cs="Times New Roman"/>
          <w:sz w:val="20"/>
          <w:szCs w:val="20"/>
        </w:rPr>
        <w:t>Perfusate analyses</w:t>
      </w:r>
      <w:bookmarkEnd w:id="2"/>
      <w:r w:rsidRPr="00E60B69">
        <w:rPr>
          <w:rFonts w:ascii="Times New Roman" w:hAnsi="Times New Roman" w:cs="Times New Roman"/>
          <w:sz w:val="20"/>
          <w:szCs w:val="20"/>
        </w:rPr>
        <w:t xml:space="preserve"> </w:t>
      </w:r>
    </w:p>
    <w:p w14:paraId="3BF3D4C1" w14:textId="77777777" w:rsidR="00F44802" w:rsidRPr="00E60B69" w:rsidRDefault="00DA7FD6">
      <w:pPr>
        <w:pStyle w:val="Titolo3"/>
        <w:numPr>
          <w:ilvl w:val="2"/>
          <w:numId w:val="13"/>
        </w:numPr>
        <w:rPr>
          <w:rFonts w:ascii="Times New Roman" w:hAnsi="Times New Roman" w:cs="Times New Roman"/>
          <w:sz w:val="20"/>
          <w:szCs w:val="20"/>
          <w:lang w:val="en-US"/>
        </w:rPr>
      </w:pPr>
      <w:bookmarkStart w:id="3" w:name="_Toc142384245"/>
      <w:r w:rsidRPr="00E60B69">
        <w:rPr>
          <w:rFonts w:ascii="Times New Roman" w:hAnsi="Times New Roman" w:cs="Times New Roman"/>
          <w:sz w:val="20"/>
          <w:szCs w:val="20"/>
          <w:lang w:val="en-US"/>
        </w:rPr>
        <w:t>Processing and analysis of perfusate samples</w:t>
      </w:r>
      <w:bookmarkEnd w:id="3"/>
      <w:r w:rsidRPr="00E60B69">
        <w:rPr>
          <w:rFonts w:ascii="Times New Roman" w:hAnsi="Times New Roman" w:cs="Times New Roman"/>
          <w:sz w:val="20"/>
          <w:szCs w:val="20"/>
          <w:lang w:val="en-US"/>
        </w:rPr>
        <w:t xml:space="preserve"> </w:t>
      </w:r>
    </w:p>
    <w:p w14:paraId="1435CF6D" w14:textId="2B8638F7" w:rsidR="00F44802" w:rsidRPr="00E60B69" w:rsidRDefault="00DA7FD6">
      <w:pPr>
        <w:rPr>
          <w:sz w:val="20"/>
          <w:szCs w:val="20"/>
          <w:lang w:val="en-US" w:eastAsia="en-US"/>
        </w:rPr>
      </w:pPr>
      <w:r w:rsidRPr="00E60B69">
        <w:rPr>
          <w:sz w:val="20"/>
          <w:szCs w:val="20"/>
          <w:lang w:val="en-US" w:eastAsia="en-US"/>
        </w:rPr>
        <w:t xml:space="preserve">Samples were centrifugated at 2000 rpm for 10 min at 4 </w:t>
      </w:r>
      <w:r w:rsidR="002A6B8F" w:rsidRPr="00E60B69">
        <w:rPr>
          <w:sz w:val="20"/>
          <w:szCs w:val="20"/>
          <w:lang w:val="en-US" w:eastAsia="en-US"/>
        </w:rPr>
        <w:t>°</w:t>
      </w:r>
      <w:r w:rsidRPr="00E60B69">
        <w:rPr>
          <w:sz w:val="20"/>
          <w:szCs w:val="20"/>
          <w:lang w:val="en-US" w:eastAsia="en-US"/>
        </w:rPr>
        <w:t>C (</w:t>
      </w:r>
      <w:proofErr w:type="spellStart"/>
      <w:r w:rsidRPr="00E60B69">
        <w:rPr>
          <w:sz w:val="20"/>
          <w:szCs w:val="20"/>
          <w:lang w:val="en-US" w:eastAsia="en-US"/>
        </w:rPr>
        <w:t>Haereus</w:t>
      </w:r>
      <w:proofErr w:type="spellEnd"/>
      <w:r w:rsidRPr="00E60B69">
        <w:rPr>
          <w:sz w:val="20"/>
          <w:szCs w:val="20"/>
          <w:lang w:val="en-US" w:eastAsia="en-US"/>
        </w:rPr>
        <w:t xml:space="preserve"> </w:t>
      </w:r>
      <w:proofErr w:type="spellStart"/>
      <w:r w:rsidRPr="00E60B69">
        <w:rPr>
          <w:sz w:val="20"/>
          <w:szCs w:val="20"/>
          <w:lang w:val="en-US" w:eastAsia="en-US"/>
        </w:rPr>
        <w:t>Multifuge</w:t>
      </w:r>
      <w:proofErr w:type="spellEnd"/>
      <w:r w:rsidRPr="00E60B69">
        <w:rPr>
          <w:sz w:val="20"/>
          <w:szCs w:val="20"/>
          <w:lang w:val="en-US" w:eastAsia="en-US"/>
        </w:rPr>
        <w:t xml:space="preserve"> X3R</w:t>
      </w:r>
      <w:r w:rsidR="00702D28" w:rsidRPr="00E60B69">
        <w:rPr>
          <w:sz w:val="20"/>
          <w:szCs w:val="20"/>
          <w:lang w:val="en-US" w:eastAsia="en-US"/>
        </w:rPr>
        <w:t>;</w:t>
      </w:r>
      <w:r w:rsidRPr="00E60B69">
        <w:rPr>
          <w:sz w:val="20"/>
          <w:szCs w:val="20"/>
          <w:lang w:val="en-US" w:eastAsia="en-US"/>
        </w:rPr>
        <w:t xml:space="preserve"> </w:t>
      </w:r>
      <w:r w:rsidR="00702D28" w:rsidRPr="00E60B69">
        <w:rPr>
          <w:sz w:val="20"/>
          <w:szCs w:val="20"/>
          <w:lang w:val="en-US" w:eastAsia="en-US"/>
        </w:rPr>
        <w:t>Thermo Fisher Scientific, Waltham, MA, USA</w:t>
      </w:r>
      <w:r w:rsidRPr="00E60B69">
        <w:rPr>
          <w:sz w:val="20"/>
          <w:szCs w:val="20"/>
          <w:lang w:val="en-US" w:eastAsia="en-US"/>
        </w:rPr>
        <w:t xml:space="preserve">). Supernatants were collected and stored at -80 </w:t>
      </w:r>
      <w:r w:rsidR="002A6B8F" w:rsidRPr="00E60B69">
        <w:rPr>
          <w:sz w:val="20"/>
          <w:szCs w:val="20"/>
          <w:lang w:val="en-US" w:eastAsia="en-US"/>
        </w:rPr>
        <w:t>°</w:t>
      </w:r>
      <w:r w:rsidRPr="00E60B69">
        <w:rPr>
          <w:sz w:val="20"/>
          <w:szCs w:val="20"/>
          <w:lang w:val="en-US" w:eastAsia="en-US"/>
        </w:rPr>
        <w:t>C for subsequent analysis.</w:t>
      </w:r>
    </w:p>
    <w:p w14:paraId="6F633DDE" w14:textId="77777777" w:rsidR="00F44802" w:rsidRPr="00E60B69" w:rsidRDefault="00DA7FD6">
      <w:pPr>
        <w:pStyle w:val="Titolo3"/>
        <w:numPr>
          <w:ilvl w:val="2"/>
          <w:numId w:val="13"/>
        </w:numPr>
        <w:rPr>
          <w:rFonts w:ascii="Times New Roman" w:hAnsi="Times New Roman" w:cs="Times New Roman"/>
          <w:sz w:val="20"/>
          <w:szCs w:val="20"/>
          <w:lang w:val="en-US"/>
        </w:rPr>
      </w:pPr>
      <w:bookmarkStart w:id="4" w:name="_Toc142384246"/>
      <w:r w:rsidRPr="00E60B69">
        <w:rPr>
          <w:rFonts w:ascii="Times New Roman" w:hAnsi="Times New Roman" w:cs="Times New Roman"/>
          <w:sz w:val="20"/>
          <w:szCs w:val="20"/>
          <w:lang w:val="en-US"/>
        </w:rPr>
        <w:t>Adenylate kinase (AK) and Caspase cleaved cytokeratin 18 (CK18)</w:t>
      </w:r>
      <w:bookmarkEnd w:id="4"/>
    </w:p>
    <w:p w14:paraId="4D497378" w14:textId="6A1669C4" w:rsidR="00F44802" w:rsidRPr="00E60B69" w:rsidRDefault="00DA7FD6">
      <w:pPr>
        <w:rPr>
          <w:sz w:val="20"/>
          <w:szCs w:val="20"/>
          <w:lang w:val="en-US" w:eastAsia="en-US"/>
        </w:rPr>
      </w:pPr>
      <w:r w:rsidRPr="00E60B69">
        <w:rPr>
          <w:sz w:val="20"/>
          <w:szCs w:val="20"/>
          <w:lang w:val="en-US" w:eastAsia="en-US"/>
        </w:rPr>
        <w:t>Perfusate Adenylate kinase (AK) and Caspase cleaved cytokeratin 18 (CK18) were assessed as indexes of cell death by means of a bioluminescent assay (</w:t>
      </w:r>
      <w:proofErr w:type="spellStart"/>
      <w:r w:rsidRPr="00E60B69">
        <w:rPr>
          <w:sz w:val="20"/>
          <w:szCs w:val="20"/>
          <w:lang w:val="en-US" w:eastAsia="en-US"/>
        </w:rPr>
        <w:t>ToxiLight</w:t>
      </w:r>
      <w:proofErr w:type="spellEnd"/>
      <w:r w:rsidRPr="00E60B69">
        <w:rPr>
          <w:sz w:val="20"/>
          <w:szCs w:val="20"/>
          <w:lang w:val="en-US" w:eastAsia="en-US"/>
        </w:rPr>
        <w:t xml:space="preserve"> </w:t>
      </w:r>
      <w:proofErr w:type="spellStart"/>
      <w:r w:rsidRPr="00E60B69">
        <w:rPr>
          <w:sz w:val="20"/>
          <w:szCs w:val="20"/>
          <w:lang w:val="en-US" w:eastAsia="en-US"/>
        </w:rPr>
        <w:t>BioAssay</w:t>
      </w:r>
      <w:proofErr w:type="spellEnd"/>
      <w:r w:rsidRPr="00E60B69">
        <w:rPr>
          <w:sz w:val="20"/>
          <w:szCs w:val="20"/>
          <w:lang w:val="en-US" w:eastAsia="en-US"/>
        </w:rPr>
        <w:t>, Lonza, Basel, Switzerland) and ELISA assay (Thermo Fisher Scientific, Waltham, M</w:t>
      </w:r>
      <w:r w:rsidR="00702D28" w:rsidRPr="00E60B69">
        <w:rPr>
          <w:sz w:val="20"/>
          <w:szCs w:val="20"/>
          <w:lang w:val="en-US" w:eastAsia="en-US"/>
        </w:rPr>
        <w:t>A</w:t>
      </w:r>
      <w:r w:rsidRPr="00E60B69">
        <w:rPr>
          <w:sz w:val="20"/>
          <w:szCs w:val="20"/>
          <w:lang w:val="en-US" w:eastAsia="en-US"/>
        </w:rPr>
        <w:t xml:space="preserve">, USA). Luminescence detection and absorbance reading were performed using a multi-mode microplate reader (Synergy HTX, </w:t>
      </w:r>
      <w:proofErr w:type="spellStart"/>
      <w:r w:rsidRPr="00E60B69">
        <w:rPr>
          <w:sz w:val="20"/>
          <w:szCs w:val="20"/>
          <w:lang w:val="en-US" w:eastAsia="en-US"/>
        </w:rPr>
        <w:t>Biotek</w:t>
      </w:r>
      <w:proofErr w:type="spellEnd"/>
      <w:r w:rsidRPr="00E60B69">
        <w:rPr>
          <w:sz w:val="20"/>
          <w:szCs w:val="20"/>
          <w:lang w:val="en-US" w:eastAsia="en-US"/>
        </w:rPr>
        <w:t xml:space="preserve"> U.S, Winooski, VT, USA) and a luminometer (</w:t>
      </w:r>
      <w:proofErr w:type="spellStart"/>
      <w:r w:rsidRPr="00E60B69">
        <w:rPr>
          <w:sz w:val="20"/>
          <w:szCs w:val="20"/>
          <w:lang w:val="en-US" w:eastAsia="en-US"/>
        </w:rPr>
        <w:t>Glomax</w:t>
      </w:r>
      <w:proofErr w:type="spellEnd"/>
      <w:r w:rsidRPr="00E60B69">
        <w:rPr>
          <w:sz w:val="20"/>
          <w:szCs w:val="20"/>
          <w:lang w:val="en-US" w:eastAsia="en-US"/>
        </w:rPr>
        <w:t xml:space="preserve"> Luminometer</w:t>
      </w:r>
      <w:r w:rsidR="00702D28" w:rsidRPr="00E60B69">
        <w:rPr>
          <w:sz w:val="20"/>
          <w:szCs w:val="20"/>
          <w:lang w:val="en-US" w:eastAsia="en-US"/>
        </w:rPr>
        <w:t>;</w:t>
      </w:r>
      <w:r w:rsidRPr="00E60B69">
        <w:rPr>
          <w:sz w:val="20"/>
          <w:szCs w:val="20"/>
          <w:lang w:val="en-US" w:eastAsia="en-US"/>
        </w:rPr>
        <w:t xml:space="preserve"> Promega, Madison, WI</w:t>
      </w:r>
      <w:r w:rsidR="00702D28" w:rsidRPr="00E60B69">
        <w:rPr>
          <w:sz w:val="20"/>
          <w:szCs w:val="20"/>
          <w:lang w:val="en-US" w:eastAsia="en-US"/>
        </w:rPr>
        <w:t>, USA</w:t>
      </w:r>
      <w:r w:rsidRPr="00E60B69">
        <w:rPr>
          <w:sz w:val="20"/>
          <w:szCs w:val="20"/>
          <w:lang w:val="en-US" w:eastAsia="en-US"/>
        </w:rPr>
        <w:t xml:space="preserve">), respectively. </w:t>
      </w:r>
    </w:p>
    <w:p w14:paraId="15DFAC52" w14:textId="78E48035" w:rsidR="00F44802" w:rsidRPr="00E60B69" w:rsidRDefault="00DA7FD6">
      <w:pPr>
        <w:pStyle w:val="Titolo3"/>
        <w:numPr>
          <w:ilvl w:val="2"/>
          <w:numId w:val="13"/>
        </w:numPr>
        <w:rPr>
          <w:rFonts w:ascii="Times New Roman" w:hAnsi="Times New Roman" w:cs="Times New Roman"/>
          <w:sz w:val="20"/>
          <w:szCs w:val="20"/>
          <w:lang w:val="en-US"/>
        </w:rPr>
      </w:pPr>
      <w:bookmarkStart w:id="5" w:name="_Toc142384247"/>
      <w:r w:rsidRPr="00E60B69">
        <w:rPr>
          <w:rFonts w:ascii="Times New Roman" w:hAnsi="Times New Roman" w:cs="Times New Roman"/>
          <w:sz w:val="20"/>
          <w:szCs w:val="20"/>
          <w:lang w:val="en-US"/>
        </w:rPr>
        <w:t>Flavin mononucleotide (FMN)</w:t>
      </w:r>
      <w:bookmarkEnd w:id="5"/>
    </w:p>
    <w:p w14:paraId="40E28494" w14:textId="77777777" w:rsidR="00F44802" w:rsidRPr="00E60B69" w:rsidRDefault="00DA7FD6">
      <w:pPr>
        <w:rPr>
          <w:sz w:val="20"/>
          <w:szCs w:val="20"/>
          <w:lang w:val="en-US" w:eastAsia="en-US"/>
        </w:rPr>
      </w:pPr>
      <w:r w:rsidRPr="00E60B69">
        <w:rPr>
          <w:sz w:val="20"/>
          <w:szCs w:val="20"/>
          <w:lang w:val="en-US" w:eastAsia="en-US"/>
        </w:rPr>
        <w:t xml:space="preserve">The FMN concentration was determined by fluorescence spectroscopy. Perfusate samples were dispensed in triplicate in black microplates. Fluorescence readings were performed using a multi-mode microplate reader (Synergy HTX). A monochrome light with excitation wavelength of 460/40 nm was used, while fluorescence emission was revealed with 100% gain at 528/20 nm. </w:t>
      </w:r>
    </w:p>
    <w:p w14:paraId="4D0503D9" w14:textId="77777777" w:rsidR="00F44802" w:rsidRPr="00E60B69" w:rsidRDefault="00DA7FD6">
      <w:pPr>
        <w:pStyle w:val="Titolo3"/>
        <w:rPr>
          <w:rFonts w:ascii="Times New Roman" w:hAnsi="Times New Roman" w:cs="Times New Roman"/>
          <w:sz w:val="20"/>
          <w:szCs w:val="20"/>
          <w:lang w:val="en-US"/>
        </w:rPr>
      </w:pPr>
      <w:bookmarkStart w:id="6" w:name="_Toc142384248"/>
      <w:r w:rsidRPr="00E60B69">
        <w:rPr>
          <w:rFonts w:ascii="Times New Roman" w:hAnsi="Times New Roman" w:cs="Times New Roman"/>
          <w:sz w:val="20"/>
          <w:szCs w:val="20"/>
          <w:lang w:val="en-US"/>
        </w:rPr>
        <w:t xml:space="preserve">Luminex </w:t>
      </w:r>
      <w:proofErr w:type="spellStart"/>
      <w:r w:rsidRPr="00E60B69">
        <w:rPr>
          <w:rFonts w:ascii="Times New Roman" w:hAnsi="Times New Roman" w:cs="Times New Roman"/>
          <w:sz w:val="20"/>
          <w:szCs w:val="20"/>
          <w:lang w:val="en-US"/>
        </w:rPr>
        <w:t>xMAP</w:t>
      </w:r>
      <w:proofErr w:type="spellEnd"/>
      <w:r w:rsidRPr="00E60B69">
        <w:rPr>
          <w:rFonts w:ascii="Times New Roman" w:hAnsi="Times New Roman" w:cs="Times New Roman"/>
          <w:sz w:val="20"/>
          <w:szCs w:val="20"/>
          <w:lang w:val="en-US"/>
        </w:rPr>
        <w:t>® Technology immunofluorescent assays</w:t>
      </w:r>
      <w:bookmarkEnd w:id="6"/>
      <w:r w:rsidRPr="00E60B69">
        <w:rPr>
          <w:rFonts w:ascii="Times New Roman" w:hAnsi="Times New Roman" w:cs="Times New Roman"/>
          <w:sz w:val="20"/>
          <w:szCs w:val="20"/>
          <w:lang w:val="en-US"/>
        </w:rPr>
        <w:t xml:space="preserve"> </w:t>
      </w:r>
    </w:p>
    <w:p w14:paraId="54716CC1" w14:textId="73C483B1" w:rsidR="00F44802" w:rsidRPr="00E60B69" w:rsidRDefault="00DA7FD6">
      <w:pPr>
        <w:rPr>
          <w:sz w:val="20"/>
          <w:szCs w:val="20"/>
          <w:lang w:val="en-US" w:eastAsia="en-US"/>
        </w:rPr>
      </w:pPr>
      <w:r w:rsidRPr="00E60B69">
        <w:rPr>
          <w:sz w:val="20"/>
          <w:szCs w:val="20"/>
          <w:lang w:val="en-US" w:eastAsia="en-US"/>
        </w:rPr>
        <w:t xml:space="preserve">Perfusates were diluted 1:10 with 1X PBS solution (Sigma-Aldrich, Saint Louis, USA) and then added V/V to </w:t>
      </w:r>
      <w:proofErr w:type="spellStart"/>
      <w:r w:rsidRPr="00E60B69">
        <w:rPr>
          <w:sz w:val="20"/>
          <w:szCs w:val="20"/>
          <w:lang w:val="en-US" w:eastAsia="en-US"/>
        </w:rPr>
        <w:t>Hemoglobind</w:t>
      </w:r>
      <w:proofErr w:type="spellEnd"/>
      <w:r w:rsidRPr="00E60B69">
        <w:rPr>
          <w:sz w:val="20"/>
          <w:szCs w:val="20"/>
          <w:lang w:val="en-US" w:eastAsia="en-US"/>
        </w:rPr>
        <w:t xml:space="preserve"> (Biotech Support group, Monmouth Junction, NJ, USA). After 10 min-vigorous mixing at room temperature (RT), samples were subjected to 4 min-centrifugation at 10,000 rpm (</w:t>
      </w:r>
      <w:proofErr w:type="spellStart"/>
      <w:r w:rsidRPr="00E60B69">
        <w:rPr>
          <w:sz w:val="20"/>
          <w:szCs w:val="20"/>
          <w:lang w:val="en-US" w:eastAsia="en-US"/>
        </w:rPr>
        <w:t>Haereus</w:t>
      </w:r>
      <w:proofErr w:type="spellEnd"/>
      <w:r w:rsidRPr="00E60B69">
        <w:rPr>
          <w:sz w:val="20"/>
          <w:szCs w:val="20"/>
          <w:lang w:val="en-US" w:eastAsia="en-US"/>
        </w:rPr>
        <w:t xml:space="preserve"> </w:t>
      </w:r>
      <w:proofErr w:type="spellStart"/>
      <w:r w:rsidRPr="00E60B69">
        <w:rPr>
          <w:sz w:val="20"/>
          <w:szCs w:val="20"/>
          <w:lang w:val="en-US" w:eastAsia="en-US"/>
        </w:rPr>
        <w:t>Multifuge</w:t>
      </w:r>
      <w:proofErr w:type="spellEnd"/>
      <w:r w:rsidRPr="00E60B69">
        <w:rPr>
          <w:sz w:val="20"/>
          <w:szCs w:val="20"/>
          <w:lang w:val="en-US" w:eastAsia="en-US"/>
        </w:rPr>
        <w:t xml:space="preserve"> X3R). Supernatants were recovered and stored at -80</w:t>
      </w:r>
      <w:r w:rsidR="002A6B8F" w:rsidRPr="00E60B69">
        <w:rPr>
          <w:sz w:val="20"/>
          <w:szCs w:val="20"/>
          <w:lang w:val="en-US" w:eastAsia="en-US"/>
        </w:rPr>
        <w:t xml:space="preserve"> °</w:t>
      </w:r>
      <w:r w:rsidRPr="00E60B69">
        <w:rPr>
          <w:sz w:val="20"/>
          <w:szCs w:val="20"/>
          <w:lang w:val="en-US" w:eastAsia="en-US"/>
        </w:rPr>
        <w:t xml:space="preserve">C. </w:t>
      </w:r>
      <w:proofErr w:type="spellStart"/>
      <w:r w:rsidRPr="00E60B69">
        <w:rPr>
          <w:sz w:val="20"/>
          <w:szCs w:val="20"/>
          <w:lang w:val="en-US" w:eastAsia="en-US"/>
        </w:rPr>
        <w:t>Oxyglobin</w:t>
      </w:r>
      <w:proofErr w:type="spellEnd"/>
      <w:r w:rsidRPr="00E60B69">
        <w:rPr>
          <w:sz w:val="20"/>
          <w:szCs w:val="20"/>
          <w:lang w:val="en-US" w:eastAsia="en-US"/>
        </w:rPr>
        <w:t xml:space="preserve">-free samples were used to assess selected biomarkers of liver injury, liver response to stress stimulus, and liver sinusoidal endothelial cells (LSEC) activation. Analyte concentration was measured using custom-designed immunoassays based on Luminex </w:t>
      </w:r>
      <w:proofErr w:type="spellStart"/>
      <w:r w:rsidRPr="00E60B69">
        <w:rPr>
          <w:sz w:val="20"/>
          <w:szCs w:val="20"/>
          <w:lang w:val="en-US" w:eastAsia="en-US"/>
        </w:rPr>
        <w:t>xMAP</w:t>
      </w:r>
      <w:proofErr w:type="spellEnd"/>
      <w:r w:rsidRPr="00E60B69">
        <w:rPr>
          <w:sz w:val="20"/>
          <w:szCs w:val="20"/>
          <w:lang w:val="en-US" w:eastAsia="en-US"/>
        </w:rPr>
        <w:t>® Technology (</w:t>
      </w:r>
      <w:proofErr w:type="spellStart"/>
      <w:r w:rsidRPr="00E60B69">
        <w:rPr>
          <w:sz w:val="20"/>
          <w:szCs w:val="20"/>
          <w:lang w:val="en-US" w:eastAsia="en-US"/>
        </w:rPr>
        <w:t>Milliplex</w:t>
      </w:r>
      <w:proofErr w:type="spellEnd"/>
      <w:r w:rsidRPr="00E60B69">
        <w:rPr>
          <w:sz w:val="20"/>
          <w:szCs w:val="20"/>
          <w:lang w:val="en-US" w:eastAsia="en-US"/>
        </w:rPr>
        <w:t xml:space="preserve"> multiplex assays, Merck </w:t>
      </w:r>
      <w:proofErr w:type="spellStart"/>
      <w:r w:rsidRPr="00E60B69">
        <w:rPr>
          <w:sz w:val="20"/>
          <w:szCs w:val="20"/>
          <w:lang w:val="en-US" w:eastAsia="en-US"/>
        </w:rPr>
        <w:t>KGaA</w:t>
      </w:r>
      <w:proofErr w:type="spellEnd"/>
      <w:r w:rsidRPr="00E60B69">
        <w:rPr>
          <w:sz w:val="20"/>
          <w:szCs w:val="20"/>
          <w:lang w:val="en-US" w:eastAsia="en-US"/>
        </w:rPr>
        <w:t>). Fluorescence signals were detected on a Luminex 200 platform (Austin, CA, USA).</w:t>
      </w:r>
    </w:p>
    <w:p w14:paraId="1E66088C" w14:textId="54FD23B9" w:rsidR="00F44802" w:rsidRPr="00E60B69" w:rsidRDefault="00DA7FD6">
      <w:pPr>
        <w:pStyle w:val="Titolo3"/>
        <w:rPr>
          <w:rFonts w:ascii="Times New Roman" w:hAnsi="Times New Roman" w:cs="Times New Roman"/>
          <w:sz w:val="20"/>
          <w:szCs w:val="20"/>
          <w:lang w:val="en-US"/>
        </w:rPr>
      </w:pPr>
      <w:bookmarkStart w:id="7" w:name="_Toc142384249"/>
      <w:r w:rsidRPr="00E60B69">
        <w:rPr>
          <w:rFonts w:ascii="Times New Roman" w:hAnsi="Times New Roman" w:cs="Times New Roman"/>
          <w:sz w:val="20"/>
          <w:szCs w:val="20"/>
          <w:lang w:val="en-US"/>
        </w:rPr>
        <w:t>Assessment of 8-hydroxy-2'-deoxyguanosine” (8-OHdG)</w:t>
      </w:r>
      <w:bookmarkEnd w:id="7"/>
    </w:p>
    <w:p w14:paraId="4B62B3EE" w14:textId="77777777" w:rsidR="00F44802" w:rsidRPr="00E60B69" w:rsidRDefault="00DA7FD6">
      <w:pPr>
        <w:rPr>
          <w:sz w:val="20"/>
          <w:szCs w:val="20"/>
          <w:lang w:val="en-US" w:eastAsia="en-US"/>
        </w:rPr>
      </w:pPr>
      <w:r w:rsidRPr="00E60B69">
        <w:rPr>
          <w:sz w:val="20"/>
          <w:szCs w:val="20"/>
          <w:lang w:val="en-US" w:eastAsia="en-US"/>
        </w:rPr>
        <w:t>Generation of the oxidized form of 2’-deoxyguanosine was determined to assess the occurrence of oxidative damage to DNA (DNA damage competitive ELISA, Thermo Fisher Scientific). Absorbance reading was performed at 450 nm using a multi-mode microplate reader (Synergy HTX).</w:t>
      </w:r>
    </w:p>
    <w:p w14:paraId="249D9FD5" w14:textId="77777777" w:rsidR="00F44802" w:rsidRPr="00E60B69" w:rsidRDefault="00DA7FD6">
      <w:pPr>
        <w:pStyle w:val="Titolo3"/>
        <w:rPr>
          <w:rFonts w:ascii="Times New Roman" w:hAnsi="Times New Roman" w:cs="Times New Roman"/>
          <w:sz w:val="20"/>
          <w:szCs w:val="20"/>
          <w:lang w:val="en-US"/>
        </w:rPr>
      </w:pPr>
      <w:bookmarkStart w:id="8" w:name="_Toc142384250"/>
      <w:r w:rsidRPr="00E60B69">
        <w:rPr>
          <w:rFonts w:ascii="Times New Roman" w:hAnsi="Times New Roman" w:cs="Times New Roman"/>
          <w:sz w:val="20"/>
          <w:szCs w:val="20"/>
          <w:lang w:val="en-US"/>
        </w:rPr>
        <w:t>Glycosaminoglycan (GAG) determination</w:t>
      </w:r>
      <w:bookmarkEnd w:id="8"/>
    </w:p>
    <w:p w14:paraId="4E097735" w14:textId="4F36059E" w:rsidR="00F44802" w:rsidRPr="00E60B69" w:rsidRDefault="00DA7FD6">
      <w:pPr>
        <w:rPr>
          <w:sz w:val="20"/>
          <w:szCs w:val="20"/>
          <w:lang w:val="en-US" w:eastAsia="en-US"/>
        </w:rPr>
      </w:pPr>
      <w:r w:rsidRPr="00E60B69">
        <w:rPr>
          <w:sz w:val="20"/>
          <w:szCs w:val="20"/>
          <w:lang w:val="en-US" w:eastAsia="en-US"/>
        </w:rPr>
        <w:t>Glycosaminoglycan (GAG) released in the perfusate were measured using a commercially available ELISA assay (</w:t>
      </w:r>
      <w:proofErr w:type="spellStart"/>
      <w:r w:rsidRPr="00E60B69">
        <w:rPr>
          <w:sz w:val="20"/>
          <w:szCs w:val="20"/>
          <w:lang w:val="en-US" w:eastAsia="en-US"/>
        </w:rPr>
        <w:t>Cusabio</w:t>
      </w:r>
      <w:proofErr w:type="spellEnd"/>
      <w:r w:rsidRPr="00E60B69">
        <w:rPr>
          <w:sz w:val="20"/>
          <w:szCs w:val="20"/>
          <w:lang w:val="en-US" w:eastAsia="en-US"/>
        </w:rPr>
        <w:t xml:space="preserve"> Technology LLC, Wuhan, Hubei Province, China). Absorbance reading was performed at 450 nm using a multi-mode microplate reader (Synergy HTX).</w:t>
      </w:r>
    </w:p>
    <w:p w14:paraId="5C2F1B5F" w14:textId="77777777" w:rsidR="00F44802" w:rsidRPr="00E60B69" w:rsidRDefault="00DA7FD6">
      <w:pPr>
        <w:pStyle w:val="Titolo3"/>
        <w:rPr>
          <w:rFonts w:ascii="Times New Roman" w:hAnsi="Times New Roman" w:cs="Times New Roman"/>
          <w:sz w:val="20"/>
          <w:szCs w:val="20"/>
          <w:lang w:val="en-US"/>
        </w:rPr>
      </w:pPr>
      <w:bookmarkStart w:id="9" w:name="_Toc142384251"/>
      <w:r w:rsidRPr="00E60B69">
        <w:rPr>
          <w:rFonts w:ascii="Times New Roman" w:hAnsi="Times New Roman" w:cs="Times New Roman"/>
          <w:sz w:val="20"/>
          <w:szCs w:val="20"/>
          <w:lang w:val="en-US"/>
        </w:rPr>
        <w:t>Nicotinamide adenine dinucleotide + H</w:t>
      </w:r>
      <w:r w:rsidRPr="00E60B69">
        <w:rPr>
          <w:rFonts w:ascii="Times New Roman" w:hAnsi="Times New Roman" w:cs="Times New Roman"/>
          <w:sz w:val="20"/>
          <w:szCs w:val="20"/>
          <w:vertAlign w:val="superscript"/>
          <w:lang w:val="en-US"/>
        </w:rPr>
        <w:t>+</w:t>
      </w:r>
      <w:r w:rsidRPr="00E60B69">
        <w:rPr>
          <w:rFonts w:ascii="Times New Roman" w:hAnsi="Times New Roman" w:cs="Times New Roman"/>
          <w:sz w:val="20"/>
          <w:szCs w:val="20"/>
          <w:lang w:val="en-US"/>
        </w:rPr>
        <w:t xml:space="preserve"> (NADH) measurement</w:t>
      </w:r>
      <w:bookmarkEnd w:id="9"/>
    </w:p>
    <w:p w14:paraId="1639F3AA" w14:textId="767D2856" w:rsidR="00F44802" w:rsidRPr="00E60B69" w:rsidRDefault="00DA7FD6">
      <w:pPr>
        <w:rPr>
          <w:noProof/>
          <w:sz w:val="20"/>
          <w:szCs w:val="20"/>
          <w:lang w:val="en-US"/>
        </w:rPr>
      </w:pPr>
      <w:r w:rsidRPr="00E60B69">
        <w:rPr>
          <w:noProof/>
          <w:sz w:val="20"/>
          <w:szCs w:val="20"/>
          <w:lang w:val="en-US"/>
        </w:rPr>
        <w:t xml:space="preserve">Perfusate NADH was assessed by measuring fluorescence signals according to a validated method </w:t>
      </w:r>
      <w:r w:rsidRPr="00E60B69">
        <w:rPr>
          <w:noProof/>
          <w:sz w:val="20"/>
          <w:szCs w:val="20"/>
          <w:lang w:val="en-US"/>
        </w:rPr>
        <w:fldChar w:fldCharType="begin" w:fldLock="1"/>
      </w:r>
      <w:r w:rsidR="00000B94" w:rsidRPr="00E60B69">
        <w:rPr>
          <w:noProof/>
          <w:sz w:val="20"/>
          <w:szCs w:val="20"/>
          <w:lang w:val="en-US"/>
        </w:rPr>
        <w:instrText>ADDIN CSL_CITATION {"citationItems":[{"id":"ITEM-1","itemData":{"author":[{"dropping-particle":"","family":"Hast","given":"Paul","non-dropping-particle":"","parse-names":false,"suffix":""}],"id":"ITEM-1","issued":{"date-parts":[["2007"]]},"title":"Determination of NADH Concentrations with the Synergy™ 2 Multi-Detection Microplate Reader using Fluorescence or Absorbance","type":"report"},"uris":["http://www.mendeley.com/documents/?uuid=79ce0ca5-80db-422f-a140-6122a99fcf63"]}],"mendeley":{"formattedCitation":"(1)","plainTextFormattedCitation":"(1)","previouslyFormattedCitation":"(1)"},"properties":{"noteIndex":0},"schema":"https://github.com/citation-style-language/schema/raw/master/csl-citation.json"}</w:instrText>
      </w:r>
      <w:r w:rsidRPr="00E60B69">
        <w:rPr>
          <w:noProof/>
          <w:sz w:val="20"/>
          <w:szCs w:val="20"/>
          <w:lang w:val="en-US"/>
        </w:rPr>
        <w:fldChar w:fldCharType="separate"/>
      </w:r>
      <w:r w:rsidRPr="00E60B69">
        <w:rPr>
          <w:noProof/>
          <w:sz w:val="20"/>
          <w:szCs w:val="20"/>
          <w:lang w:val="en-US"/>
        </w:rPr>
        <w:t>(1)</w:t>
      </w:r>
      <w:r w:rsidRPr="00E60B69">
        <w:rPr>
          <w:noProof/>
          <w:sz w:val="20"/>
          <w:szCs w:val="20"/>
          <w:lang w:val="en-US"/>
        </w:rPr>
        <w:fldChar w:fldCharType="end"/>
      </w:r>
      <w:r w:rsidRPr="00E60B69">
        <w:rPr>
          <w:noProof/>
          <w:sz w:val="20"/>
          <w:szCs w:val="20"/>
          <w:lang w:val="en-US"/>
        </w:rPr>
        <w:t xml:space="preserve">. Briefly, perfusate samples were exposed to 340 nm excitation wavelength and 445 nm emission peak using a multi-mode microplate reader </w:t>
      </w:r>
      <w:r w:rsidRPr="00E60B69">
        <w:rPr>
          <w:noProof/>
          <w:sz w:val="20"/>
          <w:szCs w:val="20"/>
          <w:lang w:val="en-US"/>
        </w:rPr>
        <w:lastRenderedPageBreak/>
        <w:t xml:space="preserve">(Synergy HTX). A standard curve ranging from 1 to 500 </w:t>
      </w:r>
      <w:r w:rsidRPr="00E60B69">
        <w:rPr>
          <w:noProof/>
          <w:sz w:val="20"/>
          <w:szCs w:val="20"/>
          <w:lang w:val="en-US"/>
        </w:rPr>
        <w:t>M NADH was used to determine the concentration of NADH in each sample.</w:t>
      </w:r>
    </w:p>
    <w:p w14:paraId="484586AA" w14:textId="77777777" w:rsidR="00F44802" w:rsidRPr="00E60B69" w:rsidRDefault="00DA7FD6" w:rsidP="00B83925">
      <w:pPr>
        <w:pStyle w:val="Titolo2"/>
        <w:rPr>
          <w:rFonts w:ascii="Times New Roman" w:hAnsi="Times New Roman" w:cs="Times New Roman"/>
          <w:sz w:val="20"/>
          <w:szCs w:val="20"/>
        </w:rPr>
      </w:pPr>
      <w:bookmarkStart w:id="10" w:name="_Toc142384252"/>
      <w:r w:rsidRPr="00E60B69">
        <w:rPr>
          <w:rFonts w:ascii="Times New Roman" w:hAnsi="Times New Roman" w:cs="Times New Roman"/>
          <w:sz w:val="20"/>
          <w:szCs w:val="20"/>
        </w:rPr>
        <w:t>Tissue analysis</w:t>
      </w:r>
      <w:bookmarkEnd w:id="10"/>
    </w:p>
    <w:p w14:paraId="2E4C13A8" w14:textId="77777777" w:rsidR="00F44802" w:rsidRPr="00E60B69" w:rsidRDefault="00DA7FD6">
      <w:pPr>
        <w:pStyle w:val="Titolo3"/>
        <w:rPr>
          <w:rFonts w:ascii="Times New Roman" w:hAnsi="Times New Roman" w:cs="Times New Roman"/>
          <w:sz w:val="20"/>
          <w:szCs w:val="20"/>
          <w:lang w:val="en-US"/>
        </w:rPr>
      </w:pPr>
      <w:bookmarkStart w:id="11" w:name="_Toc142384253"/>
      <w:r w:rsidRPr="00E60B69">
        <w:rPr>
          <w:rFonts w:ascii="Times New Roman" w:hAnsi="Times New Roman" w:cs="Times New Roman"/>
          <w:sz w:val="20"/>
          <w:szCs w:val="20"/>
          <w:lang w:val="en-US"/>
        </w:rPr>
        <w:t>Nicotinamide adenine dinucleotide (NAD)</w:t>
      </w:r>
      <w:r w:rsidRPr="00E60B69">
        <w:rPr>
          <w:rFonts w:ascii="Times New Roman" w:hAnsi="Times New Roman" w:cs="Times New Roman"/>
          <w:sz w:val="20"/>
          <w:szCs w:val="20"/>
          <w:vertAlign w:val="superscript"/>
          <w:lang w:val="en-US"/>
        </w:rPr>
        <w:t>+</w:t>
      </w:r>
      <w:r w:rsidRPr="00E60B69">
        <w:rPr>
          <w:rFonts w:ascii="Times New Roman" w:hAnsi="Times New Roman" w:cs="Times New Roman"/>
          <w:sz w:val="20"/>
          <w:szCs w:val="20"/>
          <w:lang w:val="en-US"/>
        </w:rPr>
        <w:t>/NADH measurement</w:t>
      </w:r>
      <w:bookmarkEnd w:id="11"/>
    </w:p>
    <w:p w14:paraId="379ADD16" w14:textId="77777777" w:rsidR="00F44802" w:rsidRPr="00E60B69" w:rsidRDefault="00DA7FD6">
      <w:pPr>
        <w:rPr>
          <w:sz w:val="20"/>
          <w:szCs w:val="20"/>
          <w:lang w:val="en-US" w:eastAsia="en-US"/>
        </w:rPr>
      </w:pPr>
      <w:r w:rsidRPr="00E60B69">
        <w:rPr>
          <w:sz w:val="20"/>
          <w:szCs w:val="20"/>
          <w:lang w:val="en-US" w:eastAsia="en-US"/>
        </w:rPr>
        <w:t xml:space="preserve">Oxidized NAD and its reduced form NADH were assessed in hepatic tissue using a commercially available kit (Sigma-Aldrich). Briefly, snap-frozen liver biopsies were immerged in an appropriate volume of extraction buffer and then homogenized. Thereafter, tissue extracts were deproteinized using 10kDa cut-off spin filters (Millipore - </w:t>
      </w:r>
      <w:proofErr w:type="spellStart"/>
      <w:r w:rsidRPr="00E60B69">
        <w:rPr>
          <w:sz w:val="20"/>
          <w:szCs w:val="20"/>
          <w:lang w:val="en-US" w:eastAsia="en-US"/>
        </w:rPr>
        <w:t>Amicon</w:t>
      </w:r>
      <w:proofErr w:type="spellEnd"/>
      <w:r w:rsidRPr="00E60B69">
        <w:rPr>
          <w:sz w:val="20"/>
          <w:szCs w:val="20"/>
          <w:lang w:val="en-US" w:eastAsia="en-US"/>
        </w:rPr>
        <w:t xml:space="preserve"> Centrifugal Filter Unit, </w:t>
      </w:r>
      <w:proofErr w:type="spellStart"/>
      <w:r w:rsidRPr="00E60B69">
        <w:rPr>
          <w:sz w:val="20"/>
          <w:szCs w:val="20"/>
          <w:lang w:val="en-US" w:eastAsia="en-US"/>
        </w:rPr>
        <w:t>Merck&amp;Co</w:t>
      </w:r>
      <w:proofErr w:type="spellEnd"/>
      <w:r w:rsidRPr="00E60B69">
        <w:rPr>
          <w:sz w:val="20"/>
          <w:szCs w:val="20"/>
          <w:lang w:val="en-US" w:eastAsia="en-US"/>
        </w:rPr>
        <w:t xml:space="preserve">, Kenilworth, NJ, USA). </w:t>
      </w:r>
    </w:p>
    <w:p w14:paraId="4B2072A7" w14:textId="6C0704B3" w:rsidR="00F44802" w:rsidRPr="00E60B69" w:rsidRDefault="00DA7FD6">
      <w:pPr>
        <w:rPr>
          <w:sz w:val="20"/>
          <w:szCs w:val="20"/>
          <w:lang w:val="en-US" w:eastAsia="en-US"/>
        </w:rPr>
      </w:pPr>
      <w:r w:rsidRPr="00E60B69">
        <w:rPr>
          <w:sz w:val="20"/>
          <w:szCs w:val="20"/>
          <w:lang w:val="en-US" w:eastAsia="en-US"/>
        </w:rPr>
        <w:t>Detection of total NADH and NAD (</w:t>
      </w:r>
      <w:proofErr w:type="spellStart"/>
      <w:r w:rsidRPr="00E60B69">
        <w:rPr>
          <w:sz w:val="20"/>
          <w:szCs w:val="20"/>
          <w:lang w:val="en-US" w:eastAsia="en-US"/>
        </w:rPr>
        <w:t>NAD</w:t>
      </w:r>
      <w:r w:rsidRPr="00E60B69">
        <w:rPr>
          <w:sz w:val="20"/>
          <w:szCs w:val="20"/>
          <w:vertAlign w:val="subscript"/>
          <w:lang w:val="en-US" w:eastAsia="en-US"/>
        </w:rPr>
        <w:t>total</w:t>
      </w:r>
      <w:proofErr w:type="spellEnd"/>
      <w:r w:rsidRPr="00E60B69">
        <w:rPr>
          <w:sz w:val="20"/>
          <w:szCs w:val="20"/>
          <w:lang w:val="en-US" w:eastAsia="en-US"/>
        </w:rPr>
        <w:t>) was carried out in parallel. Selective measurement of NADH was performed after destroying NAD by heating samples at 60</w:t>
      </w:r>
      <w:r w:rsidR="002A6B8F" w:rsidRPr="00E60B69">
        <w:rPr>
          <w:sz w:val="20"/>
          <w:szCs w:val="20"/>
          <w:lang w:val="en-US" w:eastAsia="en-US"/>
        </w:rPr>
        <w:t xml:space="preserve"> </w:t>
      </w:r>
      <w:r w:rsidRPr="00E60B69">
        <w:rPr>
          <w:sz w:val="20"/>
          <w:szCs w:val="20"/>
          <w:lang w:val="en-US" w:eastAsia="en-US"/>
        </w:rPr>
        <w:t xml:space="preserve">°C for 30 min. Both untreated and NAD-free tissue extracts were dispensed in duplicate in 96-well plates, added with NAD Cycling Enzyme and NADH developer, and incubated for 2 h at RT. After stopping the reaction, absorbance readings were performed at 450 nm using a multi-mode microplate reader (Synergy HTX). To calculate NADH and </w:t>
      </w:r>
      <w:proofErr w:type="spellStart"/>
      <w:r w:rsidRPr="00E60B69">
        <w:rPr>
          <w:sz w:val="20"/>
          <w:szCs w:val="20"/>
          <w:lang w:val="en-US" w:eastAsia="en-US"/>
        </w:rPr>
        <w:t>NAD</w:t>
      </w:r>
      <w:r w:rsidRPr="00E60B69">
        <w:rPr>
          <w:sz w:val="20"/>
          <w:szCs w:val="20"/>
          <w:vertAlign w:val="subscript"/>
          <w:lang w:val="en-US" w:eastAsia="en-US"/>
        </w:rPr>
        <w:t>total</w:t>
      </w:r>
      <w:proofErr w:type="spellEnd"/>
      <w:r w:rsidRPr="00E60B69">
        <w:rPr>
          <w:sz w:val="20"/>
          <w:szCs w:val="20"/>
          <w:lang w:val="en-US" w:eastAsia="en-US"/>
        </w:rPr>
        <w:t xml:space="preserve"> concentrations, absorbance of unknown samples was compared to those of standard samples. </w:t>
      </w:r>
    </w:p>
    <w:p w14:paraId="36DB4C75" w14:textId="77777777" w:rsidR="00F44802" w:rsidRPr="00E60B69" w:rsidRDefault="00DA7FD6">
      <w:pPr>
        <w:pStyle w:val="Titolo3"/>
        <w:rPr>
          <w:rFonts w:ascii="Times New Roman" w:hAnsi="Times New Roman" w:cs="Times New Roman"/>
          <w:sz w:val="20"/>
          <w:szCs w:val="20"/>
          <w:lang w:val="en-US"/>
        </w:rPr>
      </w:pPr>
      <w:bookmarkStart w:id="12" w:name="_Toc142384254"/>
      <w:r w:rsidRPr="00E60B69">
        <w:rPr>
          <w:rFonts w:ascii="Times New Roman" w:hAnsi="Times New Roman" w:cs="Times New Roman"/>
          <w:sz w:val="20"/>
          <w:szCs w:val="20"/>
          <w:lang w:val="en-US"/>
        </w:rPr>
        <w:t>Malondialdehyde (MDA) measurement</w:t>
      </w:r>
      <w:bookmarkEnd w:id="12"/>
      <w:r w:rsidRPr="00E60B69">
        <w:rPr>
          <w:rFonts w:ascii="Times New Roman" w:hAnsi="Times New Roman" w:cs="Times New Roman"/>
          <w:sz w:val="20"/>
          <w:szCs w:val="20"/>
          <w:lang w:val="en-US"/>
        </w:rPr>
        <w:t xml:space="preserve"> </w:t>
      </w:r>
    </w:p>
    <w:p w14:paraId="1610EB8A" w14:textId="77777777" w:rsidR="00F44802" w:rsidRPr="00E60B69" w:rsidRDefault="00DA7FD6">
      <w:pPr>
        <w:rPr>
          <w:sz w:val="20"/>
          <w:szCs w:val="20"/>
          <w:lang w:val="en-US" w:eastAsia="en-US"/>
        </w:rPr>
      </w:pPr>
      <w:r w:rsidRPr="00E60B69">
        <w:rPr>
          <w:sz w:val="20"/>
          <w:szCs w:val="20"/>
          <w:lang w:val="en-US" w:eastAsia="en-US"/>
        </w:rPr>
        <w:t>Malondialdehyde, a marker for lipid peroxidation was measured in snap-frozen liver biopsies using a colorimetric assay kit (Sigma-Aldrich). Briefly, tissue specimens were homogenized on ice using the specific buffer provided by the kit. Liver homogenates were then subjected to centrifugation at 13.000g for 10 min (</w:t>
      </w:r>
      <w:proofErr w:type="spellStart"/>
      <w:r w:rsidRPr="00E60B69">
        <w:rPr>
          <w:sz w:val="20"/>
          <w:szCs w:val="20"/>
          <w:lang w:val="en-US" w:eastAsia="en-US"/>
        </w:rPr>
        <w:t>Haereus</w:t>
      </w:r>
      <w:proofErr w:type="spellEnd"/>
      <w:r w:rsidRPr="00E60B69">
        <w:rPr>
          <w:sz w:val="20"/>
          <w:szCs w:val="20"/>
          <w:lang w:val="en-US" w:eastAsia="en-US"/>
        </w:rPr>
        <w:t xml:space="preserve"> </w:t>
      </w:r>
      <w:proofErr w:type="spellStart"/>
      <w:r w:rsidRPr="00E60B69">
        <w:rPr>
          <w:sz w:val="20"/>
          <w:szCs w:val="20"/>
          <w:lang w:val="en-US" w:eastAsia="en-US"/>
        </w:rPr>
        <w:t>Multifuge</w:t>
      </w:r>
      <w:proofErr w:type="spellEnd"/>
      <w:r w:rsidRPr="00E60B69">
        <w:rPr>
          <w:sz w:val="20"/>
          <w:szCs w:val="20"/>
          <w:lang w:val="en-US" w:eastAsia="en-US"/>
        </w:rPr>
        <w:t xml:space="preserve"> X3R). The collected supernatants were added with </w:t>
      </w:r>
      <w:proofErr w:type="spellStart"/>
      <w:r w:rsidRPr="00E60B69">
        <w:rPr>
          <w:sz w:val="20"/>
          <w:szCs w:val="20"/>
          <w:lang w:val="en-US" w:eastAsia="en-US"/>
        </w:rPr>
        <w:t>thiobarbituric</w:t>
      </w:r>
      <w:proofErr w:type="spellEnd"/>
      <w:r w:rsidRPr="00E60B69">
        <w:rPr>
          <w:sz w:val="20"/>
          <w:szCs w:val="20"/>
          <w:lang w:val="en-US" w:eastAsia="en-US"/>
        </w:rPr>
        <w:t xml:space="preserve"> acid to form a colorimetric product. Absorbance readings were performed at 532 nm using a multi-mode microplate reader (Synergy HTX).</w:t>
      </w:r>
    </w:p>
    <w:p w14:paraId="2228C81B" w14:textId="77777777" w:rsidR="00F44802" w:rsidRPr="00E60B69" w:rsidRDefault="00DA7FD6">
      <w:pPr>
        <w:pStyle w:val="Titolo3"/>
        <w:rPr>
          <w:rFonts w:ascii="Times New Roman" w:hAnsi="Times New Roman" w:cs="Times New Roman"/>
          <w:sz w:val="20"/>
          <w:szCs w:val="20"/>
          <w:lang w:val="en-US"/>
        </w:rPr>
      </w:pPr>
      <w:bookmarkStart w:id="13" w:name="_Toc142384255"/>
      <w:r w:rsidRPr="00E60B69">
        <w:rPr>
          <w:rFonts w:ascii="Times New Roman" w:hAnsi="Times New Roman" w:cs="Times New Roman"/>
          <w:sz w:val="20"/>
          <w:szCs w:val="20"/>
          <w:lang w:val="en-US"/>
        </w:rPr>
        <w:t>ATP content evaluation</w:t>
      </w:r>
      <w:bookmarkEnd w:id="13"/>
    </w:p>
    <w:p w14:paraId="1191656A" w14:textId="620D230F" w:rsidR="00F44802" w:rsidRPr="00E60B69" w:rsidRDefault="00DA7FD6">
      <w:pPr>
        <w:rPr>
          <w:sz w:val="20"/>
          <w:szCs w:val="20"/>
          <w:lang w:val="en-US" w:eastAsia="en-US"/>
        </w:rPr>
      </w:pPr>
      <w:r w:rsidRPr="00E60B69">
        <w:rPr>
          <w:sz w:val="20"/>
          <w:szCs w:val="20"/>
          <w:lang w:val="en-US" w:eastAsia="en-US"/>
        </w:rPr>
        <w:t xml:space="preserve">Tissue ATP was evaluated as previously described </w:t>
      </w:r>
      <w:r w:rsidRPr="00E60B69">
        <w:rPr>
          <w:sz w:val="20"/>
          <w:szCs w:val="20"/>
          <w:lang w:val="en-US" w:eastAsia="en-US"/>
        </w:rPr>
        <w:fldChar w:fldCharType="begin" w:fldLock="1"/>
      </w:r>
      <w:r w:rsidR="00000B94" w:rsidRPr="00E60B69">
        <w:rPr>
          <w:sz w:val="20"/>
          <w:szCs w:val="20"/>
          <w:lang w:val="en-US" w:eastAsia="en-US"/>
        </w:rPr>
        <w:instrText>ADDIN CSL_CITATION {"citationItems":[{"id":"ITEM-1","itemData":{"DOI":"10.1016/j.peptides.2021.170552","ISSN":"18735169","PMID":"33865932","abstract":"The increasing use of marginal lungs for transplantation encourages novel approaches to improve graft quality. Melanocortins and their receptors (MCRs) exert multiple beneficial effects in pulmonary inflammation. We tested the idea that treatment with the synthetic α-melanocyte-stimulating hormone analogue [Nle4,D-Phe7]-α-MSH (NDP-MSH) during ex vivo lung perfusion (EVLP) could exert positive influences in lungs exposed to different injuries. Rats were assigned to one of the following protocols (N = 10 each): 1) ischemia/reperfusion (IR) or 2) cardiac death (CD) followed by ex vivo perfusion. NDP-MSH treatment was performed in five rats of each protocol before lung procurement and during EVLP. Pulmonary function and perfusate concentration of gases, electrolytes, metabolites, nitric-oxide, mediators, and cells were assessed throughout EVLP. ATP content and specific MCR expression were investigated in perfused lungs and in biopsies collected from rats in resting conditions (Native, N = 5). NDP-MSH reduced the release of inflammatory mediators in perfusates of both the IR and the CD groups. Treatment was likewise associated with a lesser amount of leukocytes (IR: p = 0.034; CD: p = 0.002) and reduced lactate production (IR: p = 0.010; CD: p = 0.008). In lungs exposed to IR injury, the NDP-MSH group showed increased ATP content (p = 0.040) compared to controls. In CD lungs, a significant improvement of vascular (p = 0.002) and airway (Ppeak: p &lt; 0.001, compliance: p &lt; 0.050, pO2: p &lt; 0.001) parameters was observed. Finally, the expression of MC1R and MC5R was detected in both native and ex vivo-perfused lungs. The results indicate that NDP-MSH administration preserves lung function through broad positive effects on multiple pathways and suggest that exploitation of the melanocortin system during EVLP could improve reconditioning of marginal lungs before transplantation.","author":[{"dropping-particle":"","family":"Lonati","given":"Caterina","non-dropping-particle":"","parse-names":false,"suffix":""},{"dropping-particle":"","family":"Battistin","given":"Michele","non-dropping-particle":"","parse-names":false,"suffix":""},{"dropping-particle":"","family":"Dondossola","given":"Daniele E.","non-dropping-particle":"","parse-names":false,"suffix":""},{"dropping-particle":"","family":"Bassani","given":"Giulia A.","non-dropping-particle":"","parse-names":false,"suffix":""},{"dropping-particle":"","family":"Brambilla","given":"Daniela","non-dropping-particle":"","parse-names":false,"suffix":""},{"dropping-particle":"","family":"Merighi","given":"Riccardo","non-dropping-particle":"","parse-names":false,"suffix":""},{"dropping-particle":"","family":"Leonardi","given":"Patrizia","non-dropping-particle":"","parse-names":false,"suffix":""},{"dropping-particle":"","family":"Carlin","given":"Andrea","non-dropping-particle":"","parse-names":false,"suffix":""},{"dropping-particle":"","family":"Meroni","given":"Marica","non-dropping-particle":"","parse-names":false,"suffix":""},{"dropping-particle":"","family":"Zanella","given":"Alberto","non-dropping-particle":"","parse-names":false,"suffix":""},{"dropping-particle":"","family":"Catania","given":"Anna","non-dropping-particle":"","parse-names":false,"suffix":""},{"dropping-particle":"","family":"Gatti","given":"Stefano","non-dropping-particle":"","parse-names":false,"suffix":""}],"container-title":"Peptides","id":"ITEM-1","issue":"December 2020","issued":{"date-parts":[["2021"]]},"publisher":"Elsevier Inc.","title":"NDP-MSH treatment recovers marginal lungs during ex vivo lung perfusion (EVLP)","type":"article-journal","volume":"141"},"uris":["http://www.mendeley.com/documents/?uuid=9fbfeaea-aaf2-4b1b-80d8-31634a94a75d"]}],"mendeley":{"formattedCitation":"(2)","plainTextFormattedCitation":"(2)","previouslyFormattedCitation":"(2)"},"properties":{"noteIndex":0},"schema":"https://github.com/citation-style-language/schema/raw/master/csl-citation.json"}</w:instrText>
      </w:r>
      <w:r w:rsidRPr="00E60B69">
        <w:rPr>
          <w:sz w:val="20"/>
          <w:szCs w:val="20"/>
          <w:lang w:val="en-US" w:eastAsia="en-US"/>
        </w:rPr>
        <w:fldChar w:fldCharType="separate"/>
      </w:r>
      <w:r w:rsidRPr="00E60B69">
        <w:rPr>
          <w:noProof/>
          <w:sz w:val="20"/>
          <w:szCs w:val="20"/>
          <w:lang w:val="en-US" w:eastAsia="en-US"/>
        </w:rPr>
        <w:t>(2)</w:t>
      </w:r>
      <w:r w:rsidRPr="00E60B69">
        <w:rPr>
          <w:sz w:val="20"/>
          <w:szCs w:val="20"/>
          <w:lang w:val="en-US" w:eastAsia="en-US"/>
        </w:rPr>
        <w:fldChar w:fldCharType="end"/>
      </w:r>
      <w:r w:rsidRPr="00E60B69">
        <w:rPr>
          <w:sz w:val="20"/>
          <w:szCs w:val="20"/>
          <w:lang w:val="en-US" w:eastAsia="en-US"/>
        </w:rPr>
        <w:t xml:space="preserve">. Briefly, Snap-frozen liver biopsies were homogenized in 2.5% trichloroacetic acid (Sigma-Aldrich) and then subjected to 10 min centrifugation at maximum speed at 4 </w:t>
      </w:r>
      <w:r w:rsidR="002A6B8F" w:rsidRPr="00E60B69">
        <w:rPr>
          <w:sz w:val="20"/>
          <w:szCs w:val="20"/>
          <w:lang w:val="en-US" w:eastAsia="en-US"/>
        </w:rPr>
        <w:t>°</w:t>
      </w:r>
      <w:r w:rsidRPr="00E60B69">
        <w:rPr>
          <w:sz w:val="20"/>
          <w:szCs w:val="20"/>
          <w:lang w:val="en-US" w:eastAsia="en-US"/>
        </w:rPr>
        <w:t>C (</w:t>
      </w:r>
      <w:proofErr w:type="spellStart"/>
      <w:r w:rsidRPr="00E60B69">
        <w:rPr>
          <w:sz w:val="20"/>
          <w:szCs w:val="20"/>
          <w:lang w:val="en-US" w:eastAsia="en-US"/>
        </w:rPr>
        <w:t>Haereus</w:t>
      </w:r>
      <w:proofErr w:type="spellEnd"/>
      <w:r w:rsidRPr="00E60B69">
        <w:rPr>
          <w:sz w:val="20"/>
          <w:szCs w:val="20"/>
          <w:lang w:val="en-US" w:eastAsia="en-US"/>
        </w:rPr>
        <w:t xml:space="preserve"> </w:t>
      </w:r>
      <w:proofErr w:type="spellStart"/>
      <w:r w:rsidRPr="00E60B69">
        <w:rPr>
          <w:sz w:val="20"/>
          <w:szCs w:val="20"/>
          <w:lang w:val="en-US" w:eastAsia="en-US"/>
        </w:rPr>
        <w:t>Multifuge</w:t>
      </w:r>
      <w:proofErr w:type="spellEnd"/>
      <w:r w:rsidRPr="00E60B69">
        <w:rPr>
          <w:sz w:val="20"/>
          <w:szCs w:val="20"/>
          <w:lang w:val="en-US" w:eastAsia="en-US"/>
        </w:rPr>
        <w:t xml:space="preserve"> X3R). Supernatants were diluted 1:30 using 0.1 M Tris-acetate pH 7.75 (Sigma-Aldrich). ATP content was then determined using a luciferase-based assay (</w:t>
      </w:r>
      <w:proofErr w:type="spellStart"/>
      <w:r w:rsidRPr="00E60B69">
        <w:rPr>
          <w:sz w:val="20"/>
          <w:szCs w:val="20"/>
          <w:lang w:val="en-US" w:eastAsia="en-US"/>
        </w:rPr>
        <w:t>Enliten</w:t>
      </w:r>
      <w:proofErr w:type="spellEnd"/>
      <w:r w:rsidRPr="00E60B69">
        <w:rPr>
          <w:sz w:val="20"/>
          <w:szCs w:val="20"/>
          <w:lang w:val="en-US" w:eastAsia="en-US"/>
        </w:rPr>
        <w:t xml:space="preserve"> ATP Assay System, Promega). Bioluminescent signals were detected with a luminometer (</w:t>
      </w:r>
      <w:proofErr w:type="spellStart"/>
      <w:r w:rsidRPr="00E60B69">
        <w:rPr>
          <w:sz w:val="20"/>
          <w:szCs w:val="20"/>
          <w:lang w:val="en-US" w:eastAsia="en-US"/>
        </w:rPr>
        <w:t>Glomax</w:t>
      </w:r>
      <w:proofErr w:type="spellEnd"/>
      <w:r w:rsidRPr="00E60B69">
        <w:rPr>
          <w:sz w:val="20"/>
          <w:szCs w:val="20"/>
          <w:lang w:val="en-US" w:eastAsia="en-US"/>
        </w:rPr>
        <w:t xml:space="preserve"> Luminometer, Promega). ATP concentration was calculated using a standard curve ranging from 10</w:t>
      </w:r>
      <w:r w:rsidRPr="00E60B69">
        <w:rPr>
          <w:sz w:val="20"/>
          <w:szCs w:val="20"/>
          <w:vertAlign w:val="superscript"/>
          <w:lang w:val="en-US" w:eastAsia="en-US"/>
        </w:rPr>
        <w:t>-11</w:t>
      </w:r>
      <w:r w:rsidRPr="00E60B69">
        <w:rPr>
          <w:sz w:val="20"/>
          <w:szCs w:val="20"/>
          <w:lang w:val="en-US" w:eastAsia="en-US"/>
        </w:rPr>
        <w:t xml:space="preserve"> to 10</w:t>
      </w:r>
      <w:r w:rsidRPr="00E60B69">
        <w:rPr>
          <w:sz w:val="20"/>
          <w:szCs w:val="20"/>
          <w:vertAlign w:val="superscript"/>
          <w:lang w:val="en-US" w:eastAsia="en-US"/>
        </w:rPr>
        <w:t>-5</w:t>
      </w:r>
      <w:r w:rsidRPr="00E60B69">
        <w:rPr>
          <w:sz w:val="20"/>
          <w:szCs w:val="20"/>
          <w:lang w:val="en-US" w:eastAsia="en-US"/>
        </w:rPr>
        <w:t xml:space="preserve"> M (</w:t>
      </w:r>
      <w:proofErr w:type="spellStart"/>
      <w:r w:rsidRPr="00E60B69">
        <w:rPr>
          <w:sz w:val="20"/>
          <w:szCs w:val="20"/>
          <w:lang w:val="en-US" w:eastAsia="en-US"/>
        </w:rPr>
        <w:t>rATP</w:t>
      </w:r>
      <w:proofErr w:type="spellEnd"/>
      <w:r w:rsidRPr="00E60B69">
        <w:rPr>
          <w:sz w:val="20"/>
          <w:szCs w:val="20"/>
          <w:lang w:val="en-US" w:eastAsia="en-US"/>
        </w:rPr>
        <w:t xml:space="preserve"> 10 mM, Promega). Results were expressed as concentration/wet tissue weight.</w:t>
      </w:r>
    </w:p>
    <w:p w14:paraId="11EC506D" w14:textId="77777777" w:rsidR="00F44802" w:rsidRPr="00E60B69" w:rsidRDefault="00DA7FD6">
      <w:pPr>
        <w:pStyle w:val="Titolo3"/>
        <w:rPr>
          <w:rFonts w:ascii="Times New Roman" w:hAnsi="Times New Roman" w:cs="Times New Roman"/>
          <w:sz w:val="20"/>
          <w:szCs w:val="20"/>
          <w:lang w:val="en-US"/>
        </w:rPr>
      </w:pPr>
      <w:bookmarkStart w:id="14" w:name="_Toc142384256"/>
      <w:r w:rsidRPr="00E60B69">
        <w:rPr>
          <w:rFonts w:ascii="Times New Roman" w:hAnsi="Times New Roman" w:cs="Times New Roman"/>
          <w:sz w:val="20"/>
          <w:szCs w:val="20"/>
          <w:lang w:val="en-US"/>
        </w:rPr>
        <w:t>Nuclear magnetic resonance (NMR) spectroscopy-based metabolomics</w:t>
      </w:r>
      <w:bookmarkEnd w:id="14"/>
    </w:p>
    <w:p w14:paraId="31D632ED" w14:textId="77777777" w:rsidR="00F44802" w:rsidRPr="00E60B69" w:rsidRDefault="00DA7FD6">
      <w:pPr>
        <w:rPr>
          <w:sz w:val="20"/>
          <w:szCs w:val="20"/>
          <w:lang w:val="en-US" w:eastAsia="en-US"/>
        </w:rPr>
      </w:pPr>
      <w:r w:rsidRPr="00E60B69">
        <w:rPr>
          <w:sz w:val="20"/>
          <w:szCs w:val="20"/>
          <w:lang w:val="en-US" w:eastAsia="en-US"/>
        </w:rPr>
        <w:t>NMR spectroscopy-based metabolomic analysis was performed in liver tissue homogenates to selectively highlight key metabolic pathways.</w:t>
      </w:r>
    </w:p>
    <w:p w14:paraId="016C72F6" w14:textId="6276A983" w:rsidR="00F44802" w:rsidRPr="00E60B69" w:rsidRDefault="00DA7FD6">
      <w:pPr>
        <w:rPr>
          <w:sz w:val="20"/>
          <w:szCs w:val="20"/>
          <w:lang w:val="en-US" w:eastAsia="en-US"/>
        </w:rPr>
      </w:pPr>
      <w:r w:rsidRPr="00E60B69">
        <w:rPr>
          <w:sz w:val="20"/>
          <w:szCs w:val="20"/>
          <w:lang w:val="en-US" w:eastAsia="en-US"/>
        </w:rPr>
        <w:t>Cryogenically pulverized deep-frozen liver biopsies (</w:t>
      </w:r>
      <w:proofErr w:type="spellStart"/>
      <w:r w:rsidRPr="00E60B69">
        <w:rPr>
          <w:sz w:val="20"/>
          <w:szCs w:val="20"/>
          <w:lang w:val="en-US" w:eastAsia="en-US"/>
        </w:rPr>
        <w:t>Covaris</w:t>
      </w:r>
      <w:proofErr w:type="spellEnd"/>
      <w:r w:rsidRPr="00E60B69">
        <w:rPr>
          <w:sz w:val="20"/>
          <w:szCs w:val="20"/>
          <w:lang w:val="en-US" w:eastAsia="en-US"/>
        </w:rPr>
        <w:t xml:space="preserve"> </w:t>
      </w:r>
      <w:proofErr w:type="spellStart"/>
      <w:r w:rsidRPr="00E60B69">
        <w:rPr>
          <w:sz w:val="20"/>
          <w:szCs w:val="20"/>
          <w:lang w:val="en-US" w:eastAsia="en-US"/>
        </w:rPr>
        <w:t>cryoPREP</w:t>
      </w:r>
      <w:proofErr w:type="spellEnd"/>
      <w:r w:rsidRPr="00E60B69">
        <w:rPr>
          <w:sz w:val="20"/>
          <w:szCs w:val="20"/>
          <w:lang w:val="en-US" w:eastAsia="en-US"/>
        </w:rPr>
        <w:t xml:space="preserve"> CP02, Woburn, MA, USA) were transferred to </w:t>
      </w:r>
      <w:proofErr w:type="spellStart"/>
      <w:r w:rsidRPr="00E60B69">
        <w:rPr>
          <w:sz w:val="20"/>
          <w:szCs w:val="20"/>
          <w:lang w:val="en-US" w:eastAsia="en-US"/>
        </w:rPr>
        <w:t>Covaris</w:t>
      </w:r>
      <w:proofErr w:type="spellEnd"/>
      <w:r w:rsidRPr="00E60B69">
        <w:rPr>
          <w:sz w:val="20"/>
          <w:szCs w:val="20"/>
          <w:lang w:val="en-US" w:eastAsia="en-US"/>
        </w:rPr>
        <w:t xml:space="preserve"> system-compatible glass tubes, suspended in 300 </w:t>
      </w:r>
      <w:proofErr w:type="spellStart"/>
      <w:r w:rsidRPr="00E60B69">
        <w:rPr>
          <w:sz w:val="20"/>
          <w:szCs w:val="20"/>
          <w:lang w:val="en-US" w:eastAsia="en-US"/>
        </w:rPr>
        <w:t>μL</w:t>
      </w:r>
      <w:proofErr w:type="spellEnd"/>
      <w:r w:rsidRPr="00E60B69">
        <w:rPr>
          <w:sz w:val="20"/>
          <w:szCs w:val="20"/>
          <w:lang w:val="en-US" w:eastAsia="en-US"/>
        </w:rPr>
        <w:t xml:space="preserve"> LC-MS purity grade methanol (Sigma Aldrich </w:t>
      </w:r>
      <w:proofErr w:type="spellStart"/>
      <w:r w:rsidRPr="00E60B69">
        <w:rPr>
          <w:sz w:val="20"/>
          <w:szCs w:val="20"/>
          <w:lang w:val="en-US" w:eastAsia="en-US"/>
        </w:rPr>
        <w:t>Chemie</w:t>
      </w:r>
      <w:proofErr w:type="spellEnd"/>
      <w:r w:rsidRPr="00E60B69">
        <w:rPr>
          <w:sz w:val="20"/>
          <w:szCs w:val="20"/>
          <w:lang w:val="en-US" w:eastAsia="en-US"/>
        </w:rPr>
        <w:t xml:space="preserve">, </w:t>
      </w:r>
      <w:proofErr w:type="spellStart"/>
      <w:r w:rsidRPr="00E60B69">
        <w:rPr>
          <w:sz w:val="20"/>
          <w:szCs w:val="20"/>
          <w:lang w:val="en-US" w:eastAsia="en-US"/>
        </w:rPr>
        <w:t>Taufkirchen</w:t>
      </w:r>
      <w:proofErr w:type="spellEnd"/>
      <w:r w:rsidRPr="00E60B69">
        <w:rPr>
          <w:sz w:val="20"/>
          <w:szCs w:val="20"/>
          <w:lang w:val="en-US" w:eastAsia="en-US"/>
        </w:rPr>
        <w:t xml:space="preserve">, Germany), added with 1000 </w:t>
      </w:r>
      <w:proofErr w:type="spellStart"/>
      <w:r w:rsidRPr="00E60B69">
        <w:rPr>
          <w:sz w:val="20"/>
          <w:szCs w:val="20"/>
          <w:lang w:val="en-US" w:eastAsia="en-US"/>
        </w:rPr>
        <w:t>μL</w:t>
      </w:r>
      <w:proofErr w:type="spellEnd"/>
      <w:r w:rsidRPr="00E60B69">
        <w:rPr>
          <w:sz w:val="20"/>
          <w:szCs w:val="20"/>
          <w:lang w:val="en-US" w:eastAsia="en-US"/>
        </w:rPr>
        <w:t xml:space="preserve"> tert-</w:t>
      </w:r>
      <w:proofErr w:type="spellStart"/>
      <w:r w:rsidRPr="00E60B69">
        <w:rPr>
          <w:sz w:val="20"/>
          <w:szCs w:val="20"/>
          <w:lang w:val="en-US" w:eastAsia="en-US"/>
        </w:rPr>
        <w:t>butylmethyl</w:t>
      </w:r>
      <w:proofErr w:type="spellEnd"/>
      <w:r w:rsidRPr="00E60B69">
        <w:rPr>
          <w:sz w:val="20"/>
          <w:szCs w:val="20"/>
          <w:lang w:val="en-US" w:eastAsia="en-US"/>
        </w:rPr>
        <w:t xml:space="preserve"> ether (Sigma Aldrich </w:t>
      </w:r>
      <w:proofErr w:type="spellStart"/>
      <w:r w:rsidRPr="00E60B69">
        <w:rPr>
          <w:sz w:val="20"/>
          <w:szCs w:val="20"/>
          <w:lang w:val="en-US" w:eastAsia="en-US"/>
        </w:rPr>
        <w:t>Chemie</w:t>
      </w:r>
      <w:proofErr w:type="spellEnd"/>
      <w:r w:rsidRPr="00E60B69">
        <w:rPr>
          <w:sz w:val="20"/>
          <w:szCs w:val="20"/>
          <w:lang w:val="en-US" w:eastAsia="en-US"/>
        </w:rPr>
        <w:t>), and then subjected to ultra-sonication-based metabolite extraction in liquid state (</w:t>
      </w:r>
      <w:proofErr w:type="spellStart"/>
      <w:r w:rsidRPr="00E60B69">
        <w:rPr>
          <w:sz w:val="20"/>
          <w:szCs w:val="20"/>
          <w:lang w:val="en-US" w:eastAsia="en-US"/>
        </w:rPr>
        <w:t>Covaris</w:t>
      </w:r>
      <w:proofErr w:type="spellEnd"/>
      <w:r w:rsidRPr="00E60B69">
        <w:rPr>
          <w:sz w:val="20"/>
          <w:szCs w:val="20"/>
          <w:lang w:val="en-US" w:eastAsia="en-US"/>
        </w:rPr>
        <w:t xml:space="preserve"> E220 Evolution, Woburn, MA, USA). After ultra-sonication, 250 </w:t>
      </w:r>
      <w:proofErr w:type="spellStart"/>
      <w:r w:rsidRPr="00E60B69">
        <w:rPr>
          <w:sz w:val="20"/>
          <w:szCs w:val="20"/>
          <w:lang w:val="en-US" w:eastAsia="en-US"/>
        </w:rPr>
        <w:t>μL</w:t>
      </w:r>
      <w:proofErr w:type="spellEnd"/>
      <w:r w:rsidRPr="00E60B69">
        <w:rPr>
          <w:sz w:val="20"/>
          <w:szCs w:val="20"/>
          <w:lang w:val="en-US" w:eastAsia="en-US"/>
        </w:rPr>
        <w:t xml:space="preserve"> of molecular biology purity grade water were added and the tubes were centrifuged for phase separation (12’000 g x 20 min). The aqueous layers were collected, transferred to 1.5 mL </w:t>
      </w:r>
      <w:proofErr w:type="gramStart"/>
      <w:r w:rsidRPr="00E60B69">
        <w:rPr>
          <w:sz w:val="20"/>
          <w:szCs w:val="20"/>
          <w:lang w:val="en-US" w:eastAsia="en-US"/>
        </w:rPr>
        <w:t>tubes</w:t>
      </w:r>
      <w:proofErr w:type="gramEnd"/>
      <w:r w:rsidRPr="00E60B69">
        <w:rPr>
          <w:sz w:val="20"/>
          <w:szCs w:val="20"/>
          <w:lang w:val="en-US" w:eastAsia="en-US"/>
        </w:rPr>
        <w:t xml:space="preserve"> and evaporated overnight. The obtained dried pellets were re-suspended in deuterated phosphate buffer solution (pH = 7.4; 1M K</w:t>
      </w:r>
      <w:r w:rsidRPr="00E60B69">
        <w:rPr>
          <w:sz w:val="20"/>
          <w:szCs w:val="20"/>
          <w:vertAlign w:val="subscript"/>
          <w:lang w:val="en-US" w:eastAsia="en-US"/>
        </w:rPr>
        <w:t>2</w:t>
      </w:r>
      <w:r w:rsidRPr="00E60B69">
        <w:rPr>
          <w:sz w:val="20"/>
          <w:szCs w:val="20"/>
          <w:lang w:val="en-US" w:eastAsia="en-US"/>
        </w:rPr>
        <w:t>HPO</w:t>
      </w:r>
      <w:r w:rsidRPr="00E60B69">
        <w:rPr>
          <w:sz w:val="20"/>
          <w:szCs w:val="20"/>
          <w:vertAlign w:val="subscript"/>
          <w:lang w:val="en-US" w:eastAsia="en-US"/>
        </w:rPr>
        <w:t>4</w:t>
      </w:r>
      <w:r w:rsidRPr="00E60B69">
        <w:rPr>
          <w:sz w:val="20"/>
          <w:szCs w:val="20"/>
          <w:lang w:val="en-US" w:eastAsia="en-US"/>
        </w:rPr>
        <w:t>; 10 mM NaN</w:t>
      </w:r>
      <w:r w:rsidRPr="00E60B69">
        <w:rPr>
          <w:sz w:val="20"/>
          <w:szCs w:val="20"/>
          <w:vertAlign w:val="subscript"/>
          <w:lang w:val="en-US" w:eastAsia="en-US"/>
        </w:rPr>
        <w:t>3</w:t>
      </w:r>
      <w:r w:rsidR="008A73DF" w:rsidRPr="00E60B69">
        <w:rPr>
          <w:sz w:val="20"/>
          <w:szCs w:val="20"/>
          <w:lang w:val="en-US" w:eastAsia="en-US"/>
        </w:rPr>
        <w:t xml:space="preserve">; all reagents were purchased from </w:t>
      </w:r>
      <w:r w:rsidRPr="00E60B69">
        <w:rPr>
          <w:sz w:val="20"/>
          <w:szCs w:val="20"/>
          <w:lang w:val="en-US" w:eastAsia="en-US"/>
        </w:rPr>
        <w:t xml:space="preserve">Sigma Aldrich </w:t>
      </w:r>
      <w:proofErr w:type="spellStart"/>
      <w:r w:rsidRPr="00E60B69">
        <w:rPr>
          <w:sz w:val="20"/>
          <w:szCs w:val="20"/>
          <w:lang w:val="en-US" w:eastAsia="en-US"/>
        </w:rPr>
        <w:t>Chemie</w:t>
      </w:r>
      <w:proofErr w:type="spellEnd"/>
      <w:r w:rsidRPr="00E60B69">
        <w:rPr>
          <w:sz w:val="20"/>
          <w:szCs w:val="20"/>
          <w:lang w:val="en-US" w:eastAsia="en-US"/>
        </w:rPr>
        <w:t>)</w:t>
      </w:r>
      <w:r w:rsidR="008A73DF" w:rsidRPr="00E60B69">
        <w:rPr>
          <w:sz w:val="20"/>
          <w:szCs w:val="20"/>
          <w:lang w:val="en-US" w:eastAsia="en-US"/>
        </w:rPr>
        <w:t xml:space="preserve"> </w:t>
      </w:r>
      <w:r w:rsidRPr="00E60B69">
        <w:rPr>
          <w:sz w:val="20"/>
          <w:szCs w:val="20"/>
          <w:lang w:val="en-US" w:eastAsia="en-US"/>
        </w:rPr>
        <w:t>containing 1 mM internal NMR spectroscopy reference standard 3-(trimethylsilyl) propionic-2,2,3,3-d</w:t>
      </w:r>
      <w:r w:rsidRPr="00E60B69">
        <w:rPr>
          <w:sz w:val="20"/>
          <w:szCs w:val="20"/>
          <w:vertAlign w:val="subscript"/>
          <w:lang w:val="en-US" w:eastAsia="en-US"/>
        </w:rPr>
        <w:t>4</w:t>
      </w:r>
      <w:r w:rsidRPr="00E60B69">
        <w:rPr>
          <w:sz w:val="20"/>
          <w:szCs w:val="20"/>
          <w:lang w:val="en-US" w:eastAsia="en-US"/>
        </w:rPr>
        <w:t xml:space="preserve"> acid sodium salt (TSP) (Sigma Aldrich </w:t>
      </w:r>
      <w:proofErr w:type="spellStart"/>
      <w:r w:rsidRPr="00E60B69">
        <w:rPr>
          <w:sz w:val="20"/>
          <w:szCs w:val="20"/>
          <w:lang w:val="en-US" w:eastAsia="en-US"/>
        </w:rPr>
        <w:t>Chemie</w:t>
      </w:r>
      <w:proofErr w:type="spellEnd"/>
      <w:r w:rsidRPr="00E60B69">
        <w:rPr>
          <w:sz w:val="20"/>
          <w:szCs w:val="20"/>
          <w:lang w:val="en-US" w:eastAsia="en-US"/>
        </w:rPr>
        <w:t xml:space="preserve">). Then, the samples were </w:t>
      </w:r>
      <w:r w:rsidRPr="00E60B69">
        <w:rPr>
          <w:sz w:val="20"/>
          <w:szCs w:val="20"/>
          <w:lang w:val="en-US" w:eastAsia="en-US"/>
        </w:rPr>
        <w:lastRenderedPageBreak/>
        <w:t xml:space="preserve">centrifuged (30’000 g x 30 min) to remove any undissolved particles and the supernatants were filled into 3mm Bruker </w:t>
      </w:r>
      <w:proofErr w:type="spellStart"/>
      <w:r w:rsidRPr="00E60B69">
        <w:rPr>
          <w:sz w:val="20"/>
          <w:szCs w:val="20"/>
          <w:lang w:val="en-US" w:eastAsia="en-US"/>
        </w:rPr>
        <w:t>SampleJet</w:t>
      </w:r>
      <w:proofErr w:type="spellEnd"/>
      <w:r w:rsidRPr="00E60B69">
        <w:rPr>
          <w:sz w:val="20"/>
          <w:szCs w:val="20"/>
          <w:lang w:val="en-US" w:eastAsia="en-US"/>
        </w:rPr>
        <w:t xml:space="preserve">-compatible NMR spectroscopy sample tubes (Bruker </w:t>
      </w:r>
      <w:proofErr w:type="spellStart"/>
      <w:r w:rsidRPr="00E60B69">
        <w:rPr>
          <w:sz w:val="20"/>
          <w:szCs w:val="20"/>
          <w:lang w:val="en-US" w:eastAsia="en-US"/>
        </w:rPr>
        <w:t>BioSpin</w:t>
      </w:r>
      <w:proofErr w:type="spellEnd"/>
      <w:r w:rsidRPr="00E60B69">
        <w:rPr>
          <w:sz w:val="20"/>
          <w:szCs w:val="20"/>
          <w:lang w:val="en-US" w:eastAsia="en-US"/>
        </w:rPr>
        <w:t xml:space="preserve">, </w:t>
      </w:r>
      <w:proofErr w:type="spellStart"/>
      <w:r w:rsidRPr="00E60B69">
        <w:rPr>
          <w:sz w:val="20"/>
          <w:szCs w:val="20"/>
          <w:lang w:val="en-US" w:eastAsia="en-US"/>
        </w:rPr>
        <w:t>Ettlingen</w:t>
      </w:r>
      <w:proofErr w:type="spellEnd"/>
      <w:r w:rsidRPr="00E60B69">
        <w:rPr>
          <w:sz w:val="20"/>
          <w:szCs w:val="20"/>
          <w:lang w:val="en-US" w:eastAsia="en-US"/>
        </w:rPr>
        <w:t>, Germany).</w:t>
      </w:r>
    </w:p>
    <w:p w14:paraId="3882F812" w14:textId="13650343" w:rsidR="00F44802" w:rsidRPr="00E60B69" w:rsidRDefault="00DA7FD6">
      <w:pPr>
        <w:rPr>
          <w:sz w:val="20"/>
          <w:szCs w:val="20"/>
          <w:lang w:val="en-US" w:eastAsia="en-US"/>
        </w:rPr>
      </w:pPr>
      <w:r w:rsidRPr="00E60B69">
        <w:rPr>
          <w:sz w:val="20"/>
          <w:szCs w:val="20"/>
          <w:lang w:val="en-US" w:eastAsia="en-US"/>
        </w:rPr>
        <w:t xml:space="preserve">NMR spectra were acquired on a Bruker </w:t>
      </w:r>
      <w:proofErr w:type="spellStart"/>
      <w:r w:rsidRPr="00E60B69">
        <w:rPr>
          <w:sz w:val="20"/>
          <w:szCs w:val="20"/>
          <w:lang w:val="en-US" w:eastAsia="en-US"/>
        </w:rPr>
        <w:t>Avance</w:t>
      </w:r>
      <w:proofErr w:type="spellEnd"/>
      <w:r w:rsidRPr="00E60B69">
        <w:rPr>
          <w:sz w:val="20"/>
          <w:szCs w:val="20"/>
          <w:lang w:val="en-US" w:eastAsia="en-US"/>
        </w:rPr>
        <w:t xml:space="preserve"> III HD 14.10 Tesla spectrometer (600 MHz for 1H, Bruker </w:t>
      </w:r>
      <w:proofErr w:type="spellStart"/>
      <w:r w:rsidRPr="00E60B69">
        <w:rPr>
          <w:sz w:val="20"/>
          <w:szCs w:val="20"/>
          <w:lang w:val="en-US" w:eastAsia="en-US"/>
        </w:rPr>
        <w:t>BioSpin</w:t>
      </w:r>
      <w:proofErr w:type="spellEnd"/>
      <w:r w:rsidRPr="00E60B69">
        <w:rPr>
          <w:sz w:val="20"/>
          <w:szCs w:val="20"/>
          <w:lang w:val="en-US" w:eastAsia="en-US"/>
        </w:rPr>
        <w:t xml:space="preserve">) with a 1.7 mm triple-resonance </w:t>
      </w:r>
      <w:r w:rsidR="00F05FCC" w:rsidRPr="00E60B69">
        <w:rPr>
          <w:sz w:val="20"/>
          <w:szCs w:val="20"/>
          <w:lang w:val="en-US" w:eastAsia="en-US"/>
        </w:rPr>
        <w:t xml:space="preserve">RT </w:t>
      </w:r>
      <w:r w:rsidRPr="00E60B69">
        <w:rPr>
          <w:sz w:val="20"/>
          <w:szCs w:val="20"/>
          <w:lang w:val="en-US" w:eastAsia="en-US"/>
        </w:rPr>
        <w:t xml:space="preserve">probe (Bruker </w:t>
      </w:r>
      <w:proofErr w:type="spellStart"/>
      <w:r w:rsidRPr="00E60B69">
        <w:rPr>
          <w:sz w:val="20"/>
          <w:szCs w:val="20"/>
          <w:lang w:val="en-US" w:eastAsia="en-US"/>
        </w:rPr>
        <w:t>BioSpin</w:t>
      </w:r>
      <w:proofErr w:type="spellEnd"/>
      <w:r w:rsidRPr="00E60B69">
        <w:rPr>
          <w:sz w:val="20"/>
          <w:szCs w:val="20"/>
          <w:lang w:val="en-US" w:eastAsia="en-US"/>
        </w:rPr>
        <w:t xml:space="preserve">), using </w:t>
      </w:r>
      <w:proofErr w:type="spellStart"/>
      <w:r w:rsidRPr="00E60B69">
        <w:rPr>
          <w:sz w:val="20"/>
          <w:szCs w:val="20"/>
          <w:lang w:val="en-US" w:eastAsia="en-US"/>
        </w:rPr>
        <w:t>Carr</w:t>
      </w:r>
      <w:proofErr w:type="spellEnd"/>
      <w:r w:rsidRPr="00E60B69">
        <w:rPr>
          <w:sz w:val="20"/>
          <w:szCs w:val="20"/>
          <w:lang w:val="en-US" w:eastAsia="en-US"/>
        </w:rPr>
        <w:t>-Purcell-</w:t>
      </w:r>
      <w:proofErr w:type="spellStart"/>
      <w:r w:rsidRPr="00E60B69">
        <w:rPr>
          <w:sz w:val="20"/>
          <w:szCs w:val="20"/>
          <w:lang w:val="en-US" w:eastAsia="en-US"/>
        </w:rPr>
        <w:t>Meiboom</w:t>
      </w:r>
      <w:proofErr w:type="spellEnd"/>
      <w:r w:rsidRPr="00E60B69">
        <w:rPr>
          <w:sz w:val="20"/>
          <w:szCs w:val="20"/>
          <w:lang w:val="en-US" w:eastAsia="en-US"/>
        </w:rPr>
        <w:t xml:space="preserve">-Gill (CPMG) pulse sequences lasting from 1 h to 4 h depending on the amount of liver powder originally loaded. NMR signals were pre-processed with Bruker </w:t>
      </w:r>
      <w:proofErr w:type="spellStart"/>
      <w:r w:rsidRPr="00E60B69">
        <w:rPr>
          <w:sz w:val="20"/>
          <w:szCs w:val="20"/>
          <w:lang w:val="en-US" w:eastAsia="en-US"/>
        </w:rPr>
        <w:t>TopSpin</w:t>
      </w:r>
      <w:proofErr w:type="spellEnd"/>
      <w:r w:rsidRPr="00E60B69">
        <w:rPr>
          <w:sz w:val="20"/>
          <w:szCs w:val="20"/>
          <w:lang w:val="en-US" w:eastAsia="en-US"/>
        </w:rPr>
        <w:t xml:space="preserve"> 3.6.1 software (Bruker </w:t>
      </w:r>
      <w:proofErr w:type="spellStart"/>
      <w:r w:rsidRPr="00E60B69">
        <w:rPr>
          <w:sz w:val="20"/>
          <w:szCs w:val="20"/>
          <w:lang w:val="en-US" w:eastAsia="en-US"/>
        </w:rPr>
        <w:t>Biospin</w:t>
      </w:r>
      <w:proofErr w:type="spellEnd"/>
      <w:r w:rsidRPr="00E60B69">
        <w:rPr>
          <w:sz w:val="20"/>
          <w:szCs w:val="20"/>
          <w:lang w:val="en-US" w:eastAsia="en-US"/>
        </w:rPr>
        <w:t xml:space="preserve">). Targeting and semi-quantitative analysis were performed using </w:t>
      </w:r>
      <w:proofErr w:type="spellStart"/>
      <w:r w:rsidRPr="00E60B69">
        <w:rPr>
          <w:sz w:val="20"/>
          <w:szCs w:val="20"/>
          <w:lang w:val="en-US" w:eastAsia="en-US"/>
        </w:rPr>
        <w:t>ChenomX</w:t>
      </w:r>
      <w:proofErr w:type="spellEnd"/>
      <w:r w:rsidRPr="00E60B69">
        <w:rPr>
          <w:sz w:val="20"/>
          <w:szCs w:val="20"/>
          <w:lang w:val="en-US" w:eastAsia="en-US"/>
        </w:rPr>
        <w:t xml:space="preserve"> NMR suite 8.5 software (</w:t>
      </w:r>
      <w:proofErr w:type="spellStart"/>
      <w:r w:rsidRPr="00E60B69">
        <w:rPr>
          <w:sz w:val="20"/>
          <w:szCs w:val="20"/>
          <w:lang w:val="en-US" w:eastAsia="en-US"/>
        </w:rPr>
        <w:t>Chenomx</w:t>
      </w:r>
      <w:proofErr w:type="spellEnd"/>
      <w:r w:rsidRPr="00E60B69">
        <w:rPr>
          <w:sz w:val="20"/>
          <w:szCs w:val="20"/>
          <w:lang w:val="en-US" w:eastAsia="en-US"/>
        </w:rPr>
        <w:t xml:space="preserve"> Inc., Alberta, Canada).</w:t>
      </w:r>
    </w:p>
    <w:p w14:paraId="45105AFC" w14:textId="53EA12CD" w:rsidR="00000B94" w:rsidRPr="00E60B69" w:rsidRDefault="00DA7FD6" w:rsidP="00B83925">
      <w:pPr>
        <w:pStyle w:val="Titolo2"/>
        <w:rPr>
          <w:rFonts w:ascii="Times New Roman" w:hAnsi="Times New Roman" w:cs="Times New Roman"/>
          <w:sz w:val="20"/>
          <w:szCs w:val="20"/>
        </w:rPr>
      </w:pPr>
      <w:bookmarkStart w:id="15" w:name="_Toc142384257"/>
      <w:r w:rsidRPr="00E60B69">
        <w:rPr>
          <w:rFonts w:ascii="Times New Roman" w:hAnsi="Times New Roman" w:cs="Times New Roman"/>
          <w:sz w:val="20"/>
          <w:szCs w:val="20"/>
        </w:rPr>
        <w:t xml:space="preserve">Sample size </w:t>
      </w:r>
      <w:r w:rsidR="00000B94" w:rsidRPr="00E60B69">
        <w:rPr>
          <w:rFonts w:ascii="Times New Roman" w:hAnsi="Times New Roman" w:cs="Times New Roman"/>
          <w:sz w:val="20"/>
          <w:szCs w:val="20"/>
        </w:rPr>
        <w:t>calculation</w:t>
      </w:r>
      <w:bookmarkEnd w:id="15"/>
      <w:r w:rsidRPr="00E60B69">
        <w:rPr>
          <w:rFonts w:ascii="Times New Roman" w:hAnsi="Times New Roman" w:cs="Times New Roman"/>
          <w:sz w:val="20"/>
          <w:szCs w:val="20"/>
        </w:rPr>
        <w:t xml:space="preserve"> </w:t>
      </w:r>
    </w:p>
    <w:p w14:paraId="4C89F047" w14:textId="2FF76E9F" w:rsidR="00000B94" w:rsidRPr="00E60B69" w:rsidRDefault="007171C9" w:rsidP="00000B94">
      <w:pPr>
        <w:rPr>
          <w:sz w:val="20"/>
          <w:szCs w:val="20"/>
          <w:lang w:val="en-US" w:eastAsia="en-US"/>
        </w:rPr>
      </w:pPr>
      <w:r w:rsidRPr="00E60B69">
        <w:rPr>
          <w:sz w:val="20"/>
          <w:szCs w:val="20"/>
          <w:lang w:val="en-US" w:eastAsia="en-US"/>
        </w:rPr>
        <w:t>A</w:t>
      </w:r>
      <w:r w:rsidR="00000B94" w:rsidRPr="00E60B69">
        <w:rPr>
          <w:sz w:val="20"/>
          <w:szCs w:val="20"/>
          <w:lang w:val="en-US" w:eastAsia="en-US"/>
        </w:rPr>
        <w:t>n “a priori” power analysis</w:t>
      </w:r>
      <w:r w:rsidRPr="00E60B69">
        <w:rPr>
          <w:sz w:val="20"/>
          <w:szCs w:val="20"/>
          <w:lang w:val="en-US" w:eastAsia="en-US"/>
        </w:rPr>
        <w:t xml:space="preserve"> was </w:t>
      </w:r>
      <w:r w:rsidR="000D5812" w:rsidRPr="00E60B69">
        <w:rPr>
          <w:sz w:val="20"/>
          <w:szCs w:val="20"/>
          <w:lang w:val="en-US" w:eastAsia="en-US"/>
        </w:rPr>
        <w:t>carried out</w:t>
      </w:r>
      <w:r w:rsidR="00000B94" w:rsidRPr="00E60B69">
        <w:rPr>
          <w:sz w:val="20"/>
          <w:szCs w:val="20"/>
          <w:lang w:val="en-US" w:eastAsia="en-US"/>
        </w:rPr>
        <w:t xml:space="preserve"> to estimate the minimum number of animals needed to reliably detect the expected effect size, in agreement with the principle of Reduction </w:t>
      </w:r>
      <w:r w:rsidR="00000B94" w:rsidRPr="00E60B69">
        <w:rPr>
          <w:sz w:val="20"/>
          <w:szCs w:val="20"/>
          <w:lang w:val="en-US" w:eastAsia="en-US"/>
        </w:rPr>
        <w:fldChar w:fldCharType="begin" w:fldLock="1"/>
      </w:r>
      <w:r w:rsidR="00000B94" w:rsidRPr="00E60B69">
        <w:rPr>
          <w:sz w:val="20"/>
          <w:szCs w:val="20"/>
          <w:lang w:val="en-US" w:eastAsia="en-US"/>
        </w:rPr>
        <w:instrText>ADDIN CSL_CITATION {"citationItems":[{"id":"ITEM-1","itemData":{"DOI":"10.1177/0261192920911339","ISSN":"26323559","PMID":"32316753","abstract":"In the 60 years since the publication of The Principles of Humane Experimental Technique, the Three Rs (Reduction, Refinement, Replacement) proposed by William Russell and Rex Burch have gradually been accepted throughout the world as ways of facing up to the ethical and scientific dilemmas involved in animal experimentation. However, the scale of animal use and the use of animals as models of humans has continued, seemingly almost unchallenged in much of the scientific community, despite the warnings about models, species differences and human variation spelled out in the The Principles. In this Comment, it is proposed that it is time to move away from the animal welfare focus of the Three Rs, in favour of a wider concept of humanity, which also embraces human welfare. In addition, since less than 10% of new drugs successfully pass from preclinical testing, which is highly reliant on animal procedures, to acceptance for clinical use, it is argued that the aim should not be to directly replace animal testing with non-animal methods with similar aims and which produce similar results, but to take advantage of developments in cell and molecular biology and in computer science, to devise new, different, appropriate, specific and intelligent stand-alone preclinical testing strategies that are applicable to particular human situations.","author":[{"dropping-particle":"","family":"Balls","given":"Michael","non-dropping-particle":"","parse-names":false,"suffix":""}],"container-title":"ATLA Alternatives to Laboratory Animals","id":"ITEM-1","issue":"1","issued":{"date-parts":[["2020"]]},"page":"40-46","title":"It’s Time to Reconsider The Principles of Humane Experimental Technique","type":"article-journal","volume":"48"},"uris":["http://www.mendeley.com/documents/?uuid=5b97a46f-4228-4a6d-9a4c-dd025c9ccd2a"]},{"id":"ITEM-2","itemData":{"DOI":"10.1017/CBO9781107415324.004","ISBN":"0900767782","ISSN":"1868-596X","PMID":"3484760","abstract":"The theme of this book is that the humane treatment of experimental animals is not only desirable on ethical grounds but is actually a prerequisite for successful animal experiment \". The work was sponsored by the Universities Federation of Animal Welfare and is another example of the Federation's laudable efforts to reduce the amount of suffering among animals by employing a rational and scientific rather than an emotional and subjective approach. The book is in two parts. Part One begins with a discussion of the Concept of inhumanity briefly summarising our knowledge of the mechanisms of pain and distress in animals and attempting to lay down some criteria for their estimation. Throughout the book references are given to publications in a great variety of fields and an example here is that to Dr Phyllis Croft's valuable work on the effects of conscious pain upon the heart rate. This is of particular importance in view of the increasing use of muscular relaxants. The following chapters include a fairly elaborate analysis based upon the L. A. B. Survey for 1952. The distribution of the various species of experimental animals between different types of laboratory, the degree of severity of the more widely employed techniques and many other aspects of the subject are described and tabulated. One of Dr Russell's characteristically valuable contributions appears in this section-the distinction between direct \"and contingent inhumanity \". Part Two is entitled The progress of human technique\" and forms, in effect, a survey of the methods used in biological investigation with suggestions as to their improvement from a humanitarian aspect by. one of three methods. In the definition of these three methods, Dr Russell has classified and simplified a confusing picture by coining the terms \"replacement\", \"reduction\" and refinement \". Replacement implies the use of micro-organisms, tissue cultures, chemical methods, mechanical or electrical models, etc., instead of sentient creatures. \"Refinement\" is a subtle concept, difficult to summarise. \"Reduction however, it seems to me, is a method of approach of wide application and invariable advantage to the experimenter. Its basis is almost pure mathematics and in essence concerns the planning of experiments in such a fashion that statistical analysis will afford the desired result with but a tithe of the animals required in an unplanned experiment. Here surely is an advance which can be applied in many fields and which i","author":[{"dropping-particle":"","family":"Russell","given":"W.M.S.","non-dropping-particle":"","parse-names":false,"suffix":""},{"dropping-particle":"","family":"Burch","given":"R.L.","non-dropping-particle":"","parse-names":false,"suffix":""}],"container-title":"Methuen and Co., Ltd.","id":"ITEM-2","issued":{"date-parts":[["1959"]]},"title":"The Principles of Humane Experimental Technique","type":"article-journal"},"uris":["http://www.mendeley.com/documents/?uuid=ffcabfb7-7276-466c-9a19-2039f931c556"]}],"mendeley":{"formattedCitation":"(3,4)","plainTextFormattedCitation":"(3,4)","previouslyFormattedCitation":"(3,4)"},"properties":{"noteIndex":0},"schema":"https://github.com/citation-style-language/schema/raw/master/csl-citation.json"}</w:instrText>
      </w:r>
      <w:r w:rsidR="00000B94" w:rsidRPr="00E60B69">
        <w:rPr>
          <w:sz w:val="20"/>
          <w:szCs w:val="20"/>
          <w:lang w:val="en-US" w:eastAsia="en-US"/>
        </w:rPr>
        <w:fldChar w:fldCharType="separate"/>
      </w:r>
      <w:r w:rsidR="00000B94" w:rsidRPr="00E60B69">
        <w:rPr>
          <w:noProof/>
          <w:sz w:val="20"/>
          <w:szCs w:val="20"/>
          <w:lang w:val="en-US" w:eastAsia="en-US"/>
        </w:rPr>
        <w:t>(3,4)</w:t>
      </w:r>
      <w:r w:rsidR="00000B94" w:rsidRPr="00E60B69">
        <w:rPr>
          <w:sz w:val="20"/>
          <w:szCs w:val="20"/>
          <w:lang w:val="en-US" w:eastAsia="en-US"/>
        </w:rPr>
        <w:fldChar w:fldCharType="end"/>
      </w:r>
      <w:r w:rsidR="00000B94" w:rsidRPr="00E60B69">
        <w:rPr>
          <w:sz w:val="20"/>
          <w:szCs w:val="20"/>
          <w:lang w:val="en-US" w:eastAsia="en-US"/>
        </w:rPr>
        <w:t xml:space="preserve">. </w:t>
      </w:r>
    </w:p>
    <w:p w14:paraId="7D5F0772" w14:textId="314DC1FA" w:rsidR="007171C9" w:rsidRPr="00E60B69" w:rsidRDefault="007171C9" w:rsidP="003B011D">
      <w:pPr>
        <w:rPr>
          <w:sz w:val="20"/>
          <w:szCs w:val="20"/>
          <w:lang w:val="en-US"/>
        </w:rPr>
      </w:pPr>
      <w:r w:rsidRPr="00E60B69">
        <w:rPr>
          <w:sz w:val="20"/>
          <w:szCs w:val="20"/>
          <w:lang w:val="en-US"/>
        </w:rPr>
        <w:t xml:space="preserve">Given the well-known negative effects of reperfusion on mitochondrial oxidative phosphorylation, ATP liver content was </w:t>
      </w:r>
      <w:r w:rsidR="003B011D" w:rsidRPr="00E60B69">
        <w:rPr>
          <w:sz w:val="20"/>
          <w:szCs w:val="20"/>
          <w:lang w:val="en-US"/>
        </w:rPr>
        <w:t>used</w:t>
      </w:r>
      <w:r w:rsidRPr="00E60B69">
        <w:rPr>
          <w:sz w:val="20"/>
          <w:szCs w:val="20"/>
          <w:lang w:val="en-US"/>
        </w:rPr>
        <w:t xml:space="preserve"> as reference variable to explore differences between the study groups. More specifically, we assumed an expected effect size between </w:t>
      </w:r>
      <w:r w:rsidR="003B011D" w:rsidRPr="00E60B69">
        <w:rPr>
          <w:sz w:val="20"/>
          <w:szCs w:val="20"/>
          <w:lang w:val="en-US"/>
        </w:rPr>
        <w:t xml:space="preserve">the </w:t>
      </w:r>
      <w:r w:rsidRPr="00E60B69">
        <w:rPr>
          <w:sz w:val="20"/>
          <w:szCs w:val="20"/>
          <w:lang w:val="en-US"/>
        </w:rPr>
        <w:t xml:space="preserve">NMP12 and </w:t>
      </w:r>
      <w:r w:rsidR="003B011D" w:rsidRPr="00E60B69">
        <w:rPr>
          <w:sz w:val="20"/>
          <w:szCs w:val="20"/>
          <w:lang w:val="en-US"/>
        </w:rPr>
        <w:t xml:space="preserve">the </w:t>
      </w:r>
      <w:r w:rsidRPr="00E60B69">
        <w:rPr>
          <w:sz w:val="20"/>
          <w:szCs w:val="20"/>
          <w:lang w:val="en-US"/>
        </w:rPr>
        <w:t xml:space="preserve">Native </w:t>
      </w:r>
      <w:r w:rsidR="003B011D" w:rsidRPr="00E60B69">
        <w:rPr>
          <w:sz w:val="20"/>
          <w:szCs w:val="20"/>
          <w:lang w:val="en-US"/>
        </w:rPr>
        <w:t xml:space="preserve">groups </w:t>
      </w:r>
      <w:r w:rsidRPr="00E60B69">
        <w:rPr>
          <w:sz w:val="20"/>
          <w:szCs w:val="20"/>
          <w:lang w:val="en-US"/>
        </w:rPr>
        <w:t xml:space="preserve">of 70%, with </w:t>
      </w:r>
      <w:r w:rsidR="003B011D" w:rsidRPr="00E60B69">
        <w:rPr>
          <w:sz w:val="20"/>
          <w:szCs w:val="20"/>
          <w:lang w:val="en-US"/>
        </w:rPr>
        <w:t xml:space="preserve">a </w:t>
      </w:r>
      <w:r w:rsidRPr="00E60B69">
        <w:rPr>
          <w:sz w:val="20"/>
          <w:szCs w:val="20"/>
          <w:lang w:val="en-US"/>
        </w:rPr>
        <w:t>standard deviation of 30%. Details on sample size calculation are listed below:</w:t>
      </w:r>
    </w:p>
    <w:p w14:paraId="26BD5EEF" w14:textId="1CF2C04A" w:rsidR="007171C9" w:rsidRPr="00E60B69" w:rsidRDefault="007171C9" w:rsidP="007171C9">
      <w:pPr>
        <w:pStyle w:val="Paragrafoelenco"/>
        <w:numPr>
          <w:ilvl w:val="0"/>
          <w:numId w:val="29"/>
        </w:numPr>
        <w:rPr>
          <w:sz w:val="20"/>
          <w:szCs w:val="20"/>
          <w:lang w:val="en-US"/>
        </w:rPr>
      </w:pPr>
      <w:r w:rsidRPr="00E60B69">
        <w:rPr>
          <w:sz w:val="20"/>
          <w:szCs w:val="20"/>
          <w:lang w:val="en-US"/>
        </w:rPr>
        <w:t>number of groups: 3 (</w:t>
      </w:r>
      <w:r w:rsidR="003B011D" w:rsidRPr="00E60B69">
        <w:rPr>
          <w:sz w:val="20"/>
          <w:szCs w:val="20"/>
          <w:lang w:val="en-US"/>
        </w:rPr>
        <w:t>Native, NMP4h, NMP12h</w:t>
      </w:r>
      <w:proofErr w:type="gramStart"/>
      <w:r w:rsidRPr="00E60B69">
        <w:rPr>
          <w:sz w:val="20"/>
          <w:szCs w:val="20"/>
          <w:lang w:val="en-US"/>
        </w:rPr>
        <w:t>);</w:t>
      </w:r>
      <w:proofErr w:type="gramEnd"/>
      <w:r w:rsidRPr="00E60B69">
        <w:rPr>
          <w:sz w:val="20"/>
          <w:szCs w:val="20"/>
          <w:lang w:val="en-US"/>
        </w:rPr>
        <w:t xml:space="preserve"> </w:t>
      </w:r>
    </w:p>
    <w:p w14:paraId="0DAC77E2" w14:textId="766B338A" w:rsidR="007171C9" w:rsidRPr="00E60B69" w:rsidRDefault="007171C9" w:rsidP="007171C9">
      <w:pPr>
        <w:pStyle w:val="Paragrafoelenco"/>
        <w:numPr>
          <w:ilvl w:val="0"/>
          <w:numId w:val="29"/>
        </w:numPr>
        <w:rPr>
          <w:sz w:val="20"/>
          <w:szCs w:val="20"/>
          <w:lang w:val="en-US"/>
        </w:rPr>
      </w:pPr>
      <w:r w:rsidRPr="00E60B69">
        <w:rPr>
          <w:sz w:val="20"/>
          <w:szCs w:val="20"/>
          <w:lang w:val="en-US"/>
        </w:rPr>
        <w:t xml:space="preserve">statistical test: </w:t>
      </w:r>
      <w:r w:rsidR="003B011D" w:rsidRPr="00E60B69">
        <w:rPr>
          <w:sz w:val="20"/>
          <w:szCs w:val="20"/>
          <w:lang w:val="en-US"/>
        </w:rPr>
        <w:t xml:space="preserve">one-way or two-way </w:t>
      </w:r>
      <w:proofErr w:type="gramStart"/>
      <w:r w:rsidRPr="00E60B69">
        <w:rPr>
          <w:sz w:val="20"/>
          <w:szCs w:val="20"/>
          <w:lang w:val="en-US"/>
        </w:rPr>
        <w:t>ANOVA;</w:t>
      </w:r>
      <w:proofErr w:type="gramEnd"/>
      <w:r w:rsidRPr="00E60B69">
        <w:rPr>
          <w:sz w:val="20"/>
          <w:szCs w:val="20"/>
          <w:lang w:val="en-US"/>
        </w:rPr>
        <w:t xml:space="preserve"> </w:t>
      </w:r>
    </w:p>
    <w:p w14:paraId="416A3250" w14:textId="77777777" w:rsidR="007171C9" w:rsidRPr="00E60B69" w:rsidRDefault="007171C9" w:rsidP="007171C9">
      <w:pPr>
        <w:pStyle w:val="Paragrafoelenco"/>
        <w:numPr>
          <w:ilvl w:val="0"/>
          <w:numId w:val="29"/>
        </w:numPr>
        <w:rPr>
          <w:sz w:val="20"/>
          <w:szCs w:val="20"/>
          <w:lang w:val="en-US"/>
        </w:rPr>
      </w:pPr>
      <w:r w:rsidRPr="00E60B69">
        <w:rPr>
          <w:sz w:val="20"/>
          <w:szCs w:val="20"/>
          <w:lang w:val="en-US"/>
        </w:rPr>
        <w:t xml:space="preserve">expected effect size: </w:t>
      </w:r>
      <w:proofErr w:type="gramStart"/>
      <w:r w:rsidRPr="00E60B69">
        <w:rPr>
          <w:sz w:val="20"/>
          <w:szCs w:val="20"/>
          <w:lang w:val="en-US"/>
        </w:rPr>
        <w:t>70%;</w:t>
      </w:r>
      <w:proofErr w:type="gramEnd"/>
      <w:r w:rsidRPr="00E60B69">
        <w:rPr>
          <w:sz w:val="20"/>
          <w:szCs w:val="20"/>
          <w:lang w:val="en-US"/>
        </w:rPr>
        <w:t xml:space="preserve"> </w:t>
      </w:r>
    </w:p>
    <w:p w14:paraId="33477AF9" w14:textId="77777777" w:rsidR="007171C9" w:rsidRPr="00E60B69" w:rsidRDefault="007171C9" w:rsidP="007171C9">
      <w:pPr>
        <w:pStyle w:val="Paragrafoelenco"/>
        <w:numPr>
          <w:ilvl w:val="0"/>
          <w:numId w:val="29"/>
        </w:numPr>
        <w:rPr>
          <w:sz w:val="20"/>
          <w:szCs w:val="20"/>
          <w:lang w:val="en-US"/>
        </w:rPr>
      </w:pPr>
      <w:r w:rsidRPr="00E60B69">
        <w:rPr>
          <w:sz w:val="20"/>
          <w:szCs w:val="20"/>
          <w:lang w:val="en-US"/>
        </w:rPr>
        <w:t xml:space="preserve">expected standard deviation: </w:t>
      </w:r>
      <w:proofErr w:type="gramStart"/>
      <w:r w:rsidRPr="00E60B69">
        <w:rPr>
          <w:sz w:val="20"/>
          <w:szCs w:val="20"/>
          <w:lang w:val="en-US"/>
        </w:rPr>
        <w:t>30%;</w:t>
      </w:r>
      <w:proofErr w:type="gramEnd"/>
      <w:r w:rsidRPr="00E60B69">
        <w:rPr>
          <w:sz w:val="20"/>
          <w:szCs w:val="20"/>
          <w:lang w:val="en-US"/>
        </w:rPr>
        <w:t xml:space="preserve"> </w:t>
      </w:r>
    </w:p>
    <w:p w14:paraId="79882644" w14:textId="77777777" w:rsidR="007171C9" w:rsidRPr="00E60B69" w:rsidRDefault="007171C9" w:rsidP="007171C9">
      <w:pPr>
        <w:pStyle w:val="Paragrafoelenco"/>
        <w:numPr>
          <w:ilvl w:val="0"/>
          <w:numId w:val="29"/>
        </w:numPr>
        <w:rPr>
          <w:sz w:val="20"/>
          <w:szCs w:val="20"/>
          <w:lang w:val="en-US"/>
        </w:rPr>
      </w:pPr>
      <w:r w:rsidRPr="00E60B69">
        <w:rPr>
          <w:sz w:val="20"/>
          <w:szCs w:val="20"/>
          <w:lang w:val="en-US"/>
        </w:rPr>
        <w:t xml:space="preserve">desired power: </w:t>
      </w:r>
      <w:proofErr w:type="gramStart"/>
      <w:r w:rsidRPr="00E60B69">
        <w:rPr>
          <w:sz w:val="20"/>
          <w:szCs w:val="20"/>
          <w:lang w:val="en-US"/>
        </w:rPr>
        <w:t>0.80;</w:t>
      </w:r>
      <w:proofErr w:type="gramEnd"/>
      <w:r w:rsidRPr="00E60B69">
        <w:rPr>
          <w:sz w:val="20"/>
          <w:szCs w:val="20"/>
          <w:lang w:val="en-US"/>
        </w:rPr>
        <w:t xml:space="preserve"> </w:t>
      </w:r>
    </w:p>
    <w:p w14:paraId="7490F58E" w14:textId="14BCCB1A" w:rsidR="007171C9" w:rsidRPr="00E60B69" w:rsidRDefault="007171C9" w:rsidP="007171C9">
      <w:pPr>
        <w:pStyle w:val="Paragrafoelenco"/>
        <w:numPr>
          <w:ilvl w:val="0"/>
          <w:numId w:val="29"/>
        </w:numPr>
        <w:jc w:val="left"/>
        <w:rPr>
          <w:sz w:val="20"/>
          <w:szCs w:val="20"/>
          <w:lang w:val="en-US"/>
        </w:rPr>
      </w:pPr>
      <w:r w:rsidRPr="00E60B69">
        <w:rPr>
          <w:sz w:val="20"/>
          <w:szCs w:val="20"/>
          <w:lang w:val="en-US"/>
        </w:rPr>
        <w:t>alpha error: 0.05.</w:t>
      </w:r>
    </w:p>
    <w:p w14:paraId="42BB265F" w14:textId="09425D52" w:rsidR="007171C9" w:rsidRPr="00E60B69" w:rsidRDefault="007171C9" w:rsidP="003B011D">
      <w:pPr>
        <w:rPr>
          <w:sz w:val="20"/>
          <w:szCs w:val="20"/>
          <w:lang w:val="en-US"/>
        </w:rPr>
      </w:pPr>
      <w:r w:rsidRPr="00E60B69">
        <w:rPr>
          <w:sz w:val="20"/>
          <w:szCs w:val="20"/>
          <w:lang w:val="en-US"/>
        </w:rPr>
        <w:t>The analysis provided a minimum number of 5 livers for each experimental group.</w:t>
      </w:r>
      <w:r w:rsidR="003B011D" w:rsidRPr="00E60B69">
        <w:rPr>
          <w:sz w:val="20"/>
          <w:szCs w:val="20"/>
          <w:lang w:val="en-US"/>
        </w:rPr>
        <w:t xml:space="preserve"> The final number needed to perform the whole study was therefore 15.</w:t>
      </w:r>
    </w:p>
    <w:p w14:paraId="1373A6EE" w14:textId="57041D6F" w:rsidR="00F44802" w:rsidRPr="00E60B69" w:rsidRDefault="00DA7FD6" w:rsidP="00B83925">
      <w:pPr>
        <w:pStyle w:val="Titolo2"/>
        <w:rPr>
          <w:rFonts w:ascii="Times New Roman" w:hAnsi="Times New Roman" w:cs="Times New Roman"/>
          <w:sz w:val="20"/>
          <w:szCs w:val="20"/>
        </w:rPr>
      </w:pPr>
      <w:bookmarkStart w:id="16" w:name="_Toc142384258"/>
      <w:r w:rsidRPr="00E60B69">
        <w:rPr>
          <w:rFonts w:ascii="Times New Roman" w:hAnsi="Times New Roman" w:cs="Times New Roman"/>
          <w:sz w:val="20"/>
          <w:szCs w:val="20"/>
        </w:rPr>
        <w:t>VO</w:t>
      </w:r>
      <w:r w:rsidRPr="00E60B69">
        <w:rPr>
          <w:rFonts w:ascii="Times New Roman" w:hAnsi="Times New Roman" w:cs="Times New Roman"/>
          <w:sz w:val="20"/>
          <w:szCs w:val="20"/>
          <w:vertAlign w:val="subscript"/>
        </w:rPr>
        <w:t>2</w:t>
      </w:r>
      <w:r w:rsidRPr="00E60B69">
        <w:rPr>
          <w:rFonts w:ascii="Times New Roman" w:hAnsi="Times New Roman" w:cs="Times New Roman"/>
          <w:sz w:val="20"/>
          <w:szCs w:val="20"/>
        </w:rPr>
        <w:t xml:space="preserve"> and DO</w:t>
      </w:r>
      <w:r w:rsidRPr="00E60B69">
        <w:rPr>
          <w:rFonts w:ascii="Times New Roman" w:hAnsi="Times New Roman" w:cs="Times New Roman"/>
          <w:sz w:val="20"/>
          <w:szCs w:val="20"/>
          <w:vertAlign w:val="subscript"/>
        </w:rPr>
        <w:t>2</w:t>
      </w:r>
      <w:bookmarkEnd w:id="16"/>
      <w:r w:rsidRPr="00E60B69">
        <w:rPr>
          <w:rFonts w:ascii="Times New Roman" w:hAnsi="Times New Roman" w:cs="Times New Roman"/>
          <w:sz w:val="20"/>
          <w:szCs w:val="20"/>
        </w:rPr>
        <w:t xml:space="preserve"> </w:t>
      </w:r>
    </w:p>
    <w:p w14:paraId="2C6D1688" w14:textId="17052A5F" w:rsidR="00F44802" w:rsidRPr="00E60B69" w:rsidRDefault="00DA7FD6">
      <w:pPr>
        <w:rPr>
          <w:sz w:val="20"/>
          <w:szCs w:val="20"/>
          <w:lang w:val="en-US"/>
        </w:rPr>
      </w:pPr>
      <w:r w:rsidRPr="00E60B69">
        <w:rPr>
          <w:sz w:val="20"/>
          <w:szCs w:val="20"/>
          <w:lang w:val="en-GB"/>
        </w:rPr>
        <w:t xml:space="preserve">A modified Fick equation </w:t>
      </w:r>
      <w:r w:rsidR="00887F38" w:rsidRPr="00E60B69">
        <w:rPr>
          <w:sz w:val="20"/>
          <w:szCs w:val="20"/>
          <w:lang w:val="en-GB"/>
        </w:rPr>
        <w:t xml:space="preserve">was </w:t>
      </w:r>
      <w:r w:rsidRPr="00E60B69">
        <w:rPr>
          <w:sz w:val="20"/>
          <w:szCs w:val="20"/>
          <w:lang w:val="en-GB"/>
        </w:rPr>
        <w:t>used to calculate</w:t>
      </w:r>
      <w:r w:rsidR="00C72C19" w:rsidRPr="00E60B69">
        <w:rPr>
          <w:sz w:val="20"/>
          <w:szCs w:val="20"/>
          <w:lang w:val="en-GB"/>
        </w:rPr>
        <w:t xml:space="preserve"> </w:t>
      </w:r>
      <w:r w:rsidR="003335E8" w:rsidRPr="00E60B69">
        <w:rPr>
          <w:sz w:val="20"/>
          <w:szCs w:val="20"/>
          <w:lang w:val="en-GB"/>
        </w:rPr>
        <w:t>oxygen delivery (</w:t>
      </w:r>
      <w:r w:rsidR="003335E8" w:rsidRPr="00E60B69">
        <w:rPr>
          <w:sz w:val="20"/>
          <w:szCs w:val="20"/>
          <w:lang w:val="en-US"/>
        </w:rPr>
        <w:t>DO</w:t>
      </w:r>
      <w:r w:rsidR="003335E8" w:rsidRPr="00E60B69">
        <w:rPr>
          <w:sz w:val="20"/>
          <w:szCs w:val="20"/>
          <w:vertAlign w:val="subscript"/>
          <w:lang w:val="en-US"/>
        </w:rPr>
        <w:t>2</w:t>
      </w:r>
      <w:r w:rsidR="003335E8" w:rsidRPr="00E60B69">
        <w:rPr>
          <w:sz w:val="20"/>
          <w:szCs w:val="20"/>
          <w:lang w:val="en-GB"/>
        </w:rPr>
        <w:t xml:space="preserve">) </w:t>
      </w:r>
      <w:r w:rsidRPr="00E60B69">
        <w:rPr>
          <w:sz w:val="20"/>
          <w:szCs w:val="20"/>
          <w:lang w:val="en-GB"/>
        </w:rPr>
        <w:t xml:space="preserve">and </w:t>
      </w:r>
      <w:r w:rsidR="003335E8" w:rsidRPr="00E60B69">
        <w:rPr>
          <w:sz w:val="20"/>
          <w:szCs w:val="20"/>
          <w:lang w:val="en-GB"/>
        </w:rPr>
        <w:t>oxygen consumption (V̇O</w:t>
      </w:r>
      <w:r w:rsidR="003335E8" w:rsidRPr="00E60B69">
        <w:rPr>
          <w:sz w:val="20"/>
          <w:szCs w:val="20"/>
          <w:vertAlign w:val="subscript"/>
          <w:lang w:val="en-GB"/>
        </w:rPr>
        <w:t>2</w:t>
      </w:r>
      <w:r w:rsidR="003335E8" w:rsidRPr="00E60B69">
        <w:rPr>
          <w:sz w:val="20"/>
          <w:szCs w:val="20"/>
          <w:lang w:val="en-GB"/>
        </w:rPr>
        <w:t xml:space="preserve">) </w:t>
      </w:r>
      <w:r w:rsidRPr="00E60B69">
        <w:rPr>
          <w:sz w:val="20"/>
          <w:szCs w:val="20"/>
          <w:lang w:val="en-GB"/>
        </w:rPr>
        <w:t>in our experiments. Cardiac output was intended as the pump flow; pre-liver perfusate samples were intended as O</w:t>
      </w:r>
      <w:r w:rsidRPr="00E60B69">
        <w:rPr>
          <w:sz w:val="20"/>
          <w:szCs w:val="20"/>
          <w:vertAlign w:val="subscript"/>
          <w:lang w:val="en-GB"/>
        </w:rPr>
        <w:t>2</w:t>
      </w:r>
      <w:r w:rsidRPr="00E60B69">
        <w:rPr>
          <w:sz w:val="20"/>
          <w:szCs w:val="20"/>
          <w:lang w:val="en-GB"/>
        </w:rPr>
        <w:t xml:space="preserve"> enriched perfusate (arterial blood of the Fick equation), whereas post-liver perfusate samples, collected directly from the inferior cava vein, were used for the calculation of venous oxygen content</w:t>
      </w:r>
      <w:r w:rsidR="003335E8" w:rsidRPr="00E60B69">
        <w:rPr>
          <w:sz w:val="20"/>
          <w:szCs w:val="20"/>
          <w:lang w:val="en-GB"/>
        </w:rPr>
        <w:t>.</w:t>
      </w:r>
    </w:p>
    <w:p w14:paraId="700629A8" w14:textId="77777777" w:rsidR="00F44802" w:rsidRPr="00E60B69" w:rsidRDefault="00DA7FD6">
      <w:pPr>
        <w:jc w:val="center"/>
        <w:rPr>
          <w:sz w:val="20"/>
          <w:szCs w:val="20"/>
        </w:rPr>
      </w:pPr>
      <w:r w:rsidRPr="00E60B69">
        <w:rPr>
          <w:sz w:val="20"/>
          <w:szCs w:val="20"/>
          <w:lang w:val="en-US"/>
        </w:rPr>
        <w:t xml:space="preserve"> </w:t>
      </w:r>
      <w:r w:rsidRPr="00E60B69">
        <w:rPr>
          <w:sz w:val="20"/>
          <w:szCs w:val="20"/>
          <w:lang w:val="en-US"/>
        </w:rPr>
        <w:sym w:font="Symbol" w:char="F05B"/>
      </w:r>
      <w:r w:rsidRPr="00E60B69">
        <w:rPr>
          <w:sz w:val="20"/>
          <w:szCs w:val="20"/>
        </w:rPr>
        <w:t xml:space="preserve">1,34 x </w:t>
      </w:r>
      <w:proofErr w:type="spellStart"/>
      <w:r w:rsidRPr="00E60B69">
        <w:rPr>
          <w:sz w:val="20"/>
          <w:szCs w:val="20"/>
        </w:rPr>
        <w:t>Hb</w:t>
      </w:r>
      <w:proofErr w:type="spellEnd"/>
      <w:r w:rsidRPr="00E60B69">
        <w:rPr>
          <w:sz w:val="20"/>
          <w:szCs w:val="20"/>
        </w:rPr>
        <w:t xml:space="preserve"> (g/</w:t>
      </w:r>
      <w:proofErr w:type="spellStart"/>
      <w:r w:rsidRPr="00E60B69">
        <w:rPr>
          <w:sz w:val="20"/>
          <w:szCs w:val="20"/>
        </w:rPr>
        <w:t>dL</w:t>
      </w:r>
      <w:proofErr w:type="spellEnd"/>
      <w:r w:rsidRPr="00E60B69">
        <w:rPr>
          <w:sz w:val="20"/>
          <w:szCs w:val="20"/>
        </w:rPr>
        <w:t xml:space="preserve">) </w:t>
      </w:r>
      <w:r w:rsidRPr="00E60B69">
        <w:rPr>
          <w:sz w:val="20"/>
          <w:szCs w:val="20"/>
          <w:vertAlign w:val="subscript"/>
        </w:rPr>
        <w:t xml:space="preserve">PRE-LIVER </w:t>
      </w:r>
      <w:r w:rsidRPr="00E60B69">
        <w:rPr>
          <w:sz w:val="20"/>
          <w:szCs w:val="20"/>
        </w:rPr>
        <w:t>x HbO</w:t>
      </w:r>
      <w:r w:rsidRPr="00E60B69">
        <w:rPr>
          <w:sz w:val="20"/>
          <w:szCs w:val="20"/>
          <w:vertAlign w:val="subscript"/>
        </w:rPr>
        <w:t>2</w:t>
      </w:r>
      <w:r w:rsidRPr="00E60B69">
        <w:rPr>
          <w:sz w:val="20"/>
          <w:szCs w:val="20"/>
        </w:rPr>
        <w:t>(%)</w:t>
      </w:r>
      <w:r w:rsidRPr="00E60B69">
        <w:rPr>
          <w:sz w:val="20"/>
          <w:szCs w:val="20"/>
          <w:lang w:val="en-US"/>
        </w:rPr>
        <w:sym w:font="Symbol" w:char="F05D"/>
      </w:r>
      <w:r w:rsidRPr="00E60B69">
        <w:rPr>
          <w:sz w:val="20"/>
          <w:szCs w:val="20"/>
        </w:rPr>
        <w:t xml:space="preserve"> + 0,003 x P</w:t>
      </w:r>
      <w:r w:rsidRPr="00E60B69">
        <w:rPr>
          <w:sz w:val="20"/>
          <w:szCs w:val="20"/>
          <w:vertAlign w:val="subscript"/>
        </w:rPr>
        <w:t xml:space="preserve"> PRE-LIVER</w:t>
      </w:r>
      <w:r w:rsidRPr="00E60B69">
        <w:rPr>
          <w:sz w:val="20"/>
          <w:szCs w:val="20"/>
        </w:rPr>
        <w:t>O</w:t>
      </w:r>
      <w:r w:rsidRPr="00E60B69">
        <w:rPr>
          <w:sz w:val="20"/>
          <w:szCs w:val="20"/>
          <w:vertAlign w:val="subscript"/>
        </w:rPr>
        <w:t>2</w:t>
      </w:r>
      <w:r w:rsidRPr="00E60B69">
        <w:rPr>
          <w:sz w:val="20"/>
          <w:szCs w:val="20"/>
        </w:rPr>
        <w:t xml:space="preserve">(mmHg) = </w:t>
      </w:r>
    </w:p>
    <w:p w14:paraId="37791276" w14:textId="3C374F5C" w:rsidR="00F44802" w:rsidRPr="00E60B69" w:rsidRDefault="00DA7FD6">
      <w:pPr>
        <w:jc w:val="center"/>
        <w:rPr>
          <w:b/>
          <w:sz w:val="20"/>
          <w:szCs w:val="20"/>
          <w:lang w:val="en-US"/>
        </w:rPr>
      </w:pPr>
      <w:r w:rsidRPr="00E60B69">
        <w:rPr>
          <w:b/>
          <w:sz w:val="20"/>
          <w:szCs w:val="20"/>
          <w:lang w:val="en-US"/>
        </w:rPr>
        <w:t>Oxygen</w:t>
      </w:r>
      <w:r w:rsidR="00C72C19" w:rsidRPr="00E60B69">
        <w:rPr>
          <w:b/>
          <w:sz w:val="20"/>
          <w:szCs w:val="20"/>
          <w:lang w:val="en-US"/>
        </w:rPr>
        <w:t xml:space="preserve"> content</w:t>
      </w:r>
      <w:r w:rsidRPr="00E60B69">
        <w:rPr>
          <w:b/>
          <w:sz w:val="20"/>
          <w:szCs w:val="20"/>
          <w:lang w:val="en-US"/>
        </w:rPr>
        <w:t xml:space="preserve"> of the pre-liver perfusate (C</w:t>
      </w:r>
      <w:r w:rsidRPr="00E60B69">
        <w:rPr>
          <w:b/>
          <w:sz w:val="20"/>
          <w:szCs w:val="20"/>
          <w:vertAlign w:val="subscript"/>
          <w:lang w:val="en-US"/>
        </w:rPr>
        <w:t>PRE</w:t>
      </w:r>
      <w:r w:rsidRPr="00E60B69">
        <w:rPr>
          <w:b/>
          <w:sz w:val="20"/>
          <w:szCs w:val="20"/>
          <w:lang w:val="en-US"/>
        </w:rPr>
        <w:t>O</w:t>
      </w:r>
      <w:r w:rsidRPr="00E60B69">
        <w:rPr>
          <w:b/>
          <w:sz w:val="20"/>
          <w:szCs w:val="20"/>
          <w:vertAlign w:val="subscript"/>
          <w:lang w:val="en-US"/>
        </w:rPr>
        <w:t>2</w:t>
      </w:r>
      <w:r w:rsidRPr="00E60B69">
        <w:rPr>
          <w:b/>
          <w:sz w:val="20"/>
          <w:szCs w:val="20"/>
          <w:lang w:val="en-US"/>
        </w:rPr>
        <w:t>)</w:t>
      </w:r>
    </w:p>
    <w:p w14:paraId="15F404A3" w14:textId="77777777" w:rsidR="00E62664" w:rsidRPr="00E60B69" w:rsidRDefault="00E62664">
      <w:pPr>
        <w:jc w:val="center"/>
        <w:rPr>
          <w:b/>
          <w:sz w:val="20"/>
          <w:szCs w:val="20"/>
          <w:lang w:val="en-US"/>
        </w:rPr>
      </w:pPr>
    </w:p>
    <w:p w14:paraId="3AC5F93B" w14:textId="77777777" w:rsidR="00F44802" w:rsidRPr="00E60B69" w:rsidRDefault="00DA7FD6">
      <w:pPr>
        <w:jc w:val="center"/>
        <w:rPr>
          <w:sz w:val="20"/>
          <w:szCs w:val="20"/>
          <w:vertAlign w:val="subscript"/>
          <w:lang w:val="en-US"/>
        </w:rPr>
      </w:pPr>
      <w:r w:rsidRPr="00E60B69">
        <w:rPr>
          <w:sz w:val="20"/>
          <w:szCs w:val="20"/>
          <w:lang w:val="en-US"/>
        </w:rPr>
        <w:sym w:font="Symbol" w:char="F05B"/>
      </w:r>
      <w:r w:rsidRPr="00E60B69">
        <w:rPr>
          <w:sz w:val="20"/>
          <w:szCs w:val="20"/>
          <w:lang w:val="en-US"/>
        </w:rPr>
        <w:t xml:space="preserve">1,34 x Hb (g/dL) </w:t>
      </w:r>
      <w:proofErr w:type="gramStart"/>
      <w:r w:rsidRPr="00E60B69">
        <w:rPr>
          <w:sz w:val="20"/>
          <w:szCs w:val="20"/>
          <w:vertAlign w:val="subscript"/>
          <w:lang w:val="en-US"/>
        </w:rPr>
        <w:t>POST-LIVER</w:t>
      </w:r>
      <w:proofErr w:type="gramEnd"/>
      <w:r w:rsidRPr="00E60B69">
        <w:rPr>
          <w:sz w:val="20"/>
          <w:szCs w:val="20"/>
          <w:vertAlign w:val="subscript"/>
          <w:lang w:val="en-US"/>
        </w:rPr>
        <w:t xml:space="preserve"> </w:t>
      </w:r>
      <w:r w:rsidRPr="00E60B69">
        <w:rPr>
          <w:sz w:val="20"/>
          <w:szCs w:val="20"/>
          <w:lang w:val="en-US"/>
        </w:rPr>
        <w:t>x HbO</w:t>
      </w:r>
      <w:r w:rsidRPr="00E60B69">
        <w:rPr>
          <w:sz w:val="20"/>
          <w:szCs w:val="20"/>
          <w:vertAlign w:val="subscript"/>
          <w:lang w:val="en-US"/>
        </w:rPr>
        <w:t>2</w:t>
      </w:r>
      <w:r w:rsidRPr="00E60B69">
        <w:rPr>
          <w:sz w:val="20"/>
          <w:szCs w:val="20"/>
          <w:lang w:val="en-US"/>
        </w:rPr>
        <w:t>(%)</w:t>
      </w:r>
      <w:r w:rsidRPr="00E60B69">
        <w:rPr>
          <w:sz w:val="20"/>
          <w:szCs w:val="20"/>
          <w:lang w:val="en-US"/>
        </w:rPr>
        <w:sym w:font="Symbol" w:char="F05D"/>
      </w:r>
      <w:r w:rsidRPr="00E60B69">
        <w:rPr>
          <w:sz w:val="20"/>
          <w:szCs w:val="20"/>
          <w:lang w:val="en-US"/>
        </w:rPr>
        <w:t xml:space="preserve"> + 0,003 x P</w:t>
      </w:r>
      <w:r w:rsidRPr="00E60B69">
        <w:rPr>
          <w:sz w:val="20"/>
          <w:szCs w:val="20"/>
          <w:vertAlign w:val="subscript"/>
          <w:lang w:val="en-US"/>
        </w:rPr>
        <w:t xml:space="preserve"> POST-LIVER</w:t>
      </w:r>
      <w:r w:rsidRPr="00E60B69">
        <w:rPr>
          <w:sz w:val="20"/>
          <w:szCs w:val="20"/>
          <w:lang w:val="en-US"/>
        </w:rPr>
        <w:t>O</w:t>
      </w:r>
      <w:r w:rsidRPr="00E60B69">
        <w:rPr>
          <w:sz w:val="20"/>
          <w:szCs w:val="20"/>
          <w:vertAlign w:val="subscript"/>
          <w:lang w:val="en-US"/>
        </w:rPr>
        <w:t>2</w:t>
      </w:r>
      <w:r w:rsidRPr="00E60B69">
        <w:rPr>
          <w:sz w:val="20"/>
          <w:szCs w:val="20"/>
          <w:lang w:val="en-US"/>
        </w:rPr>
        <w:t xml:space="preserve"> (mmHg) =</w:t>
      </w:r>
    </w:p>
    <w:p w14:paraId="57F72765" w14:textId="30EC55E3" w:rsidR="00F44802" w:rsidRPr="00E60B69" w:rsidRDefault="00DA7FD6">
      <w:pPr>
        <w:jc w:val="center"/>
        <w:rPr>
          <w:b/>
          <w:sz w:val="20"/>
          <w:szCs w:val="20"/>
          <w:lang w:val="en-US"/>
        </w:rPr>
      </w:pPr>
      <w:r w:rsidRPr="00E60B69">
        <w:rPr>
          <w:b/>
          <w:sz w:val="20"/>
          <w:szCs w:val="20"/>
          <w:lang w:val="en-US"/>
        </w:rPr>
        <w:t>Oxygen</w:t>
      </w:r>
      <w:r w:rsidR="00C72C19" w:rsidRPr="00E60B69">
        <w:rPr>
          <w:b/>
          <w:sz w:val="20"/>
          <w:szCs w:val="20"/>
          <w:lang w:val="en-US"/>
        </w:rPr>
        <w:t xml:space="preserve"> content</w:t>
      </w:r>
      <w:r w:rsidRPr="00E60B69">
        <w:rPr>
          <w:b/>
          <w:sz w:val="20"/>
          <w:szCs w:val="20"/>
          <w:lang w:val="en-US"/>
        </w:rPr>
        <w:t xml:space="preserve"> of the post-liver perfusate (C</w:t>
      </w:r>
      <w:r w:rsidRPr="00E60B69">
        <w:rPr>
          <w:b/>
          <w:sz w:val="20"/>
          <w:szCs w:val="20"/>
          <w:vertAlign w:val="subscript"/>
          <w:lang w:val="en-US"/>
        </w:rPr>
        <w:t>POST</w:t>
      </w:r>
      <w:r w:rsidRPr="00E60B69">
        <w:rPr>
          <w:b/>
          <w:sz w:val="20"/>
          <w:szCs w:val="20"/>
          <w:lang w:val="en-US"/>
        </w:rPr>
        <w:t>O</w:t>
      </w:r>
      <w:r w:rsidRPr="00E60B69">
        <w:rPr>
          <w:b/>
          <w:sz w:val="20"/>
          <w:szCs w:val="20"/>
          <w:vertAlign w:val="subscript"/>
          <w:lang w:val="en-US"/>
        </w:rPr>
        <w:t>2</w:t>
      </w:r>
      <w:r w:rsidRPr="00E60B69">
        <w:rPr>
          <w:b/>
          <w:sz w:val="20"/>
          <w:szCs w:val="20"/>
          <w:lang w:val="en-US"/>
        </w:rPr>
        <w:t>)</w:t>
      </w:r>
    </w:p>
    <w:p w14:paraId="630A7C2F" w14:textId="77777777" w:rsidR="00E62664" w:rsidRPr="00E60B69" w:rsidRDefault="00E62664">
      <w:pPr>
        <w:jc w:val="center"/>
        <w:rPr>
          <w:b/>
          <w:sz w:val="20"/>
          <w:szCs w:val="20"/>
          <w:lang w:val="en-US"/>
        </w:rPr>
      </w:pPr>
    </w:p>
    <w:p w14:paraId="76F29C28" w14:textId="77777777" w:rsidR="00E62664" w:rsidRPr="00E60B69" w:rsidRDefault="003335E8" w:rsidP="003335E8">
      <w:pPr>
        <w:jc w:val="center"/>
        <w:rPr>
          <w:sz w:val="20"/>
          <w:szCs w:val="20"/>
          <w:lang w:val="en-US"/>
        </w:rPr>
      </w:pPr>
      <w:r w:rsidRPr="00E60B69">
        <w:rPr>
          <w:sz w:val="20"/>
          <w:szCs w:val="20"/>
          <w:lang w:val="en-US"/>
        </w:rPr>
        <w:t xml:space="preserve">Oxygen delivery was measured as follows: </w:t>
      </w:r>
    </w:p>
    <w:p w14:paraId="3FAF3B29" w14:textId="32E83D73" w:rsidR="00F44802" w:rsidRPr="00E60B69" w:rsidRDefault="003335E8" w:rsidP="003335E8">
      <w:pPr>
        <w:jc w:val="center"/>
        <w:rPr>
          <w:sz w:val="20"/>
          <w:szCs w:val="20"/>
          <w:lang w:val="en-US"/>
        </w:rPr>
      </w:pPr>
      <w:r w:rsidRPr="00E60B69">
        <w:rPr>
          <w:b/>
          <w:bCs/>
          <w:sz w:val="20"/>
          <w:szCs w:val="20"/>
          <w:lang w:val="en-US"/>
        </w:rPr>
        <w:t>DO</w:t>
      </w:r>
      <w:r w:rsidRPr="00E60B69">
        <w:rPr>
          <w:b/>
          <w:bCs/>
          <w:sz w:val="20"/>
          <w:szCs w:val="20"/>
          <w:vertAlign w:val="subscript"/>
          <w:lang w:val="en-US"/>
        </w:rPr>
        <w:t>2</w:t>
      </w:r>
      <w:r w:rsidRPr="00E60B69">
        <w:rPr>
          <w:sz w:val="20"/>
          <w:szCs w:val="20"/>
          <w:lang w:val="en-US"/>
        </w:rPr>
        <w:t xml:space="preserve"> = C</w:t>
      </w:r>
      <w:r w:rsidRPr="00E60B69">
        <w:rPr>
          <w:sz w:val="20"/>
          <w:szCs w:val="20"/>
          <w:vertAlign w:val="subscript"/>
          <w:lang w:val="en-US"/>
        </w:rPr>
        <w:t xml:space="preserve"> PRE</w:t>
      </w:r>
      <w:r w:rsidRPr="00E60B69">
        <w:rPr>
          <w:sz w:val="20"/>
          <w:szCs w:val="20"/>
          <w:lang w:val="en-US"/>
        </w:rPr>
        <w:t>O</w:t>
      </w:r>
      <w:r w:rsidRPr="00E60B69">
        <w:rPr>
          <w:sz w:val="20"/>
          <w:szCs w:val="20"/>
          <w:vertAlign w:val="subscript"/>
          <w:lang w:val="en-US"/>
        </w:rPr>
        <w:t xml:space="preserve">2 </w:t>
      </w:r>
      <w:r w:rsidRPr="00E60B69">
        <w:rPr>
          <w:sz w:val="20"/>
          <w:szCs w:val="20"/>
          <w:lang w:val="en-US"/>
        </w:rPr>
        <w:t>x Pump flow (mL/min) / 100</w:t>
      </w:r>
    </w:p>
    <w:p w14:paraId="4A3E5481" w14:textId="77777777" w:rsidR="00E62664" w:rsidRPr="00E60B69" w:rsidRDefault="00E62664" w:rsidP="00E8130E">
      <w:pPr>
        <w:jc w:val="center"/>
        <w:rPr>
          <w:b/>
          <w:sz w:val="20"/>
          <w:szCs w:val="20"/>
          <w:lang w:val="en-US"/>
        </w:rPr>
      </w:pPr>
    </w:p>
    <w:p w14:paraId="40AD5662" w14:textId="4271FFA8" w:rsidR="00F44802" w:rsidRPr="00E60B69" w:rsidRDefault="003335E8" w:rsidP="00C16553">
      <w:pPr>
        <w:jc w:val="center"/>
        <w:rPr>
          <w:sz w:val="20"/>
          <w:szCs w:val="20"/>
          <w:vertAlign w:val="subscript"/>
          <w:lang w:val="en-US"/>
        </w:rPr>
      </w:pPr>
      <w:r w:rsidRPr="00E60B69">
        <w:rPr>
          <w:sz w:val="20"/>
          <w:szCs w:val="20"/>
          <w:lang w:val="en-US"/>
        </w:rPr>
        <w:t xml:space="preserve">Similarly, </w:t>
      </w:r>
      <w:r w:rsidRPr="00E60B69">
        <w:rPr>
          <w:b/>
          <w:bCs/>
          <w:sz w:val="20"/>
          <w:szCs w:val="20"/>
          <w:lang w:val="en-US"/>
        </w:rPr>
        <w:t>V̇O</w:t>
      </w:r>
      <w:proofErr w:type="gramStart"/>
      <w:r w:rsidRPr="00E60B69">
        <w:rPr>
          <w:b/>
          <w:bCs/>
          <w:sz w:val="20"/>
          <w:szCs w:val="20"/>
          <w:vertAlign w:val="subscript"/>
          <w:lang w:val="en-US"/>
        </w:rPr>
        <w:t>2</w:t>
      </w:r>
      <w:r w:rsidRPr="00E60B69">
        <w:rPr>
          <w:sz w:val="20"/>
          <w:szCs w:val="20"/>
          <w:lang w:val="en-US"/>
        </w:rPr>
        <w:t xml:space="preserve">  =</w:t>
      </w:r>
      <w:proofErr w:type="gramEnd"/>
      <w:r w:rsidRPr="00E60B69">
        <w:rPr>
          <w:sz w:val="20"/>
          <w:szCs w:val="20"/>
          <w:lang w:val="en-US"/>
        </w:rPr>
        <w:t xml:space="preserve"> </w:t>
      </w:r>
      <w:r w:rsidR="00C72C19" w:rsidRPr="00E60B69">
        <w:rPr>
          <w:sz w:val="20"/>
          <w:szCs w:val="20"/>
          <w:lang w:val="en-US"/>
        </w:rPr>
        <w:t>(C</w:t>
      </w:r>
      <w:r w:rsidR="00C72C19" w:rsidRPr="00E60B69">
        <w:rPr>
          <w:sz w:val="20"/>
          <w:szCs w:val="20"/>
          <w:vertAlign w:val="subscript"/>
          <w:lang w:val="en-US"/>
        </w:rPr>
        <w:t xml:space="preserve"> PRE</w:t>
      </w:r>
      <w:r w:rsidR="00C72C19" w:rsidRPr="00E60B69">
        <w:rPr>
          <w:sz w:val="20"/>
          <w:szCs w:val="20"/>
          <w:lang w:val="en-US"/>
        </w:rPr>
        <w:t>O</w:t>
      </w:r>
      <w:r w:rsidR="00C72C19" w:rsidRPr="00E60B69">
        <w:rPr>
          <w:sz w:val="20"/>
          <w:szCs w:val="20"/>
          <w:vertAlign w:val="subscript"/>
          <w:lang w:val="en-US"/>
        </w:rPr>
        <w:t xml:space="preserve">2 </w:t>
      </w:r>
      <w:r w:rsidR="00C72C19" w:rsidRPr="00E60B69">
        <w:rPr>
          <w:sz w:val="20"/>
          <w:szCs w:val="20"/>
          <w:lang w:val="en-US"/>
        </w:rPr>
        <w:t>– C</w:t>
      </w:r>
      <w:r w:rsidR="00C72C19" w:rsidRPr="00E60B69">
        <w:rPr>
          <w:sz w:val="20"/>
          <w:szCs w:val="20"/>
          <w:vertAlign w:val="subscript"/>
          <w:lang w:val="en-US"/>
        </w:rPr>
        <w:t>POST</w:t>
      </w:r>
      <w:r w:rsidR="00C72C19" w:rsidRPr="00E60B69">
        <w:rPr>
          <w:sz w:val="20"/>
          <w:szCs w:val="20"/>
          <w:lang w:val="en-US"/>
        </w:rPr>
        <w:t>O</w:t>
      </w:r>
      <w:r w:rsidR="00C72C19" w:rsidRPr="00E60B69">
        <w:rPr>
          <w:sz w:val="20"/>
          <w:szCs w:val="20"/>
          <w:vertAlign w:val="subscript"/>
          <w:lang w:val="en-US"/>
        </w:rPr>
        <w:t>2</w:t>
      </w:r>
      <w:r w:rsidR="00C72C19" w:rsidRPr="00E60B69">
        <w:rPr>
          <w:sz w:val="20"/>
          <w:szCs w:val="20"/>
          <w:lang w:val="en-US"/>
        </w:rPr>
        <w:t xml:space="preserve"> )</w:t>
      </w:r>
      <w:r w:rsidRPr="00E60B69">
        <w:rPr>
          <w:sz w:val="20"/>
          <w:szCs w:val="20"/>
          <w:lang w:val="en-US"/>
        </w:rPr>
        <w:t xml:space="preserve"> </w:t>
      </w:r>
      <w:r w:rsidR="00DA7FD6" w:rsidRPr="00E60B69">
        <w:rPr>
          <w:sz w:val="20"/>
          <w:szCs w:val="20"/>
          <w:lang w:val="en-US"/>
        </w:rPr>
        <w:t xml:space="preserve">x Pump flow (mL/min) </w:t>
      </w:r>
      <w:r w:rsidR="00C72C19" w:rsidRPr="00E60B69">
        <w:rPr>
          <w:sz w:val="20"/>
          <w:szCs w:val="20"/>
          <w:lang w:val="en-US"/>
        </w:rPr>
        <w:t xml:space="preserve">/ 100 </w:t>
      </w:r>
    </w:p>
    <w:p w14:paraId="54D7B768" w14:textId="77777777" w:rsidR="00F44802" w:rsidRPr="00E60B69" w:rsidRDefault="00F44802" w:rsidP="00E60B69">
      <w:pPr>
        <w:pStyle w:val="Titolo1"/>
        <w:sectPr w:rsidR="00F44802" w:rsidRPr="00E60B69">
          <w:pgSz w:w="11900" w:h="16840"/>
          <w:pgMar w:top="1417" w:right="1134" w:bottom="1134" w:left="1134" w:header="708" w:footer="708" w:gutter="0"/>
          <w:cols w:space="708"/>
          <w:docGrid w:linePitch="360"/>
        </w:sectPr>
      </w:pPr>
    </w:p>
    <w:p w14:paraId="72A3E765" w14:textId="77777777" w:rsidR="00F44802" w:rsidRPr="00E60B69" w:rsidRDefault="00DA7FD6" w:rsidP="00E60B69">
      <w:pPr>
        <w:pStyle w:val="Titolo1"/>
      </w:pPr>
      <w:bookmarkStart w:id="17" w:name="_Toc142384259"/>
      <w:r w:rsidRPr="00E60B69">
        <w:lastRenderedPageBreak/>
        <w:t>Supplementary results</w:t>
      </w:r>
      <w:bookmarkEnd w:id="17"/>
    </w:p>
    <w:p w14:paraId="14F10CFF" w14:textId="77777777" w:rsidR="00F44802" w:rsidRPr="00E60B69" w:rsidRDefault="00DA7FD6">
      <w:pPr>
        <w:rPr>
          <w:sz w:val="20"/>
          <w:szCs w:val="20"/>
          <w:lang w:val="en-US"/>
        </w:rPr>
      </w:pPr>
      <w:r w:rsidRPr="00E60B69">
        <w:rPr>
          <w:sz w:val="20"/>
          <w:szCs w:val="20"/>
          <w:lang w:val="en-US"/>
        </w:rPr>
        <w:t xml:space="preserve">Potassium increased during the NMP4h with a potassium uptake ratio of -0.24±0.19 and a final value of 4.9±0.9 </w:t>
      </w:r>
      <w:proofErr w:type="spellStart"/>
      <w:r w:rsidRPr="00E60B69">
        <w:rPr>
          <w:sz w:val="20"/>
          <w:szCs w:val="20"/>
          <w:lang w:val="en-US"/>
        </w:rPr>
        <w:t>mEq</w:t>
      </w:r>
      <w:proofErr w:type="spellEnd"/>
      <w:r w:rsidRPr="00E60B69">
        <w:rPr>
          <w:sz w:val="20"/>
          <w:szCs w:val="20"/>
          <w:lang w:val="en-US"/>
        </w:rPr>
        <w:t xml:space="preserve">/L, while in NMP12h it increased during first 6h of perfusion and then remained stable with a potassium uptake ratio -0.39±0.08 and a final value of 4.7±0.3 </w:t>
      </w:r>
      <w:proofErr w:type="spellStart"/>
      <w:r w:rsidRPr="00E60B69">
        <w:rPr>
          <w:sz w:val="20"/>
          <w:szCs w:val="20"/>
          <w:lang w:val="en-US"/>
        </w:rPr>
        <w:t>mEq</w:t>
      </w:r>
      <w:proofErr w:type="spellEnd"/>
      <w:r w:rsidRPr="00E60B69">
        <w:rPr>
          <w:sz w:val="20"/>
          <w:szCs w:val="20"/>
          <w:lang w:val="en-US"/>
        </w:rPr>
        <w:t>/L (p=0.395).</w:t>
      </w:r>
    </w:p>
    <w:p w14:paraId="7E8C5D7D" w14:textId="77777777" w:rsidR="00F44802" w:rsidRPr="00E60B69" w:rsidRDefault="00DA7FD6">
      <w:pPr>
        <w:rPr>
          <w:sz w:val="20"/>
          <w:szCs w:val="20"/>
          <w:lang w:val="en-US"/>
        </w:rPr>
      </w:pPr>
      <w:r w:rsidRPr="00E60B69">
        <w:rPr>
          <w:sz w:val="20"/>
          <w:szCs w:val="20"/>
          <w:lang w:val="en-US"/>
        </w:rPr>
        <w:t xml:space="preserve">Bicarbonate level was stable around 9±2 mmol/L in NMP4h and 10±1 mmol/L in NMP12h with a base excess of -19±3 mmol/L in NMP4h and -18±2 mmol/L NMP12h with a resulting pH of 6.9±0.2 NMP4h and 7.0±0.1 NMP12h </w:t>
      </w:r>
    </w:p>
    <w:p w14:paraId="69EB6FDB" w14:textId="77777777" w:rsidR="00F44802" w:rsidRPr="00E60B69" w:rsidRDefault="00F44802">
      <w:pPr>
        <w:jc w:val="left"/>
        <w:rPr>
          <w:lang w:val="en-US"/>
        </w:rPr>
      </w:pPr>
    </w:p>
    <w:p w14:paraId="082F10AF" w14:textId="77777777" w:rsidR="00F44802" w:rsidRPr="00E60B69" w:rsidRDefault="00F44802">
      <w:pPr>
        <w:jc w:val="left"/>
        <w:rPr>
          <w:lang w:val="en-US"/>
        </w:rPr>
      </w:pPr>
    </w:p>
    <w:p w14:paraId="109FC12D" w14:textId="77777777" w:rsidR="00F44802" w:rsidRPr="00E60B69" w:rsidRDefault="00F44802">
      <w:pPr>
        <w:jc w:val="left"/>
        <w:rPr>
          <w:lang w:val="en-US"/>
        </w:rPr>
      </w:pPr>
    </w:p>
    <w:p w14:paraId="5BC28648" w14:textId="77777777" w:rsidR="00F44802" w:rsidRPr="00E60B69" w:rsidRDefault="00F44802">
      <w:pPr>
        <w:jc w:val="left"/>
        <w:rPr>
          <w:lang w:val="en-US"/>
        </w:rPr>
      </w:pPr>
    </w:p>
    <w:p w14:paraId="50A65511" w14:textId="77777777" w:rsidR="00F44802" w:rsidRPr="00E60B69" w:rsidRDefault="00F44802">
      <w:pPr>
        <w:jc w:val="left"/>
        <w:rPr>
          <w:lang w:val="en-US"/>
        </w:rPr>
      </w:pPr>
    </w:p>
    <w:p w14:paraId="181A5002" w14:textId="77777777" w:rsidR="00F44802" w:rsidRPr="00E60B69" w:rsidRDefault="00F44802">
      <w:pPr>
        <w:jc w:val="left"/>
        <w:rPr>
          <w:lang w:val="en-US"/>
        </w:rPr>
      </w:pPr>
    </w:p>
    <w:p w14:paraId="447C269B" w14:textId="77777777" w:rsidR="00F44802" w:rsidRPr="00E60B69" w:rsidRDefault="00F44802">
      <w:pPr>
        <w:jc w:val="left"/>
        <w:rPr>
          <w:lang w:val="en-US"/>
        </w:rPr>
      </w:pPr>
    </w:p>
    <w:p w14:paraId="69E1E5E4" w14:textId="77777777" w:rsidR="00F44802" w:rsidRPr="00E60B69" w:rsidRDefault="00DA7FD6">
      <w:pPr>
        <w:spacing w:line="240" w:lineRule="auto"/>
        <w:jc w:val="left"/>
        <w:rPr>
          <w:lang w:val="en-US"/>
        </w:rPr>
      </w:pPr>
      <w:r w:rsidRPr="00E60B69">
        <w:rPr>
          <w:lang w:val="en-US"/>
        </w:rPr>
        <w:br w:type="page"/>
      </w:r>
    </w:p>
    <w:p w14:paraId="1A3D5703" w14:textId="77777777" w:rsidR="00F44802" w:rsidRPr="00E60B69" w:rsidRDefault="00DA7FD6" w:rsidP="00E60B69">
      <w:pPr>
        <w:pStyle w:val="Titolo1"/>
      </w:pPr>
      <w:bookmarkStart w:id="18" w:name="_Toc142384260"/>
      <w:r w:rsidRPr="00E60B69">
        <w:lastRenderedPageBreak/>
        <w:t>Supplementary Tables</w:t>
      </w:r>
      <w:bookmarkEnd w:id="18"/>
      <w:r w:rsidRPr="00E60B69">
        <w:t xml:space="preserve"> </w:t>
      </w:r>
    </w:p>
    <w:p w14:paraId="3E3FD93E" w14:textId="77777777" w:rsidR="00F44802" w:rsidRPr="00E60B69" w:rsidRDefault="00F44802">
      <w:pPr>
        <w:rPr>
          <w:sz w:val="20"/>
          <w:szCs w:val="20"/>
          <w:lang w:val="en-US" w:eastAsia="en-US"/>
        </w:rPr>
      </w:pPr>
    </w:p>
    <w:p w14:paraId="327E007B" w14:textId="0B625A15" w:rsidR="00F44802" w:rsidRPr="00E60B69" w:rsidRDefault="00DA7FD6" w:rsidP="00B83925">
      <w:pPr>
        <w:pStyle w:val="Titolo2"/>
        <w:rPr>
          <w:rFonts w:ascii="Times New Roman" w:hAnsi="Times New Roman" w:cs="Times New Roman"/>
          <w:sz w:val="20"/>
          <w:szCs w:val="20"/>
        </w:rPr>
      </w:pPr>
      <w:bookmarkStart w:id="19" w:name="_Toc142384261"/>
      <w:r w:rsidRPr="00E60B69">
        <w:rPr>
          <w:rFonts w:ascii="Times New Roman" w:hAnsi="Times New Roman" w:cs="Times New Roman"/>
          <w:sz w:val="20"/>
          <w:szCs w:val="20"/>
        </w:rPr>
        <w:t xml:space="preserve">Supplementary table 1. </w:t>
      </w:r>
      <w:r w:rsidR="007E6B4A" w:rsidRPr="00E60B69">
        <w:rPr>
          <w:rFonts w:ascii="Times New Roman" w:hAnsi="Times New Roman" w:cs="Times New Roman"/>
          <w:sz w:val="20"/>
          <w:szCs w:val="20"/>
        </w:rPr>
        <w:t>Composition of the p</w:t>
      </w:r>
      <w:r w:rsidRPr="00E60B69">
        <w:rPr>
          <w:rFonts w:ascii="Times New Roman" w:hAnsi="Times New Roman" w:cs="Times New Roman"/>
          <w:sz w:val="20"/>
          <w:szCs w:val="20"/>
        </w:rPr>
        <w:t xml:space="preserve">erfusion fluid </w:t>
      </w:r>
      <w:r w:rsidR="007E6B4A" w:rsidRPr="00E60B69">
        <w:rPr>
          <w:rFonts w:ascii="Times New Roman" w:hAnsi="Times New Roman" w:cs="Times New Roman"/>
          <w:sz w:val="20"/>
          <w:szCs w:val="20"/>
        </w:rPr>
        <w:t xml:space="preserve">supplemented </w:t>
      </w:r>
      <w:r w:rsidRPr="00E60B69">
        <w:rPr>
          <w:rFonts w:ascii="Times New Roman" w:hAnsi="Times New Roman" w:cs="Times New Roman"/>
          <w:sz w:val="20"/>
          <w:szCs w:val="20"/>
        </w:rPr>
        <w:t xml:space="preserve">with </w:t>
      </w:r>
      <w:r w:rsidR="007E6B4A" w:rsidRPr="00E60B69">
        <w:rPr>
          <w:rFonts w:ascii="Times New Roman" w:hAnsi="Times New Roman" w:cs="Times New Roman"/>
          <w:sz w:val="20"/>
          <w:szCs w:val="20"/>
        </w:rPr>
        <w:t>a</w:t>
      </w:r>
      <w:r w:rsidRPr="00E60B69">
        <w:rPr>
          <w:rFonts w:ascii="Times New Roman" w:hAnsi="Times New Roman" w:cs="Times New Roman"/>
          <w:sz w:val="20"/>
          <w:szCs w:val="20"/>
        </w:rPr>
        <w:t xml:space="preserve">cellular </w:t>
      </w:r>
      <w:r w:rsidR="007E6B4A" w:rsidRPr="00E60B69">
        <w:rPr>
          <w:rFonts w:ascii="Times New Roman" w:hAnsi="Times New Roman" w:cs="Times New Roman"/>
          <w:sz w:val="20"/>
          <w:szCs w:val="20"/>
        </w:rPr>
        <w:t>Oxygen carrier</w:t>
      </w:r>
      <w:r w:rsidRPr="00E60B69">
        <w:rPr>
          <w:rFonts w:ascii="Times New Roman" w:hAnsi="Times New Roman" w:cs="Times New Roman"/>
          <w:sz w:val="20"/>
          <w:szCs w:val="20"/>
        </w:rPr>
        <w:t xml:space="preserve"> (</w:t>
      </w:r>
      <w:proofErr w:type="spellStart"/>
      <w:r w:rsidRPr="00E60B69">
        <w:rPr>
          <w:rFonts w:ascii="Times New Roman" w:hAnsi="Times New Roman" w:cs="Times New Roman"/>
          <w:sz w:val="20"/>
          <w:szCs w:val="20"/>
        </w:rPr>
        <w:t>Oxyglobin</w:t>
      </w:r>
      <w:proofErr w:type="spellEnd"/>
      <w:r w:rsidR="00554A75" w:rsidRPr="00E60B69">
        <w:rPr>
          <w:rFonts w:ascii="Times New Roman" w:hAnsi="Times New Roman" w:cs="Times New Roman"/>
          <w:sz w:val="20"/>
          <w:szCs w:val="20"/>
        </w:rPr>
        <w:t>®</w:t>
      </w:r>
      <w:r w:rsidRPr="00E60B69">
        <w:rPr>
          <w:rFonts w:ascii="Times New Roman" w:hAnsi="Times New Roman" w:cs="Times New Roman"/>
          <w:sz w:val="20"/>
          <w:szCs w:val="20"/>
        </w:rPr>
        <w:t>)</w:t>
      </w:r>
      <w:bookmarkEnd w:id="19"/>
      <w:r w:rsidRPr="00E60B69">
        <w:rPr>
          <w:rFonts w:ascii="Times New Roman" w:hAnsi="Times New Roman" w:cs="Times New Roman"/>
          <w:sz w:val="20"/>
          <w:szCs w:val="20"/>
        </w:rPr>
        <w:t xml:space="preserve"> </w:t>
      </w:r>
    </w:p>
    <w:tbl>
      <w:tblPr>
        <w:tblStyle w:val="Grigliatabellachiara1"/>
        <w:tblW w:w="9723" w:type="dxa"/>
        <w:jc w:val="center"/>
        <w:tblInd w:w="0" w:type="dxa"/>
        <w:tblLook w:val="04A0" w:firstRow="1" w:lastRow="0" w:firstColumn="1" w:lastColumn="0" w:noHBand="0" w:noVBand="1"/>
      </w:tblPr>
      <w:tblGrid>
        <w:gridCol w:w="5807"/>
        <w:gridCol w:w="1134"/>
        <w:gridCol w:w="2782"/>
      </w:tblGrid>
      <w:tr w:rsidR="003335E8" w:rsidRPr="00E60B69" w14:paraId="54527EB2" w14:textId="77777777" w:rsidTr="00E8130E">
        <w:trPr>
          <w:trHeight w:val="340"/>
          <w:jc w:val="center"/>
        </w:trPr>
        <w:tc>
          <w:tcPr>
            <w:tcW w:w="5807" w:type="dxa"/>
            <w:tcBorders>
              <w:top w:val="single" w:sz="4" w:space="0" w:color="auto"/>
              <w:left w:val="single" w:sz="4" w:space="0" w:color="auto"/>
              <w:bottom w:val="single" w:sz="4" w:space="0" w:color="auto"/>
              <w:right w:val="single" w:sz="4" w:space="0" w:color="auto"/>
            </w:tcBorders>
            <w:noWrap/>
            <w:vAlign w:val="center"/>
          </w:tcPr>
          <w:p w14:paraId="2E365BA1" w14:textId="77777777" w:rsidR="003335E8" w:rsidRPr="00E60B69" w:rsidRDefault="003335E8" w:rsidP="00E8130E">
            <w:pPr>
              <w:spacing w:line="240" w:lineRule="auto"/>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666008F" w14:textId="77777777" w:rsidR="003335E8" w:rsidRPr="00E60B69" w:rsidRDefault="003335E8" w:rsidP="00E8130E">
            <w:pPr>
              <w:spacing w:line="240" w:lineRule="auto"/>
              <w:jc w:val="center"/>
              <w:rPr>
                <w:b/>
                <w:bCs/>
                <w:sz w:val="20"/>
                <w:szCs w:val="20"/>
                <w:lang w:val="en-US"/>
              </w:rPr>
            </w:pPr>
            <w:r w:rsidRPr="00E60B69">
              <w:rPr>
                <w:b/>
                <w:bCs/>
                <w:sz w:val="20"/>
                <w:szCs w:val="20"/>
                <w:lang w:val="en-US"/>
              </w:rPr>
              <w:t>mL</w:t>
            </w:r>
          </w:p>
        </w:tc>
        <w:tc>
          <w:tcPr>
            <w:tcW w:w="2782" w:type="dxa"/>
            <w:tcBorders>
              <w:top w:val="single" w:sz="4" w:space="0" w:color="auto"/>
              <w:left w:val="single" w:sz="4" w:space="0" w:color="auto"/>
              <w:bottom w:val="single" w:sz="4" w:space="0" w:color="auto"/>
              <w:right w:val="single" w:sz="4" w:space="0" w:color="auto"/>
            </w:tcBorders>
            <w:vAlign w:val="center"/>
            <w:hideMark/>
          </w:tcPr>
          <w:p w14:paraId="42305C52" w14:textId="77777777" w:rsidR="003335E8" w:rsidRPr="00E60B69" w:rsidRDefault="003335E8" w:rsidP="00E8130E">
            <w:pPr>
              <w:spacing w:line="240" w:lineRule="auto"/>
              <w:jc w:val="center"/>
              <w:rPr>
                <w:b/>
                <w:bCs/>
                <w:sz w:val="20"/>
                <w:szCs w:val="20"/>
                <w:lang w:val="en-US"/>
              </w:rPr>
            </w:pPr>
            <w:r w:rsidRPr="00E60B69">
              <w:rPr>
                <w:b/>
                <w:bCs/>
                <w:sz w:val="20"/>
                <w:szCs w:val="20"/>
                <w:lang w:val="en-US"/>
              </w:rPr>
              <w:t>Concentration</w:t>
            </w:r>
          </w:p>
        </w:tc>
      </w:tr>
      <w:tr w:rsidR="003335E8" w:rsidRPr="00E60B69" w14:paraId="13B561F7" w14:textId="77777777" w:rsidTr="00E8130E">
        <w:trPr>
          <w:trHeight w:val="340"/>
          <w:jc w:val="center"/>
        </w:trPr>
        <w:tc>
          <w:tcPr>
            <w:tcW w:w="5807" w:type="dxa"/>
            <w:tcBorders>
              <w:top w:val="single" w:sz="4" w:space="0" w:color="auto"/>
              <w:left w:val="single" w:sz="4" w:space="0" w:color="auto"/>
              <w:bottom w:val="single" w:sz="4" w:space="0" w:color="BFBFBF"/>
              <w:right w:val="single" w:sz="4" w:space="0" w:color="auto"/>
            </w:tcBorders>
            <w:noWrap/>
            <w:vAlign w:val="center"/>
            <w:hideMark/>
          </w:tcPr>
          <w:p w14:paraId="7BD34262" w14:textId="77777777" w:rsidR="003335E8" w:rsidRPr="00E60B69" w:rsidRDefault="003335E8" w:rsidP="00E8130E">
            <w:pPr>
              <w:spacing w:line="240" w:lineRule="auto"/>
              <w:jc w:val="center"/>
              <w:rPr>
                <w:b/>
                <w:bCs/>
                <w:sz w:val="16"/>
                <w:szCs w:val="16"/>
                <w:lang w:val="en-US"/>
              </w:rPr>
            </w:pPr>
            <w:r w:rsidRPr="00E60B69">
              <w:rPr>
                <w:b/>
                <w:bCs/>
                <w:sz w:val="16"/>
                <w:szCs w:val="16"/>
                <w:lang w:val="en-US"/>
              </w:rPr>
              <w:t>William's Medium E</w:t>
            </w:r>
          </w:p>
          <w:p w14:paraId="72A6B3FE" w14:textId="376E2BFA" w:rsidR="003335E8" w:rsidRPr="00E60B69" w:rsidRDefault="003335E8" w:rsidP="00E8130E">
            <w:pPr>
              <w:spacing w:line="240" w:lineRule="auto"/>
              <w:jc w:val="center"/>
              <w:rPr>
                <w:i/>
                <w:iCs/>
                <w:sz w:val="16"/>
                <w:szCs w:val="16"/>
                <w:lang w:val="en-US"/>
              </w:rPr>
            </w:pPr>
            <w:r w:rsidRPr="00E60B69">
              <w:rPr>
                <w:i/>
                <w:iCs/>
                <w:sz w:val="16"/>
                <w:szCs w:val="16"/>
                <w:lang w:val="en-US"/>
              </w:rPr>
              <w:t>Gibco; Thermo Fisher Scientific, Waltham, MA, US</w:t>
            </w:r>
          </w:p>
        </w:tc>
        <w:tc>
          <w:tcPr>
            <w:tcW w:w="1134" w:type="dxa"/>
            <w:tcBorders>
              <w:top w:val="single" w:sz="4" w:space="0" w:color="auto"/>
              <w:left w:val="single" w:sz="4" w:space="0" w:color="auto"/>
              <w:bottom w:val="single" w:sz="4" w:space="0" w:color="BFBFBF"/>
              <w:right w:val="single" w:sz="4" w:space="0" w:color="auto"/>
            </w:tcBorders>
            <w:noWrap/>
            <w:vAlign w:val="center"/>
            <w:hideMark/>
          </w:tcPr>
          <w:p w14:paraId="00540400" w14:textId="77777777" w:rsidR="003335E8" w:rsidRPr="00E60B69" w:rsidRDefault="003335E8" w:rsidP="00E8130E">
            <w:pPr>
              <w:spacing w:line="240" w:lineRule="auto"/>
              <w:jc w:val="center"/>
              <w:rPr>
                <w:sz w:val="16"/>
                <w:szCs w:val="16"/>
                <w:lang w:val="en-US"/>
              </w:rPr>
            </w:pPr>
            <w:r w:rsidRPr="00E60B69">
              <w:rPr>
                <w:sz w:val="16"/>
                <w:szCs w:val="16"/>
                <w:lang w:val="en-US"/>
              </w:rPr>
              <w:t>44.3</w:t>
            </w:r>
          </w:p>
        </w:tc>
        <w:tc>
          <w:tcPr>
            <w:tcW w:w="2782" w:type="dxa"/>
            <w:tcBorders>
              <w:top w:val="single" w:sz="4" w:space="0" w:color="auto"/>
              <w:left w:val="single" w:sz="4" w:space="0" w:color="auto"/>
              <w:bottom w:val="single" w:sz="4" w:space="0" w:color="BFBFBF"/>
              <w:right w:val="single" w:sz="4" w:space="0" w:color="auto"/>
            </w:tcBorders>
            <w:vAlign w:val="center"/>
          </w:tcPr>
          <w:p w14:paraId="322A16B1" w14:textId="17315E47" w:rsidR="003335E8" w:rsidRPr="00E60B69" w:rsidRDefault="00E70606" w:rsidP="00E8130E">
            <w:pPr>
              <w:spacing w:line="240" w:lineRule="auto"/>
              <w:jc w:val="center"/>
              <w:rPr>
                <w:sz w:val="16"/>
                <w:szCs w:val="16"/>
                <w:lang w:val="en-US"/>
              </w:rPr>
            </w:pPr>
            <w:r w:rsidRPr="00E60B69">
              <w:rPr>
                <w:sz w:val="16"/>
                <w:szCs w:val="16"/>
                <w:lang w:val="en-US"/>
              </w:rPr>
              <w:t>-</w:t>
            </w:r>
          </w:p>
        </w:tc>
      </w:tr>
      <w:tr w:rsidR="003335E8" w:rsidRPr="00E60B69" w14:paraId="52DF6768" w14:textId="77777777" w:rsidTr="00E8130E">
        <w:trPr>
          <w:trHeight w:val="340"/>
          <w:jc w:val="center"/>
        </w:trPr>
        <w:tc>
          <w:tcPr>
            <w:tcW w:w="5807" w:type="dxa"/>
            <w:tcBorders>
              <w:top w:val="single" w:sz="4" w:space="0" w:color="BFBFBF"/>
              <w:left w:val="single" w:sz="4" w:space="0" w:color="auto"/>
              <w:bottom w:val="single" w:sz="4" w:space="0" w:color="BFBFBF"/>
              <w:right w:val="single" w:sz="4" w:space="0" w:color="auto"/>
            </w:tcBorders>
            <w:noWrap/>
            <w:vAlign w:val="center"/>
            <w:hideMark/>
          </w:tcPr>
          <w:p w14:paraId="307C048B" w14:textId="77777777" w:rsidR="003335E8" w:rsidRPr="00E60B69" w:rsidRDefault="003335E8" w:rsidP="00E8130E">
            <w:pPr>
              <w:spacing w:line="240" w:lineRule="auto"/>
              <w:jc w:val="center"/>
              <w:rPr>
                <w:sz w:val="16"/>
                <w:szCs w:val="16"/>
                <w:lang w:val="en-US"/>
              </w:rPr>
            </w:pPr>
            <w:proofErr w:type="spellStart"/>
            <w:r w:rsidRPr="00E60B69">
              <w:rPr>
                <w:b/>
                <w:bCs/>
                <w:sz w:val="16"/>
                <w:szCs w:val="16"/>
                <w:lang w:val="en-US"/>
              </w:rPr>
              <w:t>Oxyglobin</w:t>
            </w:r>
            <w:proofErr w:type="spellEnd"/>
            <w:r w:rsidRPr="00E60B69">
              <w:rPr>
                <w:b/>
                <w:bCs/>
                <w:sz w:val="16"/>
                <w:szCs w:val="16"/>
                <w:lang w:val="en-US"/>
              </w:rPr>
              <w:t>®</w:t>
            </w:r>
            <w:r w:rsidRPr="00E60B69">
              <w:rPr>
                <w:sz w:val="16"/>
                <w:szCs w:val="16"/>
                <w:lang w:val="en-US"/>
              </w:rPr>
              <w:t xml:space="preserve"> (13 g/dL hemoglobin)</w:t>
            </w:r>
          </w:p>
          <w:p w14:paraId="20C70ABC" w14:textId="77777777" w:rsidR="003335E8" w:rsidRPr="00E60B69" w:rsidRDefault="003335E8" w:rsidP="00E8130E">
            <w:pPr>
              <w:spacing w:line="240" w:lineRule="auto"/>
              <w:jc w:val="center"/>
              <w:rPr>
                <w:i/>
                <w:iCs/>
                <w:sz w:val="16"/>
                <w:szCs w:val="16"/>
                <w:lang w:val="en-US"/>
              </w:rPr>
            </w:pPr>
            <w:r w:rsidRPr="00E60B69">
              <w:rPr>
                <w:i/>
                <w:iCs/>
                <w:sz w:val="16"/>
                <w:szCs w:val="16"/>
                <w:lang w:val="en-US"/>
              </w:rPr>
              <w:t>HbO2 Therapeutics; Souderton, PA, US</w:t>
            </w:r>
          </w:p>
        </w:tc>
        <w:tc>
          <w:tcPr>
            <w:tcW w:w="1134" w:type="dxa"/>
            <w:tcBorders>
              <w:top w:val="single" w:sz="4" w:space="0" w:color="BFBFBF"/>
              <w:left w:val="single" w:sz="4" w:space="0" w:color="auto"/>
              <w:bottom w:val="single" w:sz="4" w:space="0" w:color="BFBFBF"/>
              <w:right w:val="single" w:sz="4" w:space="0" w:color="auto"/>
            </w:tcBorders>
            <w:noWrap/>
            <w:vAlign w:val="center"/>
            <w:hideMark/>
          </w:tcPr>
          <w:p w14:paraId="0EF397A8" w14:textId="77777777" w:rsidR="003335E8" w:rsidRPr="00E60B69" w:rsidRDefault="003335E8" w:rsidP="00E8130E">
            <w:pPr>
              <w:spacing w:line="240" w:lineRule="auto"/>
              <w:jc w:val="center"/>
              <w:rPr>
                <w:sz w:val="16"/>
                <w:szCs w:val="16"/>
                <w:lang w:val="en-US"/>
              </w:rPr>
            </w:pPr>
            <w:r w:rsidRPr="00E60B69">
              <w:rPr>
                <w:sz w:val="16"/>
                <w:szCs w:val="16"/>
                <w:lang w:val="en-US"/>
              </w:rPr>
              <w:t>46.2</w:t>
            </w:r>
          </w:p>
        </w:tc>
        <w:tc>
          <w:tcPr>
            <w:tcW w:w="2782" w:type="dxa"/>
            <w:tcBorders>
              <w:top w:val="single" w:sz="4" w:space="0" w:color="BFBFBF"/>
              <w:left w:val="single" w:sz="4" w:space="0" w:color="auto"/>
              <w:bottom w:val="single" w:sz="4" w:space="0" w:color="BFBFBF"/>
              <w:right w:val="single" w:sz="4" w:space="0" w:color="auto"/>
            </w:tcBorders>
            <w:vAlign w:val="center"/>
            <w:hideMark/>
          </w:tcPr>
          <w:p w14:paraId="320DB4D7" w14:textId="77777777" w:rsidR="003335E8" w:rsidRPr="00E60B69" w:rsidRDefault="003335E8" w:rsidP="00E8130E">
            <w:pPr>
              <w:spacing w:line="240" w:lineRule="auto"/>
              <w:jc w:val="center"/>
              <w:rPr>
                <w:sz w:val="16"/>
                <w:szCs w:val="16"/>
                <w:lang w:val="en-US"/>
              </w:rPr>
            </w:pPr>
            <w:r w:rsidRPr="00E60B69">
              <w:rPr>
                <w:sz w:val="16"/>
                <w:szCs w:val="16"/>
                <w:lang w:val="en-US"/>
              </w:rPr>
              <w:t>5 g/dL</w:t>
            </w:r>
          </w:p>
        </w:tc>
      </w:tr>
      <w:tr w:rsidR="003335E8" w:rsidRPr="00E60B69" w14:paraId="6FD72A31" w14:textId="77777777" w:rsidTr="00E8130E">
        <w:trPr>
          <w:trHeight w:val="340"/>
          <w:jc w:val="center"/>
        </w:trPr>
        <w:tc>
          <w:tcPr>
            <w:tcW w:w="5807" w:type="dxa"/>
            <w:tcBorders>
              <w:top w:val="single" w:sz="4" w:space="0" w:color="BFBFBF"/>
              <w:left w:val="single" w:sz="4" w:space="0" w:color="auto"/>
              <w:bottom w:val="single" w:sz="4" w:space="0" w:color="BFBFBF"/>
              <w:right w:val="single" w:sz="4" w:space="0" w:color="auto"/>
            </w:tcBorders>
            <w:noWrap/>
            <w:vAlign w:val="center"/>
            <w:hideMark/>
          </w:tcPr>
          <w:p w14:paraId="5F8EEFAC" w14:textId="77777777" w:rsidR="003335E8" w:rsidRPr="00E60B69" w:rsidRDefault="003335E8" w:rsidP="00E8130E">
            <w:pPr>
              <w:spacing w:line="240" w:lineRule="auto"/>
              <w:jc w:val="center"/>
              <w:rPr>
                <w:sz w:val="16"/>
                <w:szCs w:val="16"/>
                <w:lang w:val="en-US"/>
              </w:rPr>
            </w:pPr>
            <w:r w:rsidRPr="00E60B69">
              <w:rPr>
                <w:b/>
                <w:bCs/>
                <w:sz w:val="16"/>
                <w:szCs w:val="16"/>
                <w:lang w:val="en-US"/>
              </w:rPr>
              <w:t>Human Albumin</w:t>
            </w:r>
            <w:r w:rsidRPr="00E60B69">
              <w:rPr>
                <w:sz w:val="16"/>
                <w:szCs w:val="16"/>
                <w:lang w:val="en-US"/>
              </w:rPr>
              <w:t xml:space="preserve"> (200 g/L)</w:t>
            </w:r>
          </w:p>
          <w:p w14:paraId="098D9319" w14:textId="77777777" w:rsidR="003335E8" w:rsidRPr="00E60B69" w:rsidRDefault="003335E8" w:rsidP="00E8130E">
            <w:pPr>
              <w:spacing w:line="240" w:lineRule="auto"/>
              <w:jc w:val="center"/>
              <w:rPr>
                <w:i/>
                <w:iCs/>
                <w:sz w:val="16"/>
                <w:szCs w:val="16"/>
                <w:lang w:val="en-US"/>
              </w:rPr>
            </w:pPr>
            <w:r w:rsidRPr="00E60B69">
              <w:rPr>
                <w:i/>
                <w:iCs/>
                <w:sz w:val="16"/>
                <w:szCs w:val="16"/>
                <w:lang w:val="en-US"/>
              </w:rPr>
              <w:t>Grifols; Barcelona, Spain</w:t>
            </w:r>
          </w:p>
        </w:tc>
        <w:tc>
          <w:tcPr>
            <w:tcW w:w="1134" w:type="dxa"/>
            <w:tcBorders>
              <w:top w:val="single" w:sz="4" w:space="0" w:color="BFBFBF"/>
              <w:left w:val="single" w:sz="4" w:space="0" w:color="auto"/>
              <w:bottom w:val="single" w:sz="4" w:space="0" w:color="BFBFBF"/>
              <w:right w:val="single" w:sz="4" w:space="0" w:color="auto"/>
            </w:tcBorders>
            <w:noWrap/>
            <w:vAlign w:val="center"/>
            <w:hideMark/>
          </w:tcPr>
          <w:p w14:paraId="1750D1FE" w14:textId="77777777" w:rsidR="003335E8" w:rsidRPr="00E60B69" w:rsidRDefault="003335E8" w:rsidP="00E8130E">
            <w:pPr>
              <w:spacing w:line="240" w:lineRule="auto"/>
              <w:jc w:val="center"/>
              <w:rPr>
                <w:sz w:val="16"/>
                <w:szCs w:val="16"/>
                <w:lang w:val="en-US"/>
              </w:rPr>
            </w:pPr>
            <w:r w:rsidRPr="00E60B69">
              <w:rPr>
                <w:sz w:val="16"/>
                <w:szCs w:val="16"/>
                <w:lang w:val="en-US"/>
              </w:rPr>
              <w:t>24</w:t>
            </w:r>
          </w:p>
        </w:tc>
        <w:tc>
          <w:tcPr>
            <w:tcW w:w="2782" w:type="dxa"/>
            <w:tcBorders>
              <w:top w:val="single" w:sz="4" w:space="0" w:color="BFBFBF"/>
              <w:left w:val="single" w:sz="4" w:space="0" w:color="auto"/>
              <w:bottom w:val="single" w:sz="4" w:space="0" w:color="BFBFBF"/>
              <w:right w:val="single" w:sz="4" w:space="0" w:color="auto"/>
            </w:tcBorders>
            <w:vAlign w:val="center"/>
            <w:hideMark/>
          </w:tcPr>
          <w:p w14:paraId="1294C1B0" w14:textId="77777777" w:rsidR="003335E8" w:rsidRPr="00E60B69" w:rsidRDefault="003335E8" w:rsidP="00E8130E">
            <w:pPr>
              <w:spacing w:line="240" w:lineRule="auto"/>
              <w:jc w:val="center"/>
              <w:rPr>
                <w:sz w:val="16"/>
                <w:szCs w:val="16"/>
                <w:lang w:val="en-US"/>
              </w:rPr>
            </w:pPr>
            <w:r w:rsidRPr="00E60B69">
              <w:rPr>
                <w:sz w:val="16"/>
                <w:szCs w:val="16"/>
                <w:lang w:val="en-US"/>
              </w:rPr>
              <w:t>4 g/dL</w:t>
            </w:r>
          </w:p>
        </w:tc>
      </w:tr>
      <w:tr w:rsidR="003335E8" w:rsidRPr="00E60B69" w14:paraId="4B57FDEC" w14:textId="77777777" w:rsidTr="00E8130E">
        <w:trPr>
          <w:trHeight w:val="340"/>
          <w:jc w:val="center"/>
        </w:trPr>
        <w:tc>
          <w:tcPr>
            <w:tcW w:w="5807" w:type="dxa"/>
            <w:tcBorders>
              <w:top w:val="single" w:sz="4" w:space="0" w:color="BFBFBF"/>
              <w:left w:val="single" w:sz="4" w:space="0" w:color="auto"/>
              <w:bottom w:val="single" w:sz="4" w:space="0" w:color="BFBFBF"/>
              <w:right w:val="single" w:sz="4" w:space="0" w:color="auto"/>
            </w:tcBorders>
            <w:noWrap/>
            <w:vAlign w:val="center"/>
            <w:hideMark/>
          </w:tcPr>
          <w:p w14:paraId="2C7A8EEA" w14:textId="77777777" w:rsidR="003335E8" w:rsidRPr="00E60B69" w:rsidRDefault="003335E8" w:rsidP="00E8130E">
            <w:pPr>
              <w:spacing w:line="240" w:lineRule="auto"/>
              <w:jc w:val="center"/>
              <w:rPr>
                <w:sz w:val="16"/>
                <w:szCs w:val="16"/>
                <w:lang w:val="nl-NL"/>
              </w:rPr>
            </w:pPr>
            <w:r w:rsidRPr="00E60B69">
              <w:rPr>
                <w:b/>
                <w:bCs/>
                <w:sz w:val="16"/>
                <w:szCs w:val="16"/>
                <w:lang w:val="nl-NL"/>
              </w:rPr>
              <w:t>Pen-</w:t>
            </w:r>
            <w:proofErr w:type="spellStart"/>
            <w:r w:rsidRPr="00E60B69">
              <w:rPr>
                <w:b/>
                <w:bCs/>
                <w:sz w:val="16"/>
                <w:szCs w:val="16"/>
                <w:lang w:val="nl-NL"/>
              </w:rPr>
              <w:t>Strep</w:t>
            </w:r>
            <w:proofErr w:type="spellEnd"/>
            <w:r w:rsidRPr="00E60B69">
              <w:rPr>
                <w:sz w:val="16"/>
                <w:szCs w:val="16"/>
                <w:lang w:val="nl-NL"/>
              </w:rPr>
              <w:t xml:space="preserve"> (10000 U/</w:t>
            </w:r>
            <w:proofErr w:type="spellStart"/>
            <w:r w:rsidRPr="00E60B69">
              <w:rPr>
                <w:sz w:val="16"/>
                <w:szCs w:val="16"/>
                <w:lang w:val="nl-NL"/>
              </w:rPr>
              <w:t>mL</w:t>
            </w:r>
            <w:proofErr w:type="spellEnd"/>
            <w:r w:rsidRPr="00E60B69">
              <w:rPr>
                <w:sz w:val="16"/>
                <w:szCs w:val="16"/>
                <w:lang w:val="nl-NL"/>
              </w:rPr>
              <w:t xml:space="preserve"> – 10 mg/</w:t>
            </w:r>
            <w:proofErr w:type="spellStart"/>
            <w:r w:rsidRPr="00E60B69">
              <w:rPr>
                <w:sz w:val="16"/>
                <w:szCs w:val="16"/>
                <w:lang w:val="nl-NL"/>
              </w:rPr>
              <w:t>mL</w:t>
            </w:r>
            <w:proofErr w:type="spellEnd"/>
            <w:r w:rsidRPr="00E60B69">
              <w:rPr>
                <w:sz w:val="16"/>
                <w:szCs w:val="16"/>
                <w:lang w:val="nl-NL"/>
              </w:rPr>
              <w:t>)</w:t>
            </w:r>
          </w:p>
          <w:p w14:paraId="74C97D3F" w14:textId="72CEC6D7" w:rsidR="003335E8" w:rsidRPr="00E60B69" w:rsidRDefault="003335E8" w:rsidP="00E8130E">
            <w:pPr>
              <w:spacing w:line="240" w:lineRule="auto"/>
              <w:jc w:val="center"/>
              <w:rPr>
                <w:sz w:val="16"/>
                <w:szCs w:val="16"/>
                <w:lang w:val="en-US"/>
              </w:rPr>
            </w:pPr>
            <w:r w:rsidRPr="00E60B69">
              <w:rPr>
                <w:i/>
                <w:iCs/>
                <w:sz w:val="16"/>
                <w:szCs w:val="16"/>
                <w:lang w:val="en-US"/>
              </w:rPr>
              <w:t>Gibco; Thermo Fisher Scientific, Waltham, MA, US</w:t>
            </w:r>
          </w:p>
        </w:tc>
        <w:tc>
          <w:tcPr>
            <w:tcW w:w="1134" w:type="dxa"/>
            <w:tcBorders>
              <w:top w:val="single" w:sz="4" w:space="0" w:color="BFBFBF"/>
              <w:left w:val="single" w:sz="4" w:space="0" w:color="auto"/>
              <w:bottom w:val="single" w:sz="4" w:space="0" w:color="BFBFBF"/>
              <w:right w:val="single" w:sz="4" w:space="0" w:color="auto"/>
            </w:tcBorders>
            <w:noWrap/>
            <w:vAlign w:val="center"/>
            <w:hideMark/>
          </w:tcPr>
          <w:p w14:paraId="70D6DCB5" w14:textId="77777777" w:rsidR="003335E8" w:rsidRPr="00E60B69" w:rsidRDefault="003335E8" w:rsidP="00E8130E">
            <w:pPr>
              <w:spacing w:line="240" w:lineRule="auto"/>
              <w:jc w:val="center"/>
              <w:rPr>
                <w:sz w:val="16"/>
                <w:szCs w:val="16"/>
                <w:lang w:val="en-US"/>
              </w:rPr>
            </w:pPr>
            <w:r w:rsidRPr="00E60B69">
              <w:rPr>
                <w:sz w:val="16"/>
                <w:szCs w:val="16"/>
                <w:lang w:val="en-US"/>
              </w:rPr>
              <w:t>1.2</w:t>
            </w:r>
          </w:p>
        </w:tc>
        <w:tc>
          <w:tcPr>
            <w:tcW w:w="2782" w:type="dxa"/>
            <w:tcBorders>
              <w:top w:val="single" w:sz="4" w:space="0" w:color="BFBFBF"/>
              <w:left w:val="single" w:sz="4" w:space="0" w:color="auto"/>
              <w:bottom w:val="single" w:sz="4" w:space="0" w:color="BFBFBF"/>
              <w:right w:val="single" w:sz="4" w:space="0" w:color="auto"/>
            </w:tcBorders>
            <w:vAlign w:val="center"/>
            <w:hideMark/>
          </w:tcPr>
          <w:p w14:paraId="7DDE11A6" w14:textId="77777777" w:rsidR="003335E8" w:rsidRPr="00E60B69" w:rsidRDefault="003335E8" w:rsidP="00E8130E">
            <w:pPr>
              <w:spacing w:line="240" w:lineRule="auto"/>
              <w:jc w:val="center"/>
              <w:rPr>
                <w:sz w:val="16"/>
                <w:szCs w:val="16"/>
                <w:lang w:val="en-US"/>
              </w:rPr>
            </w:pPr>
            <w:r w:rsidRPr="00E60B69">
              <w:rPr>
                <w:sz w:val="16"/>
                <w:szCs w:val="16"/>
                <w:lang w:val="en-US"/>
              </w:rPr>
              <w:t>100 U/mL – 0.1 mg/mL</w:t>
            </w:r>
          </w:p>
        </w:tc>
      </w:tr>
      <w:tr w:rsidR="003335E8" w:rsidRPr="00E60B69" w14:paraId="767A1CB8" w14:textId="77777777" w:rsidTr="00E8130E">
        <w:trPr>
          <w:trHeight w:val="340"/>
          <w:jc w:val="center"/>
        </w:trPr>
        <w:tc>
          <w:tcPr>
            <w:tcW w:w="5807" w:type="dxa"/>
            <w:tcBorders>
              <w:top w:val="single" w:sz="4" w:space="0" w:color="BFBFBF"/>
              <w:left w:val="single" w:sz="4" w:space="0" w:color="auto"/>
              <w:bottom w:val="single" w:sz="4" w:space="0" w:color="BFBFBF"/>
              <w:right w:val="single" w:sz="4" w:space="0" w:color="auto"/>
            </w:tcBorders>
            <w:noWrap/>
            <w:vAlign w:val="center"/>
            <w:hideMark/>
          </w:tcPr>
          <w:p w14:paraId="09B520E0" w14:textId="77777777" w:rsidR="003335E8" w:rsidRPr="00E60B69" w:rsidRDefault="003335E8" w:rsidP="00E8130E">
            <w:pPr>
              <w:spacing w:line="240" w:lineRule="auto"/>
              <w:jc w:val="center"/>
              <w:rPr>
                <w:sz w:val="16"/>
                <w:szCs w:val="16"/>
                <w:lang w:val="en-US"/>
              </w:rPr>
            </w:pPr>
            <w:r w:rsidRPr="00E60B69">
              <w:rPr>
                <w:b/>
                <w:bCs/>
                <w:sz w:val="16"/>
                <w:szCs w:val="16"/>
                <w:lang w:val="en-US"/>
              </w:rPr>
              <w:t>L-Glutamine</w:t>
            </w:r>
            <w:r w:rsidRPr="00E60B69">
              <w:rPr>
                <w:sz w:val="16"/>
                <w:szCs w:val="16"/>
                <w:lang w:val="en-US"/>
              </w:rPr>
              <w:t xml:space="preserve"> (200 mM)</w:t>
            </w:r>
          </w:p>
          <w:p w14:paraId="04BAF890" w14:textId="214CF801" w:rsidR="003335E8" w:rsidRPr="00E60B69" w:rsidRDefault="003335E8" w:rsidP="00E8130E">
            <w:pPr>
              <w:spacing w:line="240" w:lineRule="auto"/>
              <w:jc w:val="center"/>
              <w:rPr>
                <w:sz w:val="16"/>
                <w:szCs w:val="16"/>
                <w:lang w:val="en-US"/>
              </w:rPr>
            </w:pPr>
            <w:r w:rsidRPr="00E60B69">
              <w:rPr>
                <w:i/>
                <w:iCs/>
                <w:sz w:val="16"/>
                <w:szCs w:val="16"/>
                <w:lang w:val="en-US"/>
              </w:rPr>
              <w:t>Gibco; Thermo Fisher Scientific, Waltham, MA, US</w:t>
            </w:r>
          </w:p>
          <w:p w14:paraId="13DE4EDC" w14:textId="77777777" w:rsidR="003335E8" w:rsidRPr="00E60B69" w:rsidRDefault="003335E8" w:rsidP="00E8130E">
            <w:pPr>
              <w:spacing w:line="240" w:lineRule="auto"/>
              <w:jc w:val="center"/>
              <w:rPr>
                <w:sz w:val="16"/>
                <w:szCs w:val="16"/>
                <w:lang w:val="en-US"/>
              </w:rPr>
            </w:pPr>
          </w:p>
        </w:tc>
        <w:tc>
          <w:tcPr>
            <w:tcW w:w="1134" w:type="dxa"/>
            <w:tcBorders>
              <w:top w:val="single" w:sz="4" w:space="0" w:color="BFBFBF"/>
              <w:left w:val="single" w:sz="4" w:space="0" w:color="auto"/>
              <w:bottom w:val="single" w:sz="4" w:space="0" w:color="BFBFBF"/>
              <w:right w:val="single" w:sz="4" w:space="0" w:color="auto"/>
            </w:tcBorders>
            <w:noWrap/>
            <w:vAlign w:val="center"/>
            <w:hideMark/>
          </w:tcPr>
          <w:p w14:paraId="5283F748" w14:textId="77777777" w:rsidR="003335E8" w:rsidRPr="00E60B69" w:rsidRDefault="003335E8" w:rsidP="00E8130E">
            <w:pPr>
              <w:spacing w:line="240" w:lineRule="auto"/>
              <w:jc w:val="center"/>
              <w:rPr>
                <w:sz w:val="16"/>
                <w:szCs w:val="16"/>
                <w:lang w:val="en-US"/>
              </w:rPr>
            </w:pPr>
            <w:r w:rsidRPr="00E60B69">
              <w:rPr>
                <w:sz w:val="16"/>
                <w:szCs w:val="16"/>
                <w:lang w:val="en-US"/>
              </w:rPr>
              <w:t>1.2</w:t>
            </w:r>
          </w:p>
        </w:tc>
        <w:tc>
          <w:tcPr>
            <w:tcW w:w="2782" w:type="dxa"/>
            <w:tcBorders>
              <w:top w:val="single" w:sz="4" w:space="0" w:color="BFBFBF"/>
              <w:left w:val="single" w:sz="4" w:space="0" w:color="auto"/>
              <w:bottom w:val="single" w:sz="4" w:space="0" w:color="BFBFBF"/>
              <w:right w:val="single" w:sz="4" w:space="0" w:color="auto"/>
            </w:tcBorders>
            <w:vAlign w:val="center"/>
            <w:hideMark/>
          </w:tcPr>
          <w:p w14:paraId="2BB26930" w14:textId="77777777" w:rsidR="003335E8" w:rsidRPr="00E60B69" w:rsidRDefault="003335E8" w:rsidP="00E8130E">
            <w:pPr>
              <w:spacing w:line="240" w:lineRule="auto"/>
              <w:jc w:val="center"/>
              <w:rPr>
                <w:sz w:val="16"/>
                <w:szCs w:val="16"/>
                <w:lang w:val="en-US"/>
              </w:rPr>
            </w:pPr>
            <w:r w:rsidRPr="00E60B69">
              <w:rPr>
                <w:sz w:val="16"/>
                <w:szCs w:val="16"/>
                <w:lang w:val="en-US"/>
              </w:rPr>
              <w:t>0.292 mg/mL</w:t>
            </w:r>
          </w:p>
        </w:tc>
      </w:tr>
      <w:tr w:rsidR="003335E8" w:rsidRPr="00E60B69" w14:paraId="523AE45B" w14:textId="77777777" w:rsidTr="00E8130E">
        <w:trPr>
          <w:trHeight w:val="340"/>
          <w:jc w:val="center"/>
        </w:trPr>
        <w:tc>
          <w:tcPr>
            <w:tcW w:w="5807" w:type="dxa"/>
            <w:tcBorders>
              <w:top w:val="single" w:sz="4" w:space="0" w:color="BFBFBF"/>
              <w:left w:val="single" w:sz="4" w:space="0" w:color="auto"/>
              <w:bottom w:val="single" w:sz="4" w:space="0" w:color="BFBFBF"/>
              <w:right w:val="single" w:sz="4" w:space="0" w:color="auto"/>
            </w:tcBorders>
            <w:noWrap/>
            <w:vAlign w:val="center"/>
            <w:hideMark/>
          </w:tcPr>
          <w:p w14:paraId="45ACA738" w14:textId="77777777" w:rsidR="003335E8" w:rsidRPr="00E60B69" w:rsidRDefault="003335E8" w:rsidP="00E8130E">
            <w:pPr>
              <w:spacing w:line="240" w:lineRule="auto"/>
              <w:jc w:val="center"/>
              <w:rPr>
                <w:sz w:val="16"/>
                <w:szCs w:val="16"/>
                <w:lang w:val="en-US"/>
              </w:rPr>
            </w:pPr>
            <w:r w:rsidRPr="00E60B69">
              <w:rPr>
                <w:b/>
                <w:bCs/>
                <w:sz w:val="16"/>
                <w:szCs w:val="16"/>
                <w:lang w:val="en-US"/>
              </w:rPr>
              <w:t>Insulin</w:t>
            </w:r>
            <w:r w:rsidRPr="00E60B69">
              <w:rPr>
                <w:sz w:val="16"/>
                <w:szCs w:val="16"/>
                <w:lang w:val="en-US"/>
              </w:rPr>
              <w:t xml:space="preserve"> (100 UI/mL)</w:t>
            </w:r>
          </w:p>
          <w:p w14:paraId="0B97EA3C" w14:textId="77777777" w:rsidR="003335E8" w:rsidRPr="00E60B69" w:rsidRDefault="003335E8" w:rsidP="00E8130E">
            <w:pPr>
              <w:spacing w:line="240" w:lineRule="auto"/>
              <w:jc w:val="center"/>
              <w:rPr>
                <w:i/>
                <w:iCs/>
                <w:sz w:val="16"/>
                <w:szCs w:val="16"/>
                <w:lang w:val="nl-NL"/>
              </w:rPr>
            </w:pPr>
            <w:proofErr w:type="spellStart"/>
            <w:r w:rsidRPr="00E60B69">
              <w:rPr>
                <w:i/>
                <w:iCs/>
                <w:sz w:val="16"/>
                <w:szCs w:val="16"/>
                <w:lang w:val="nl-NL"/>
              </w:rPr>
              <w:t>Humalog</w:t>
            </w:r>
            <w:proofErr w:type="spellEnd"/>
            <w:r w:rsidRPr="00E60B69">
              <w:rPr>
                <w:i/>
                <w:iCs/>
                <w:sz w:val="16"/>
                <w:szCs w:val="16"/>
                <w:lang w:val="nl-NL"/>
              </w:rPr>
              <w:t>, Eli Lilly Nederland B.V.; Utrecht, Netherlands</w:t>
            </w:r>
          </w:p>
        </w:tc>
        <w:tc>
          <w:tcPr>
            <w:tcW w:w="1134" w:type="dxa"/>
            <w:tcBorders>
              <w:top w:val="single" w:sz="4" w:space="0" w:color="BFBFBF"/>
              <w:left w:val="single" w:sz="4" w:space="0" w:color="auto"/>
              <w:bottom w:val="single" w:sz="4" w:space="0" w:color="BFBFBF"/>
              <w:right w:val="single" w:sz="4" w:space="0" w:color="auto"/>
            </w:tcBorders>
            <w:noWrap/>
            <w:vAlign w:val="center"/>
            <w:hideMark/>
          </w:tcPr>
          <w:p w14:paraId="5E01BFEF" w14:textId="77777777" w:rsidR="003335E8" w:rsidRPr="00E60B69" w:rsidRDefault="003335E8" w:rsidP="00E8130E">
            <w:pPr>
              <w:spacing w:line="240" w:lineRule="auto"/>
              <w:jc w:val="center"/>
              <w:rPr>
                <w:sz w:val="16"/>
                <w:szCs w:val="16"/>
                <w:lang w:val="en-US"/>
              </w:rPr>
            </w:pPr>
            <w:r w:rsidRPr="00E60B69">
              <w:rPr>
                <w:sz w:val="16"/>
                <w:szCs w:val="16"/>
                <w:lang w:val="en-US"/>
              </w:rPr>
              <w:t>2.4</w:t>
            </w:r>
          </w:p>
        </w:tc>
        <w:tc>
          <w:tcPr>
            <w:tcW w:w="2782" w:type="dxa"/>
            <w:tcBorders>
              <w:top w:val="single" w:sz="4" w:space="0" w:color="BFBFBF"/>
              <w:left w:val="single" w:sz="4" w:space="0" w:color="auto"/>
              <w:bottom w:val="single" w:sz="4" w:space="0" w:color="BFBFBF"/>
              <w:right w:val="single" w:sz="4" w:space="0" w:color="auto"/>
            </w:tcBorders>
            <w:vAlign w:val="center"/>
            <w:hideMark/>
          </w:tcPr>
          <w:p w14:paraId="042D2040" w14:textId="77777777" w:rsidR="003335E8" w:rsidRPr="00E60B69" w:rsidRDefault="003335E8" w:rsidP="00E8130E">
            <w:pPr>
              <w:spacing w:line="240" w:lineRule="auto"/>
              <w:jc w:val="center"/>
              <w:rPr>
                <w:sz w:val="16"/>
                <w:szCs w:val="16"/>
                <w:lang w:val="en-US"/>
              </w:rPr>
            </w:pPr>
            <w:r w:rsidRPr="00E60B69">
              <w:rPr>
                <w:sz w:val="16"/>
                <w:szCs w:val="16"/>
                <w:lang w:val="en-US"/>
              </w:rPr>
              <w:t>2 U/mL</w:t>
            </w:r>
          </w:p>
        </w:tc>
      </w:tr>
      <w:tr w:rsidR="003335E8" w:rsidRPr="00E60B69" w14:paraId="7CBFA426" w14:textId="77777777" w:rsidTr="00E8130E">
        <w:trPr>
          <w:trHeight w:val="340"/>
          <w:jc w:val="center"/>
        </w:trPr>
        <w:tc>
          <w:tcPr>
            <w:tcW w:w="5807" w:type="dxa"/>
            <w:tcBorders>
              <w:top w:val="single" w:sz="4" w:space="0" w:color="BFBFBF"/>
              <w:left w:val="single" w:sz="4" w:space="0" w:color="auto"/>
              <w:bottom w:val="single" w:sz="4" w:space="0" w:color="BFBFBF"/>
              <w:right w:val="single" w:sz="4" w:space="0" w:color="auto"/>
            </w:tcBorders>
            <w:noWrap/>
            <w:vAlign w:val="center"/>
            <w:hideMark/>
          </w:tcPr>
          <w:p w14:paraId="38575E3C" w14:textId="77777777" w:rsidR="003335E8" w:rsidRPr="00E60B69" w:rsidRDefault="003335E8" w:rsidP="00E8130E">
            <w:pPr>
              <w:spacing w:line="240" w:lineRule="auto"/>
              <w:jc w:val="center"/>
              <w:rPr>
                <w:sz w:val="16"/>
                <w:szCs w:val="16"/>
              </w:rPr>
            </w:pPr>
            <w:r w:rsidRPr="00E60B69">
              <w:rPr>
                <w:b/>
                <w:bCs/>
                <w:sz w:val="16"/>
                <w:szCs w:val="16"/>
              </w:rPr>
              <w:t>N-</w:t>
            </w:r>
            <w:proofErr w:type="spellStart"/>
            <w:r w:rsidRPr="00E60B69">
              <w:rPr>
                <w:b/>
                <w:bCs/>
                <w:sz w:val="16"/>
                <w:szCs w:val="16"/>
              </w:rPr>
              <w:t>acetylcysteine</w:t>
            </w:r>
            <w:proofErr w:type="spellEnd"/>
            <w:r w:rsidRPr="00E60B69">
              <w:rPr>
                <w:sz w:val="16"/>
                <w:szCs w:val="16"/>
              </w:rPr>
              <w:t xml:space="preserve"> (100 mg/</w:t>
            </w:r>
            <w:proofErr w:type="spellStart"/>
            <w:r w:rsidRPr="00E60B69">
              <w:rPr>
                <w:sz w:val="16"/>
                <w:szCs w:val="16"/>
              </w:rPr>
              <w:t>mL</w:t>
            </w:r>
            <w:proofErr w:type="spellEnd"/>
            <w:r w:rsidRPr="00E60B69">
              <w:rPr>
                <w:sz w:val="16"/>
                <w:szCs w:val="16"/>
              </w:rPr>
              <w:t>)</w:t>
            </w:r>
          </w:p>
          <w:p w14:paraId="0AC70236" w14:textId="77777777" w:rsidR="003335E8" w:rsidRPr="00E60B69" w:rsidRDefault="003335E8" w:rsidP="00E8130E">
            <w:pPr>
              <w:spacing w:line="240" w:lineRule="auto"/>
              <w:jc w:val="center"/>
              <w:rPr>
                <w:i/>
                <w:iCs/>
                <w:sz w:val="16"/>
                <w:szCs w:val="16"/>
              </w:rPr>
            </w:pPr>
            <w:r w:rsidRPr="00E60B69">
              <w:rPr>
                <w:i/>
                <w:iCs/>
                <w:sz w:val="16"/>
                <w:szCs w:val="16"/>
              </w:rPr>
              <w:t xml:space="preserve">Zambon S.p.A.; Bresso, </w:t>
            </w:r>
            <w:proofErr w:type="spellStart"/>
            <w:r w:rsidRPr="00E60B69">
              <w:rPr>
                <w:i/>
                <w:iCs/>
                <w:sz w:val="16"/>
                <w:szCs w:val="16"/>
              </w:rPr>
              <w:t>Italy</w:t>
            </w:r>
            <w:proofErr w:type="spellEnd"/>
          </w:p>
        </w:tc>
        <w:tc>
          <w:tcPr>
            <w:tcW w:w="1134" w:type="dxa"/>
            <w:tcBorders>
              <w:top w:val="single" w:sz="4" w:space="0" w:color="BFBFBF"/>
              <w:left w:val="single" w:sz="4" w:space="0" w:color="auto"/>
              <w:bottom w:val="single" w:sz="4" w:space="0" w:color="BFBFBF"/>
              <w:right w:val="single" w:sz="4" w:space="0" w:color="auto"/>
            </w:tcBorders>
            <w:noWrap/>
            <w:vAlign w:val="center"/>
            <w:hideMark/>
          </w:tcPr>
          <w:p w14:paraId="0FAC8000" w14:textId="77777777" w:rsidR="003335E8" w:rsidRPr="00E60B69" w:rsidRDefault="003335E8" w:rsidP="00E8130E">
            <w:pPr>
              <w:spacing w:line="240" w:lineRule="auto"/>
              <w:jc w:val="center"/>
              <w:rPr>
                <w:sz w:val="16"/>
                <w:szCs w:val="16"/>
                <w:lang w:val="en-US"/>
              </w:rPr>
            </w:pPr>
            <w:r w:rsidRPr="00E60B69">
              <w:rPr>
                <w:sz w:val="16"/>
                <w:szCs w:val="16"/>
                <w:lang w:val="en-US"/>
              </w:rPr>
              <w:t>0.6</w:t>
            </w:r>
          </w:p>
        </w:tc>
        <w:tc>
          <w:tcPr>
            <w:tcW w:w="2782" w:type="dxa"/>
            <w:tcBorders>
              <w:top w:val="single" w:sz="4" w:space="0" w:color="BFBFBF"/>
              <w:left w:val="single" w:sz="4" w:space="0" w:color="auto"/>
              <w:bottom w:val="single" w:sz="4" w:space="0" w:color="BFBFBF"/>
              <w:right w:val="single" w:sz="4" w:space="0" w:color="auto"/>
            </w:tcBorders>
            <w:vAlign w:val="center"/>
            <w:hideMark/>
          </w:tcPr>
          <w:p w14:paraId="67B7442F" w14:textId="77777777" w:rsidR="003335E8" w:rsidRPr="00E60B69" w:rsidRDefault="003335E8" w:rsidP="00E8130E">
            <w:pPr>
              <w:spacing w:line="240" w:lineRule="auto"/>
              <w:jc w:val="center"/>
              <w:rPr>
                <w:sz w:val="16"/>
                <w:szCs w:val="16"/>
                <w:lang w:val="en-US"/>
              </w:rPr>
            </w:pPr>
            <w:r w:rsidRPr="00E60B69">
              <w:rPr>
                <w:sz w:val="16"/>
                <w:szCs w:val="16"/>
                <w:lang w:val="en-US"/>
              </w:rPr>
              <w:t>0.5 mg/mL</w:t>
            </w:r>
          </w:p>
        </w:tc>
      </w:tr>
      <w:tr w:rsidR="003335E8" w:rsidRPr="00E60B69" w14:paraId="53FFA89B" w14:textId="77777777" w:rsidTr="00E8130E">
        <w:trPr>
          <w:trHeight w:val="340"/>
          <w:jc w:val="center"/>
        </w:trPr>
        <w:tc>
          <w:tcPr>
            <w:tcW w:w="5807" w:type="dxa"/>
            <w:tcBorders>
              <w:top w:val="single" w:sz="4" w:space="0" w:color="BFBFBF"/>
              <w:left w:val="single" w:sz="4" w:space="0" w:color="auto"/>
              <w:bottom w:val="single" w:sz="8" w:space="0" w:color="auto"/>
              <w:right w:val="single" w:sz="4" w:space="0" w:color="auto"/>
            </w:tcBorders>
            <w:noWrap/>
            <w:vAlign w:val="center"/>
            <w:hideMark/>
          </w:tcPr>
          <w:p w14:paraId="5F094747" w14:textId="77777777" w:rsidR="003335E8" w:rsidRPr="00E60B69" w:rsidRDefault="003335E8" w:rsidP="00E8130E">
            <w:pPr>
              <w:spacing w:line="240" w:lineRule="auto"/>
              <w:jc w:val="center"/>
              <w:rPr>
                <w:sz w:val="16"/>
                <w:szCs w:val="16"/>
                <w:lang w:val="en-US"/>
              </w:rPr>
            </w:pPr>
            <w:r w:rsidRPr="00E60B69">
              <w:rPr>
                <w:b/>
                <w:bCs/>
                <w:sz w:val="16"/>
                <w:szCs w:val="16"/>
                <w:lang w:val="en-US"/>
              </w:rPr>
              <w:t>Sodium taurocholate</w:t>
            </w:r>
            <w:r w:rsidRPr="00E60B69">
              <w:rPr>
                <w:sz w:val="16"/>
                <w:szCs w:val="16"/>
                <w:lang w:val="en-US"/>
              </w:rPr>
              <w:t xml:space="preserve"> (243 mg/mL)</w:t>
            </w:r>
          </w:p>
          <w:p w14:paraId="02006A34" w14:textId="65A6BEE9" w:rsidR="003335E8" w:rsidRPr="00E60B69" w:rsidRDefault="00E62664" w:rsidP="00E8130E">
            <w:pPr>
              <w:spacing w:line="240" w:lineRule="auto"/>
              <w:jc w:val="center"/>
              <w:rPr>
                <w:i/>
                <w:iCs/>
                <w:sz w:val="16"/>
                <w:szCs w:val="16"/>
                <w:lang w:val="en-US"/>
              </w:rPr>
            </w:pPr>
            <w:r w:rsidRPr="00E60B69">
              <w:rPr>
                <w:i/>
                <w:iCs/>
                <w:sz w:val="16"/>
                <w:szCs w:val="16"/>
                <w:lang w:val="en-US"/>
              </w:rPr>
              <w:t xml:space="preserve">Sigma-Aldrich; </w:t>
            </w:r>
            <w:r w:rsidR="003335E8" w:rsidRPr="00E60B69">
              <w:rPr>
                <w:i/>
                <w:iCs/>
                <w:sz w:val="16"/>
                <w:szCs w:val="16"/>
                <w:lang w:val="en-US"/>
              </w:rPr>
              <w:t xml:space="preserve">Merck </w:t>
            </w:r>
            <w:proofErr w:type="spellStart"/>
            <w:r w:rsidR="003335E8" w:rsidRPr="00E60B69">
              <w:rPr>
                <w:i/>
                <w:iCs/>
                <w:sz w:val="16"/>
                <w:szCs w:val="16"/>
                <w:lang w:val="en-US"/>
              </w:rPr>
              <w:t>KGaA</w:t>
            </w:r>
            <w:proofErr w:type="spellEnd"/>
            <w:r w:rsidR="003335E8" w:rsidRPr="00E60B69">
              <w:rPr>
                <w:i/>
                <w:iCs/>
                <w:sz w:val="16"/>
                <w:szCs w:val="16"/>
                <w:lang w:val="en-US"/>
              </w:rPr>
              <w:t>, Darmstadt, Germany</w:t>
            </w:r>
          </w:p>
        </w:tc>
        <w:tc>
          <w:tcPr>
            <w:tcW w:w="1134" w:type="dxa"/>
            <w:tcBorders>
              <w:top w:val="single" w:sz="4" w:space="0" w:color="BFBFBF"/>
              <w:left w:val="single" w:sz="4" w:space="0" w:color="auto"/>
              <w:bottom w:val="single" w:sz="8" w:space="0" w:color="auto"/>
              <w:right w:val="single" w:sz="4" w:space="0" w:color="auto"/>
            </w:tcBorders>
            <w:noWrap/>
            <w:vAlign w:val="center"/>
            <w:hideMark/>
          </w:tcPr>
          <w:p w14:paraId="64F70695" w14:textId="77777777" w:rsidR="003335E8" w:rsidRPr="00E60B69" w:rsidRDefault="003335E8" w:rsidP="00E8130E">
            <w:pPr>
              <w:spacing w:line="240" w:lineRule="auto"/>
              <w:jc w:val="center"/>
              <w:rPr>
                <w:sz w:val="16"/>
                <w:szCs w:val="16"/>
                <w:lang w:val="en-US"/>
              </w:rPr>
            </w:pPr>
            <w:r w:rsidRPr="00E60B69">
              <w:rPr>
                <w:sz w:val="16"/>
                <w:szCs w:val="16"/>
                <w:lang w:val="en-US"/>
              </w:rPr>
              <w:t>0.1</w:t>
            </w:r>
          </w:p>
        </w:tc>
        <w:tc>
          <w:tcPr>
            <w:tcW w:w="2782" w:type="dxa"/>
            <w:tcBorders>
              <w:top w:val="single" w:sz="4" w:space="0" w:color="BFBFBF"/>
              <w:left w:val="single" w:sz="4" w:space="0" w:color="auto"/>
              <w:bottom w:val="single" w:sz="8" w:space="0" w:color="auto"/>
              <w:right w:val="single" w:sz="4" w:space="0" w:color="auto"/>
            </w:tcBorders>
            <w:vAlign w:val="center"/>
            <w:hideMark/>
          </w:tcPr>
          <w:p w14:paraId="73C47D16" w14:textId="77777777" w:rsidR="003335E8" w:rsidRPr="00E60B69" w:rsidRDefault="003335E8" w:rsidP="00E8130E">
            <w:pPr>
              <w:spacing w:line="240" w:lineRule="auto"/>
              <w:jc w:val="center"/>
              <w:rPr>
                <w:sz w:val="16"/>
                <w:szCs w:val="16"/>
                <w:lang w:val="en-US"/>
              </w:rPr>
            </w:pPr>
            <w:r w:rsidRPr="00E60B69">
              <w:rPr>
                <w:sz w:val="16"/>
                <w:szCs w:val="16"/>
                <w:lang w:val="en-US"/>
              </w:rPr>
              <w:t>0.20 mg/mL</w:t>
            </w:r>
          </w:p>
        </w:tc>
      </w:tr>
      <w:tr w:rsidR="003335E8" w:rsidRPr="00E60B69" w14:paraId="2EFD54BB" w14:textId="77777777" w:rsidTr="00E8130E">
        <w:trPr>
          <w:trHeight w:val="340"/>
          <w:jc w:val="center"/>
        </w:trPr>
        <w:tc>
          <w:tcPr>
            <w:tcW w:w="5807" w:type="dxa"/>
            <w:tcBorders>
              <w:top w:val="single" w:sz="8" w:space="0" w:color="auto"/>
              <w:left w:val="single" w:sz="4" w:space="0" w:color="auto"/>
              <w:bottom w:val="single" w:sz="4" w:space="0" w:color="auto"/>
              <w:right w:val="single" w:sz="4" w:space="0" w:color="auto"/>
            </w:tcBorders>
            <w:noWrap/>
            <w:vAlign w:val="center"/>
            <w:hideMark/>
          </w:tcPr>
          <w:p w14:paraId="11F426A4" w14:textId="77777777" w:rsidR="003335E8" w:rsidRPr="00E60B69" w:rsidRDefault="003335E8" w:rsidP="00E8130E">
            <w:pPr>
              <w:spacing w:line="240" w:lineRule="auto"/>
              <w:jc w:val="center"/>
              <w:rPr>
                <w:b/>
                <w:bCs/>
                <w:sz w:val="16"/>
                <w:szCs w:val="16"/>
                <w:lang w:val="en-US"/>
              </w:rPr>
            </w:pPr>
            <w:r w:rsidRPr="00E60B69">
              <w:rPr>
                <w:b/>
                <w:bCs/>
                <w:sz w:val="16"/>
                <w:szCs w:val="16"/>
                <w:lang w:val="en-US"/>
              </w:rPr>
              <w:t>Total Volume</w:t>
            </w:r>
          </w:p>
        </w:tc>
        <w:tc>
          <w:tcPr>
            <w:tcW w:w="1134" w:type="dxa"/>
            <w:tcBorders>
              <w:top w:val="single" w:sz="8" w:space="0" w:color="auto"/>
              <w:left w:val="single" w:sz="4" w:space="0" w:color="auto"/>
              <w:bottom w:val="single" w:sz="4" w:space="0" w:color="auto"/>
              <w:right w:val="single" w:sz="4" w:space="0" w:color="auto"/>
            </w:tcBorders>
            <w:noWrap/>
            <w:vAlign w:val="center"/>
            <w:hideMark/>
          </w:tcPr>
          <w:p w14:paraId="5E7B1D5F" w14:textId="77777777" w:rsidR="003335E8" w:rsidRPr="00E60B69" w:rsidRDefault="003335E8" w:rsidP="00E8130E">
            <w:pPr>
              <w:spacing w:line="240" w:lineRule="auto"/>
              <w:jc w:val="center"/>
              <w:rPr>
                <w:sz w:val="16"/>
                <w:szCs w:val="16"/>
                <w:lang w:val="en-US"/>
              </w:rPr>
            </w:pPr>
            <w:r w:rsidRPr="00E60B69">
              <w:rPr>
                <w:sz w:val="16"/>
                <w:szCs w:val="16"/>
                <w:lang w:val="en-US"/>
              </w:rPr>
              <w:t>120</w:t>
            </w:r>
          </w:p>
        </w:tc>
        <w:tc>
          <w:tcPr>
            <w:tcW w:w="2782" w:type="dxa"/>
            <w:tcBorders>
              <w:top w:val="single" w:sz="8" w:space="0" w:color="auto"/>
              <w:left w:val="single" w:sz="4" w:space="0" w:color="auto"/>
              <w:bottom w:val="single" w:sz="4" w:space="0" w:color="auto"/>
              <w:right w:val="single" w:sz="4" w:space="0" w:color="auto"/>
            </w:tcBorders>
            <w:vAlign w:val="center"/>
          </w:tcPr>
          <w:p w14:paraId="34229D67" w14:textId="77777777" w:rsidR="003335E8" w:rsidRPr="00E60B69" w:rsidRDefault="003335E8" w:rsidP="00E8130E">
            <w:pPr>
              <w:spacing w:line="240" w:lineRule="auto"/>
              <w:jc w:val="center"/>
              <w:rPr>
                <w:sz w:val="16"/>
                <w:szCs w:val="16"/>
                <w:lang w:val="en-US"/>
              </w:rPr>
            </w:pPr>
          </w:p>
        </w:tc>
      </w:tr>
    </w:tbl>
    <w:p w14:paraId="5BF16261" w14:textId="77777777" w:rsidR="00F44802" w:rsidRPr="00E60B69" w:rsidRDefault="00F44802">
      <w:pPr>
        <w:rPr>
          <w:lang w:val="en-US"/>
        </w:rPr>
      </w:pPr>
    </w:p>
    <w:p w14:paraId="565817AD" w14:textId="77777777" w:rsidR="00F44802" w:rsidRPr="00E60B69" w:rsidRDefault="00F44802">
      <w:pPr>
        <w:kinsoku w:val="0"/>
        <w:overflowPunct w:val="0"/>
        <w:textAlignment w:val="baseline"/>
        <w:rPr>
          <w:b/>
          <w:bCs/>
          <w:color w:val="000000" w:themeColor="text1"/>
          <w:kern w:val="24"/>
          <w:lang w:val="en-US"/>
        </w:rPr>
      </w:pPr>
    </w:p>
    <w:p w14:paraId="704DA9C4" w14:textId="77777777" w:rsidR="00497E87" w:rsidRPr="00E60B69" w:rsidRDefault="00497E87">
      <w:pPr>
        <w:kinsoku w:val="0"/>
        <w:overflowPunct w:val="0"/>
        <w:textAlignment w:val="baseline"/>
        <w:rPr>
          <w:b/>
          <w:bCs/>
          <w:color w:val="000000"/>
          <w:kern w:val="24"/>
          <w:lang w:val="en-US"/>
        </w:rPr>
        <w:sectPr w:rsidR="00497E87" w:rsidRPr="00E60B69">
          <w:pgSz w:w="11900" w:h="16840"/>
          <w:pgMar w:top="1417" w:right="1134" w:bottom="1134" w:left="1134" w:header="708" w:footer="708" w:gutter="0"/>
          <w:cols w:space="708"/>
          <w:docGrid w:linePitch="360"/>
        </w:sectPr>
      </w:pPr>
    </w:p>
    <w:p w14:paraId="417B4E35" w14:textId="77777777" w:rsidR="00497E87" w:rsidRPr="00E60B69" w:rsidRDefault="00DA7FD6" w:rsidP="00B83925">
      <w:pPr>
        <w:pStyle w:val="Titolo2"/>
        <w:rPr>
          <w:rFonts w:ascii="Times New Roman" w:hAnsi="Times New Roman" w:cs="Times New Roman"/>
          <w:sz w:val="20"/>
          <w:szCs w:val="20"/>
        </w:rPr>
      </w:pPr>
      <w:bookmarkStart w:id="20" w:name="_Toc142384262"/>
      <w:r w:rsidRPr="00E60B69">
        <w:rPr>
          <w:rFonts w:ascii="Times New Roman" w:hAnsi="Times New Roman" w:cs="Times New Roman"/>
          <w:sz w:val="20"/>
          <w:szCs w:val="20"/>
        </w:rPr>
        <w:lastRenderedPageBreak/>
        <w:t>Supplementary table 2. Perfusion fluid characteristics before graft connection to the NMP circuit and after 4</w:t>
      </w:r>
      <w:r w:rsidR="00497E87" w:rsidRPr="00E60B69">
        <w:rPr>
          <w:rFonts w:ascii="Times New Roman" w:hAnsi="Times New Roman" w:cs="Times New Roman"/>
          <w:sz w:val="20"/>
          <w:szCs w:val="20"/>
        </w:rPr>
        <w:t xml:space="preserve"> </w:t>
      </w:r>
      <w:r w:rsidRPr="00E60B69">
        <w:rPr>
          <w:rFonts w:ascii="Times New Roman" w:hAnsi="Times New Roman" w:cs="Times New Roman"/>
          <w:sz w:val="20"/>
          <w:szCs w:val="20"/>
        </w:rPr>
        <w:t>h and 12</w:t>
      </w:r>
      <w:r w:rsidR="00497E87" w:rsidRPr="00E60B69">
        <w:rPr>
          <w:rFonts w:ascii="Times New Roman" w:hAnsi="Times New Roman" w:cs="Times New Roman"/>
          <w:sz w:val="20"/>
          <w:szCs w:val="20"/>
        </w:rPr>
        <w:t xml:space="preserve"> </w:t>
      </w:r>
      <w:r w:rsidRPr="00E60B69">
        <w:rPr>
          <w:rFonts w:ascii="Times New Roman" w:hAnsi="Times New Roman" w:cs="Times New Roman"/>
          <w:sz w:val="20"/>
          <w:szCs w:val="20"/>
        </w:rPr>
        <w:t>h of perfusion</w:t>
      </w:r>
      <w:r w:rsidR="00497E87" w:rsidRPr="00E60B69">
        <w:rPr>
          <w:rFonts w:ascii="Times New Roman" w:hAnsi="Times New Roman" w:cs="Times New Roman"/>
          <w:sz w:val="20"/>
          <w:szCs w:val="20"/>
        </w:rPr>
        <w:t>.</w:t>
      </w:r>
      <w:bookmarkEnd w:id="20"/>
    </w:p>
    <w:p w14:paraId="3852DCC3" w14:textId="5AF1B4D1" w:rsidR="00F44802" w:rsidRPr="00E60B69" w:rsidRDefault="00497E87">
      <w:pPr>
        <w:kinsoku w:val="0"/>
        <w:overflowPunct w:val="0"/>
        <w:textAlignment w:val="baseline"/>
        <w:rPr>
          <w:color w:val="000000"/>
          <w:kern w:val="24"/>
          <w:sz w:val="20"/>
          <w:szCs w:val="20"/>
          <w:lang w:val="en-US"/>
        </w:rPr>
      </w:pPr>
      <w:r w:rsidRPr="00E60B69">
        <w:rPr>
          <w:bCs/>
          <w:color w:val="000000"/>
          <w:kern w:val="24"/>
          <w:sz w:val="20"/>
          <w:szCs w:val="20"/>
          <w:lang w:val="en-US"/>
        </w:rPr>
        <w:t xml:space="preserve">All the parameters were measured </w:t>
      </w:r>
      <w:r w:rsidR="008F18C7" w:rsidRPr="00E60B69">
        <w:rPr>
          <w:bCs/>
          <w:color w:val="000000"/>
          <w:kern w:val="24"/>
          <w:sz w:val="20"/>
          <w:szCs w:val="20"/>
          <w:lang w:val="en-US"/>
        </w:rPr>
        <w:t xml:space="preserve">both </w:t>
      </w:r>
      <w:r w:rsidRPr="00E60B69">
        <w:rPr>
          <w:bCs/>
          <w:color w:val="000000"/>
          <w:kern w:val="24"/>
          <w:sz w:val="20"/>
          <w:szCs w:val="20"/>
          <w:lang w:val="en-US"/>
        </w:rPr>
        <w:t>in</w:t>
      </w:r>
      <w:r w:rsidR="00DA7FD6" w:rsidRPr="00E60B69">
        <w:rPr>
          <w:bCs/>
          <w:color w:val="000000"/>
          <w:kern w:val="24"/>
          <w:sz w:val="20"/>
          <w:szCs w:val="20"/>
          <w:lang w:val="en-US"/>
        </w:rPr>
        <w:t xml:space="preserve"> </w:t>
      </w:r>
      <w:r w:rsidR="008F18C7" w:rsidRPr="00E60B69">
        <w:rPr>
          <w:bCs/>
          <w:color w:val="000000"/>
          <w:kern w:val="24"/>
          <w:sz w:val="20"/>
          <w:szCs w:val="20"/>
          <w:lang w:val="en-US"/>
        </w:rPr>
        <w:t xml:space="preserve">pre- and </w:t>
      </w:r>
      <w:r w:rsidR="00DA7FD6" w:rsidRPr="00E60B69">
        <w:rPr>
          <w:bCs/>
          <w:color w:val="000000"/>
          <w:kern w:val="24"/>
          <w:sz w:val="20"/>
          <w:szCs w:val="20"/>
          <w:lang w:val="en-US"/>
        </w:rPr>
        <w:t xml:space="preserve">post-liver </w:t>
      </w:r>
      <w:r w:rsidR="008F18C7" w:rsidRPr="00E60B69">
        <w:rPr>
          <w:bCs/>
          <w:color w:val="000000"/>
          <w:kern w:val="24"/>
          <w:sz w:val="20"/>
          <w:szCs w:val="20"/>
          <w:lang w:val="en-US"/>
        </w:rPr>
        <w:t xml:space="preserve">perfusate </w:t>
      </w:r>
      <w:r w:rsidR="00DA7FD6" w:rsidRPr="00E60B69">
        <w:rPr>
          <w:bCs/>
          <w:color w:val="000000"/>
          <w:kern w:val="24"/>
          <w:sz w:val="20"/>
          <w:szCs w:val="20"/>
          <w:lang w:val="en-US"/>
        </w:rPr>
        <w:t>samples</w:t>
      </w:r>
      <w:r w:rsidRPr="00E60B69">
        <w:rPr>
          <w:bCs/>
          <w:color w:val="000000"/>
          <w:kern w:val="24"/>
          <w:sz w:val="20"/>
          <w:szCs w:val="20"/>
          <w:lang w:val="en-US"/>
        </w:rPr>
        <w:t xml:space="preserve">. Data are presented as </w:t>
      </w:r>
      <w:proofErr w:type="spellStart"/>
      <w:r w:rsidR="00DA7FD6" w:rsidRPr="00E60B69">
        <w:rPr>
          <w:bCs/>
          <w:color w:val="000000"/>
          <w:kern w:val="24"/>
          <w:sz w:val="20"/>
          <w:szCs w:val="20"/>
          <w:lang w:val="en-US"/>
        </w:rPr>
        <w:t>mean</w:t>
      </w:r>
      <w:r w:rsidR="008F18C7" w:rsidRPr="00E60B69">
        <w:rPr>
          <w:bCs/>
          <w:color w:val="000000"/>
          <w:kern w:val="24"/>
          <w:sz w:val="20"/>
          <w:szCs w:val="20"/>
          <w:lang w:val="en-US"/>
        </w:rPr>
        <w:t>±</w:t>
      </w:r>
      <w:r w:rsidR="00DA7FD6" w:rsidRPr="00E60B69">
        <w:rPr>
          <w:bCs/>
          <w:color w:val="000000"/>
          <w:kern w:val="24"/>
          <w:sz w:val="20"/>
          <w:szCs w:val="20"/>
          <w:lang w:val="en-US"/>
        </w:rPr>
        <w:t>SD</w:t>
      </w:r>
      <w:proofErr w:type="spellEnd"/>
      <w:r w:rsidR="00DA7FD6" w:rsidRPr="00E60B69">
        <w:rPr>
          <w:bCs/>
          <w:color w:val="000000"/>
          <w:kern w:val="24"/>
          <w:sz w:val="20"/>
          <w:szCs w:val="20"/>
          <w:lang w:val="en-US"/>
        </w:rPr>
        <w:t>.</w:t>
      </w:r>
      <w:r w:rsidR="00DA7FD6" w:rsidRPr="00E60B69">
        <w:rPr>
          <w:b/>
          <w:bCs/>
          <w:color w:val="000000"/>
          <w:kern w:val="24"/>
          <w:sz w:val="20"/>
          <w:szCs w:val="20"/>
          <w:lang w:val="en-US"/>
        </w:rPr>
        <w:t xml:space="preserve"> </w:t>
      </w:r>
      <w:r w:rsidR="007E6B4A" w:rsidRPr="00E60B69">
        <w:rPr>
          <w:bCs/>
          <w:color w:val="000000"/>
          <w:kern w:val="24"/>
          <w:sz w:val="20"/>
          <w:szCs w:val="20"/>
          <w:lang w:val="en-US"/>
        </w:rPr>
        <w:t xml:space="preserve">Abbreviations: </w:t>
      </w:r>
      <w:r w:rsidR="00DA7FD6" w:rsidRPr="00E60B69">
        <w:rPr>
          <w:color w:val="000000"/>
          <w:kern w:val="24"/>
          <w:sz w:val="20"/>
          <w:szCs w:val="20"/>
          <w:lang w:val="en-US"/>
        </w:rPr>
        <w:t>BE, base excess.</w:t>
      </w:r>
    </w:p>
    <w:p w14:paraId="0EC34A6B" w14:textId="77777777" w:rsidR="00497E87" w:rsidRPr="00E60B69" w:rsidRDefault="00497E87">
      <w:pPr>
        <w:kinsoku w:val="0"/>
        <w:overflowPunct w:val="0"/>
        <w:textAlignment w:val="baseline"/>
        <w:rPr>
          <w:color w:val="000000"/>
          <w:kern w:val="24"/>
          <w:lang w:val="en-US"/>
        </w:rPr>
      </w:pPr>
    </w:p>
    <w:tbl>
      <w:tblPr>
        <w:tblW w:w="5000" w:type="pct"/>
        <w:jc w:val="center"/>
        <w:tblCellMar>
          <w:left w:w="0" w:type="dxa"/>
          <w:right w:w="0" w:type="dxa"/>
        </w:tblCellMar>
        <w:tblLook w:val="0600" w:firstRow="0" w:lastRow="0" w:firstColumn="0" w:lastColumn="0" w:noHBand="1" w:noVBand="1"/>
      </w:tblPr>
      <w:tblGrid>
        <w:gridCol w:w="1802"/>
        <w:gridCol w:w="996"/>
        <w:gridCol w:w="974"/>
        <w:gridCol w:w="976"/>
        <w:gridCol w:w="974"/>
        <w:gridCol w:w="974"/>
        <w:gridCol w:w="974"/>
        <w:gridCol w:w="974"/>
        <w:gridCol w:w="978"/>
      </w:tblGrid>
      <w:tr w:rsidR="008F18C7" w:rsidRPr="00E60B69" w14:paraId="13CCF8F7" w14:textId="77777777" w:rsidTr="008F18C7">
        <w:trPr>
          <w:trHeight w:val="340"/>
          <w:jc w:val="center"/>
        </w:trPr>
        <w:tc>
          <w:tcPr>
            <w:tcW w:w="937" w:type="pct"/>
            <w:tcBorders>
              <w:top w:val="single" w:sz="4" w:space="0" w:color="FFFFFF"/>
              <w:left w:val="single" w:sz="4" w:space="0" w:color="FFFFFF"/>
              <w:bottom w:val="nil"/>
              <w:right w:val="single" w:sz="4" w:space="0" w:color="000000"/>
            </w:tcBorders>
            <w:tcMar>
              <w:top w:w="15" w:type="dxa"/>
              <w:left w:w="15" w:type="dxa"/>
              <w:bottom w:w="0" w:type="dxa"/>
              <w:right w:w="15" w:type="dxa"/>
            </w:tcMar>
            <w:vAlign w:val="center"/>
          </w:tcPr>
          <w:p w14:paraId="36C2FDE2" w14:textId="77777777" w:rsidR="008F18C7" w:rsidRPr="00E60B69" w:rsidRDefault="008F18C7" w:rsidP="00CB1B30">
            <w:pPr>
              <w:kinsoku w:val="0"/>
              <w:overflowPunct w:val="0"/>
              <w:spacing w:line="240" w:lineRule="auto"/>
              <w:jc w:val="center"/>
              <w:textAlignment w:val="baseline"/>
              <w:rPr>
                <w:b/>
                <w:bCs/>
                <w:color w:val="000000"/>
                <w:kern w:val="24"/>
                <w:sz w:val="22"/>
                <w:szCs w:val="22"/>
                <w:lang w:val="en-US"/>
              </w:rPr>
            </w:pPr>
          </w:p>
        </w:tc>
        <w:tc>
          <w:tcPr>
            <w:tcW w:w="1531" w:type="pct"/>
            <w:gridSpan w:val="3"/>
            <w:tcBorders>
              <w:top w:val="single" w:sz="4" w:space="0" w:color="000000"/>
              <w:left w:val="single" w:sz="4" w:space="0" w:color="000000"/>
              <w:bottom w:val="single" w:sz="4" w:space="0" w:color="000000"/>
              <w:right w:val="single" w:sz="4" w:space="0" w:color="000000"/>
            </w:tcBorders>
            <w:vAlign w:val="center"/>
          </w:tcPr>
          <w:p w14:paraId="71929360"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NMP4h</w:t>
            </w:r>
          </w:p>
        </w:tc>
        <w:tc>
          <w:tcPr>
            <w:tcW w:w="2532" w:type="pct"/>
            <w:gridSpan w:val="5"/>
            <w:tcBorders>
              <w:top w:val="single" w:sz="4" w:space="0" w:color="000000"/>
              <w:left w:val="single" w:sz="4" w:space="0" w:color="000000"/>
              <w:bottom w:val="single" w:sz="4" w:space="0" w:color="000000"/>
              <w:right w:val="single" w:sz="4" w:space="0" w:color="000000"/>
            </w:tcBorders>
            <w:vAlign w:val="center"/>
          </w:tcPr>
          <w:p w14:paraId="1F2CC6A2"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NMP12h</w:t>
            </w:r>
          </w:p>
        </w:tc>
      </w:tr>
      <w:tr w:rsidR="008F18C7" w:rsidRPr="00E60B69" w14:paraId="552D344E" w14:textId="77777777" w:rsidTr="008F18C7">
        <w:trPr>
          <w:trHeight w:val="340"/>
          <w:jc w:val="center"/>
        </w:trPr>
        <w:tc>
          <w:tcPr>
            <w:tcW w:w="937" w:type="pct"/>
            <w:tcBorders>
              <w:top w:val="nil"/>
              <w:left w:val="single" w:sz="4" w:space="0" w:color="FFFFFF"/>
              <w:bottom w:val="single" w:sz="4" w:space="0" w:color="000000"/>
              <w:right w:val="single" w:sz="4" w:space="0" w:color="000000"/>
            </w:tcBorders>
            <w:tcMar>
              <w:top w:w="15" w:type="dxa"/>
              <w:left w:w="15" w:type="dxa"/>
              <w:bottom w:w="0" w:type="dxa"/>
              <w:right w:w="15" w:type="dxa"/>
            </w:tcMar>
            <w:vAlign w:val="center"/>
          </w:tcPr>
          <w:p w14:paraId="3977D37A" w14:textId="77777777" w:rsidR="008F18C7" w:rsidRPr="00E60B69" w:rsidRDefault="008F18C7" w:rsidP="00CB1B30">
            <w:pPr>
              <w:kinsoku w:val="0"/>
              <w:overflowPunct w:val="0"/>
              <w:spacing w:line="240" w:lineRule="auto"/>
              <w:jc w:val="center"/>
              <w:textAlignment w:val="baseline"/>
              <w:rPr>
                <w:b/>
                <w:bCs/>
                <w:color w:val="000000"/>
                <w:kern w:val="24"/>
                <w:sz w:val="22"/>
                <w:szCs w:val="22"/>
              </w:rPr>
            </w:pP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F8CE8E"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Priming</w:t>
            </w:r>
            <w:proofErr w:type="spellEnd"/>
          </w:p>
        </w:tc>
        <w:tc>
          <w:tcPr>
            <w:tcW w:w="506" w:type="pct"/>
            <w:tcBorders>
              <w:top w:val="single" w:sz="4" w:space="0" w:color="000000"/>
              <w:left w:val="single" w:sz="4" w:space="0" w:color="000000"/>
              <w:bottom w:val="single" w:sz="4" w:space="0" w:color="000000"/>
              <w:right w:val="single" w:sz="4" w:space="0" w:color="000000"/>
            </w:tcBorders>
            <w:vAlign w:val="center"/>
          </w:tcPr>
          <w:p w14:paraId="1818F242"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 xml:space="preserve">4h </w:t>
            </w:r>
            <w:proofErr w:type="spellStart"/>
            <w:r w:rsidRPr="00E60B69">
              <w:rPr>
                <w:b/>
                <w:bCs/>
                <w:color w:val="000000"/>
                <w:kern w:val="24"/>
                <w:sz w:val="20"/>
                <w:szCs w:val="20"/>
              </w:rPr>
              <w:t>Pre</w:t>
            </w:r>
            <w:proofErr w:type="spellEnd"/>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0128B32"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4h Post</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3272C000"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Priming</w:t>
            </w:r>
            <w:proofErr w:type="spellEnd"/>
          </w:p>
        </w:tc>
        <w:tc>
          <w:tcPr>
            <w:tcW w:w="506" w:type="pct"/>
            <w:tcBorders>
              <w:top w:val="single" w:sz="4" w:space="0" w:color="000000"/>
              <w:left w:val="single" w:sz="4" w:space="0" w:color="000000"/>
              <w:bottom w:val="single" w:sz="4" w:space="0" w:color="000000"/>
              <w:right w:val="single" w:sz="4" w:space="0" w:color="000000"/>
            </w:tcBorders>
            <w:vAlign w:val="center"/>
          </w:tcPr>
          <w:p w14:paraId="773C9ABC"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 xml:space="preserve">4h </w:t>
            </w:r>
            <w:proofErr w:type="spellStart"/>
            <w:r w:rsidRPr="00E60B69">
              <w:rPr>
                <w:b/>
                <w:bCs/>
                <w:color w:val="000000"/>
                <w:kern w:val="24"/>
                <w:sz w:val="20"/>
                <w:szCs w:val="20"/>
              </w:rPr>
              <w:t>Pre</w:t>
            </w:r>
            <w:proofErr w:type="spellEnd"/>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B091D39"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4h Post</w:t>
            </w:r>
          </w:p>
        </w:tc>
        <w:tc>
          <w:tcPr>
            <w:tcW w:w="506" w:type="pct"/>
            <w:tcBorders>
              <w:top w:val="single" w:sz="4" w:space="0" w:color="000000"/>
              <w:left w:val="single" w:sz="4" w:space="0" w:color="000000"/>
              <w:bottom w:val="single" w:sz="4" w:space="0" w:color="000000"/>
              <w:right w:val="single" w:sz="4" w:space="0" w:color="000000"/>
            </w:tcBorders>
            <w:vAlign w:val="center"/>
          </w:tcPr>
          <w:p w14:paraId="57B30885"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 xml:space="preserve">12h </w:t>
            </w:r>
            <w:proofErr w:type="spellStart"/>
            <w:r w:rsidRPr="00E60B69">
              <w:rPr>
                <w:b/>
                <w:bCs/>
                <w:color w:val="000000"/>
                <w:kern w:val="24"/>
                <w:sz w:val="20"/>
                <w:szCs w:val="20"/>
              </w:rPr>
              <w:t>Pre</w:t>
            </w:r>
            <w:proofErr w:type="spellEnd"/>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0A5AB70D" w14:textId="77777777" w:rsidR="008F18C7" w:rsidRPr="00E60B69" w:rsidRDefault="008F18C7" w:rsidP="00CB1B30">
            <w:pPr>
              <w:kinsoku w:val="0"/>
              <w:overflowPunct w:val="0"/>
              <w:spacing w:line="240" w:lineRule="auto"/>
              <w:jc w:val="center"/>
              <w:textAlignment w:val="baseline"/>
              <w:rPr>
                <w:b/>
                <w:bCs/>
                <w:color w:val="000000"/>
                <w:kern w:val="24"/>
                <w:sz w:val="22"/>
                <w:szCs w:val="22"/>
              </w:rPr>
            </w:pPr>
            <w:r w:rsidRPr="00E60B69">
              <w:rPr>
                <w:b/>
                <w:bCs/>
                <w:color w:val="000000"/>
                <w:kern w:val="24"/>
                <w:sz w:val="22"/>
                <w:szCs w:val="22"/>
              </w:rPr>
              <w:t>12h Post</w:t>
            </w:r>
          </w:p>
        </w:tc>
      </w:tr>
      <w:tr w:rsidR="008F18C7" w:rsidRPr="00E60B69" w14:paraId="640421F7"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3C7239"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pH</w:t>
            </w:r>
            <w:proofErr w:type="spellEnd"/>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F6BF0A" w14:textId="294D25B6"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7.00±0.08</w:t>
            </w:r>
          </w:p>
        </w:tc>
        <w:tc>
          <w:tcPr>
            <w:tcW w:w="506" w:type="pct"/>
            <w:tcBorders>
              <w:top w:val="single" w:sz="4" w:space="0" w:color="000000"/>
              <w:left w:val="single" w:sz="4" w:space="0" w:color="000000"/>
              <w:bottom w:val="single" w:sz="4" w:space="0" w:color="000000"/>
              <w:right w:val="single" w:sz="4" w:space="0" w:color="000000"/>
            </w:tcBorders>
            <w:vAlign w:val="center"/>
          </w:tcPr>
          <w:p w14:paraId="4C0B9D4D" w14:textId="687E8CF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7.03±0.03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49E756D" w14:textId="65ED488D"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6.99±0.03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E0BCA5C" w14:textId="6F610B82"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7.02±0.04</w:t>
            </w:r>
          </w:p>
        </w:tc>
        <w:tc>
          <w:tcPr>
            <w:tcW w:w="506" w:type="pct"/>
            <w:tcBorders>
              <w:top w:val="single" w:sz="4" w:space="0" w:color="000000"/>
              <w:left w:val="single" w:sz="4" w:space="0" w:color="000000"/>
              <w:bottom w:val="single" w:sz="4" w:space="0" w:color="000000"/>
              <w:right w:val="single" w:sz="4" w:space="0" w:color="000000"/>
            </w:tcBorders>
            <w:vAlign w:val="center"/>
          </w:tcPr>
          <w:p w14:paraId="255F1DB1" w14:textId="12B69F94"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7.04±0.02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4D02C2ED" w14:textId="4CF00D89"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6.99±0.02</w:t>
            </w:r>
          </w:p>
        </w:tc>
        <w:tc>
          <w:tcPr>
            <w:tcW w:w="506" w:type="pct"/>
            <w:tcBorders>
              <w:top w:val="single" w:sz="4" w:space="0" w:color="000000"/>
              <w:left w:val="single" w:sz="4" w:space="0" w:color="000000"/>
              <w:bottom w:val="single" w:sz="4" w:space="0" w:color="000000"/>
              <w:right w:val="single" w:sz="4" w:space="0" w:color="000000"/>
            </w:tcBorders>
            <w:vAlign w:val="center"/>
          </w:tcPr>
          <w:p w14:paraId="7DFCDDB4" w14:textId="40E2EE2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7.05±0.04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8D239E6" w14:textId="49B891C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7.03±0.05</w:t>
            </w:r>
          </w:p>
        </w:tc>
      </w:tr>
      <w:tr w:rsidR="008F18C7" w:rsidRPr="00E60B69" w14:paraId="7EB6759D"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97F2C6"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pCO</w:t>
            </w:r>
            <w:r w:rsidRPr="00E60B69">
              <w:rPr>
                <w:b/>
                <w:bCs/>
                <w:color w:val="000000"/>
                <w:kern w:val="24"/>
                <w:sz w:val="20"/>
                <w:szCs w:val="20"/>
                <w:vertAlign w:val="subscript"/>
              </w:rPr>
              <w:t>2</w:t>
            </w:r>
            <w:r w:rsidRPr="00E60B69">
              <w:rPr>
                <w:b/>
                <w:bCs/>
                <w:color w:val="000000"/>
                <w:kern w:val="24"/>
                <w:sz w:val="20"/>
                <w:szCs w:val="20"/>
              </w:rPr>
              <w:t xml:space="preserve">, </w:t>
            </w:r>
            <w:proofErr w:type="spellStart"/>
            <w:r w:rsidRPr="00E60B69">
              <w:rPr>
                <w:b/>
                <w:bCs/>
                <w:color w:val="000000"/>
                <w:kern w:val="24"/>
                <w:sz w:val="20"/>
                <w:szCs w:val="20"/>
              </w:rPr>
              <w:t>mmHg</w:t>
            </w:r>
            <w:proofErr w:type="spellEnd"/>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495AF1" w14:textId="0D9C162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39±11</w:t>
            </w:r>
          </w:p>
        </w:tc>
        <w:tc>
          <w:tcPr>
            <w:tcW w:w="506" w:type="pct"/>
            <w:tcBorders>
              <w:top w:val="single" w:sz="4" w:space="0" w:color="000000"/>
              <w:left w:val="single" w:sz="4" w:space="0" w:color="000000"/>
              <w:bottom w:val="single" w:sz="4" w:space="0" w:color="000000"/>
              <w:right w:val="single" w:sz="4" w:space="0" w:color="000000"/>
            </w:tcBorders>
            <w:vAlign w:val="center"/>
          </w:tcPr>
          <w:p w14:paraId="2E328E31" w14:textId="1FDDD5C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38±2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485C1F1" w14:textId="05DAFF47"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46±2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A6E3A13" w14:textId="70F62324"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38±5</w:t>
            </w:r>
          </w:p>
        </w:tc>
        <w:tc>
          <w:tcPr>
            <w:tcW w:w="506" w:type="pct"/>
            <w:tcBorders>
              <w:top w:val="single" w:sz="4" w:space="0" w:color="000000"/>
              <w:left w:val="single" w:sz="4" w:space="0" w:color="000000"/>
              <w:bottom w:val="single" w:sz="4" w:space="0" w:color="000000"/>
              <w:right w:val="single" w:sz="4" w:space="0" w:color="000000"/>
            </w:tcBorders>
            <w:vAlign w:val="center"/>
          </w:tcPr>
          <w:p w14:paraId="71B6F0F2" w14:textId="31B1A9C5"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40±2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2467279" w14:textId="069055F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47±2</w:t>
            </w:r>
          </w:p>
        </w:tc>
        <w:tc>
          <w:tcPr>
            <w:tcW w:w="506" w:type="pct"/>
            <w:tcBorders>
              <w:top w:val="single" w:sz="4" w:space="0" w:color="000000"/>
              <w:left w:val="single" w:sz="4" w:space="0" w:color="000000"/>
              <w:bottom w:val="single" w:sz="4" w:space="0" w:color="000000"/>
              <w:right w:val="single" w:sz="4" w:space="0" w:color="000000"/>
            </w:tcBorders>
            <w:vAlign w:val="center"/>
          </w:tcPr>
          <w:p w14:paraId="33A2377E" w14:textId="0430181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39±1</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137A4B4" w14:textId="691C9577"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44±2</w:t>
            </w:r>
          </w:p>
        </w:tc>
      </w:tr>
      <w:tr w:rsidR="008F18C7" w:rsidRPr="00E60B69" w14:paraId="1434167E"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CAFB5A"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pO</w:t>
            </w:r>
            <w:r w:rsidRPr="00E60B69">
              <w:rPr>
                <w:b/>
                <w:bCs/>
                <w:color w:val="000000"/>
                <w:kern w:val="24"/>
                <w:sz w:val="20"/>
                <w:szCs w:val="20"/>
                <w:vertAlign w:val="subscript"/>
              </w:rPr>
              <w:t>2</w:t>
            </w:r>
            <w:r w:rsidRPr="00E60B69">
              <w:rPr>
                <w:b/>
                <w:bCs/>
                <w:color w:val="000000"/>
                <w:kern w:val="24"/>
                <w:sz w:val="20"/>
                <w:szCs w:val="20"/>
              </w:rPr>
              <w:t xml:space="preserve">, </w:t>
            </w:r>
            <w:proofErr w:type="spellStart"/>
            <w:r w:rsidRPr="00E60B69">
              <w:rPr>
                <w:b/>
                <w:bCs/>
                <w:color w:val="000000"/>
                <w:kern w:val="24"/>
                <w:sz w:val="20"/>
                <w:szCs w:val="20"/>
              </w:rPr>
              <w:t>mmHg</w:t>
            </w:r>
            <w:proofErr w:type="spellEnd"/>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197426" w14:textId="50A0E8B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377±64</w:t>
            </w:r>
          </w:p>
        </w:tc>
        <w:tc>
          <w:tcPr>
            <w:tcW w:w="506" w:type="pct"/>
            <w:tcBorders>
              <w:top w:val="single" w:sz="4" w:space="0" w:color="000000"/>
              <w:left w:val="single" w:sz="4" w:space="0" w:color="000000"/>
              <w:bottom w:val="single" w:sz="4" w:space="0" w:color="000000"/>
              <w:right w:val="single" w:sz="4" w:space="0" w:color="000000"/>
            </w:tcBorders>
            <w:vAlign w:val="center"/>
          </w:tcPr>
          <w:p w14:paraId="1189C873" w14:textId="10333E00"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293±25</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DDB93CE" w14:textId="22F9105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53±9</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BC2303D" w14:textId="149FEB0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386±21</w:t>
            </w:r>
          </w:p>
        </w:tc>
        <w:tc>
          <w:tcPr>
            <w:tcW w:w="506" w:type="pct"/>
            <w:tcBorders>
              <w:top w:val="single" w:sz="4" w:space="0" w:color="000000"/>
              <w:left w:val="single" w:sz="4" w:space="0" w:color="000000"/>
              <w:bottom w:val="single" w:sz="4" w:space="0" w:color="000000"/>
              <w:right w:val="single" w:sz="4" w:space="0" w:color="000000"/>
            </w:tcBorders>
            <w:vAlign w:val="center"/>
          </w:tcPr>
          <w:p w14:paraId="03C144F1" w14:textId="26E4B3C7"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261±23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287E8E8B" w14:textId="3C6AA13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39±12</w:t>
            </w:r>
          </w:p>
        </w:tc>
        <w:tc>
          <w:tcPr>
            <w:tcW w:w="506" w:type="pct"/>
            <w:tcBorders>
              <w:top w:val="single" w:sz="4" w:space="0" w:color="000000"/>
              <w:left w:val="single" w:sz="4" w:space="0" w:color="000000"/>
              <w:bottom w:val="single" w:sz="4" w:space="0" w:color="000000"/>
              <w:right w:val="single" w:sz="4" w:space="0" w:color="000000"/>
            </w:tcBorders>
            <w:vAlign w:val="center"/>
          </w:tcPr>
          <w:p w14:paraId="1A2F3ECB" w14:textId="34FB21E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259±14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2188B27C" w14:textId="3E39182D"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58±10</w:t>
            </w:r>
          </w:p>
        </w:tc>
      </w:tr>
      <w:tr w:rsidR="008F18C7" w:rsidRPr="00E60B69" w14:paraId="3EFDE43F"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4F9247"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Hb</w:t>
            </w:r>
            <w:proofErr w:type="spellEnd"/>
            <w:r w:rsidRPr="00E60B69">
              <w:rPr>
                <w:b/>
                <w:bCs/>
                <w:color w:val="000000"/>
                <w:kern w:val="24"/>
                <w:sz w:val="20"/>
                <w:szCs w:val="20"/>
              </w:rPr>
              <w:t>, g/</w:t>
            </w:r>
            <w:proofErr w:type="spellStart"/>
            <w:r w:rsidRPr="00E60B69">
              <w:rPr>
                <w:b/>
                <w:bCs/>
                <w:color w:val="000000"/>
                <w:kern w:val="24"/>
                <w:sz w:val="20"/>
                <w:szCs w:val="20"/>
              </w:rPr>
              <w:t>dL</w:t>
            </w:r>
            <w:proofErr w:type="spellEnd"/>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AB719A" w14:textId="43C3EDCF"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5.2±0.1</w:t>
            </w:r>
          </w:p>
        </w:tc>
        <w:tc>
          <w:tcPr>
            <w:tcW w:w="506" w:type="pct"/>
            <w:tcBorders>
              <w:top w:val="single" w:sz="4" w:space="0" w:color="000000"/>
              <w:left w:val="single" w:sz="4" w:space="0" w:color="000000"/>
              <w:bottom w:val="single" w:sz="4" w:space="0" w:color="000000"/>
              <w:right w:val="single" w:sz="4" w:space="0" w:color="000000"/>
            </w:tcBorders>
            <w:vAlign w:val="center"/>
          </w:tcPr>
          <w:p w14:paraId="2C32098C" w14:textId="288224D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5.5±0.1</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6A50938" w14:textId="7A57289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5.5±0.1</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45F5626" w14:textId="122D435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5.2±0.2</w:t>
            </w:r>
          </w:p>
        </w:tc>
        <w:tc>
          <w:tcPr>
            <w:tcW w:w="506" w:type="pct"/>
            <w:tcBorders>
              <w:top w:val="single" w:sz="4" w:space="0" w:color="000000"/>
              <w:left w:val="single" w:sz="4" w:space="0" w:color="000000"/>
              <w:bottom w:val="single" w:sz="4" w:space="0" w:color="000000"/>
              <w:right w:val="single" w:sz="4" w:space="0" w:color="000000"/>
            </w:tcBorders>
            <w:vAlign w:val="center"/>
          </w:tcPr>
          <w:p w14:paraId="6878E178" w14:textId="79126F4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5.5±0.1</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006EA77E" w14:textId="4DEBFF0D"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5.5±0.1</w:t>
            </w:r>
          </w:p>
        </w:tc>
        <w:tc>
          <w:tcPr>
            <w:tcW w:w="506" w:type="pct"/>
            <w:tcBorders>
              <w:top w:val="single" w:sz="4" w:space="0" w:color="000000"/>
              <w:left w:val="single" w:sz="4" w:space="0" w:color="000000"/>
              <w:bottom w:val="single" w:sz="4" w:space="0" w:color="000000"/>
              <w:right w:val="single" w:sz="4" w:space="0" w:color="000000"/>
            </w:tcBorders>
            <w:vAlign w:val="center"/>
          </w:tcPr>
          <w:p w14:paraId="301C39A8" w14:textId="4FEDAFB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5.6±0.1</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45DCB44E" w14:textId="5556B9F7"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5.6±0.1</w:t>
            </w:r>
          </w:p>
        </w:tc>
      </w:tr>
      <w:tr w:rsidR="008F18C7" w:rsidRPr="00E60B69" w14:paraId="17E203A7"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2A2732"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Met-Oxyglobin</w:t>
            </w:r>
            <w:proofErr w:type="spellEnd"/>
            <w:r w:rsidRPr="00E60B69">
              <w:rPr>
                <w:b/>
                <w:bCs/>
                <w:color w:val="000000"/>
                <w:kern w:val="24"/>
                <w:sz w:val="20"/>
                <w:szCs w:val="20"/>
              </w:rPr>
              <w:t>, %</w:t>
            </w: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52E68A1" w14:textId="731EACAC"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14±6</w:t>
            </w:r>
          </w:p>
        </w:tc>
        <w:tc>
          <w:tcPr>
            <w:tcW w:w="506" w:type="pct"/>
            <w:tcBorders>
              <w:top w:val="single" w:sz="4" w:space="0" w:color="000000"/>
              <w:left w:val="single" w:sz="4" w:space="0" w:color="000000"/>
              <w:bottom w:val="single" w:sz="4" w:space="0" w:color="000000"/>
              <w:right w:val="single" w:sz="4" w:space="0" w:color="000000"/>
            </w:tcBorders>
            <w:vAlign w:val="center"/>
          </w:tcPr>
          <w:p w14:paraId="2070BC8F" w14:textId="13CF416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29±3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FFE8C26" w14:textId="43ABB0BC"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28±3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03534B40" w14:textId="425B313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15±3</w:t>
            </w:r>
          </w:p>
        </w:tc>
        <w:tc>
          <w:tcPr>
            <w:tcW w:w="506" w:type="pct"/>
            <w:tcBorders>
              <w:top w:val="single" w:sz="4" w:space="0" w:color="000000"/>
              <w:left w:val="single" w:sz="4" w:space="0" w:color="000000"/>
              <w:bottom w:val="single" w:sz="4" w:space="0" w:color="000000"/>
              <w:right w:val="single" w:sz="4" w:space="0" w:color="000000"/>
            </w:tcBorders>
            <w:vAlign w:val="center"/>
          </w:tcPr>
          <w:p w14:paraId="2D7A87A1" w14:textId="280A7DD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31±4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0B1F9DD" w14:textId="039CC77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30±4</w:t>
            </w:r>
          </w:p>
        </w:tc>
        <w:tc>
          <w:tcPr>
            <w:tcW w:w="506" w:type="pct"/>
            <w:tcBorders>
              <w:top w:val="single" w:sz="4" w:space="0" w:color="000000"/>
              <w:left w:val="single" w:sz="4" w:space="0" w:color="000000"/>
              <w:bottom w:val="single" w:sz="4" w:space="0" w:color="000000"/>
              <w:right w:val="single" w:sz="4" w:space="0" w:color="000000"/>
            </w:tcBorders>
            <w:vAlign w:val="center"/>
          </w:tcPr>
          <w:p w14:paraId="56CB83FA" w14:textId="11D34EF9"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35±4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892EEDA" w14:textId="1A23B94F"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34±4</w:t>
            </w:r>
          </w:p>
        </w:tc>
      </w:tr>
      <w:tr w:rsidR="008F18C7" w:rsidRPr="00E60B69" w14:paraId="3D1A888A"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B2EB11"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K</w:t>
            </w:r>
            <w:r w:rsidRPr="00E60B69">
              <w:rPr>
                <w:b/>
                <w:bCs/>
                <w:color w:val="000000"/>
                <w:kern w:val="24"/>
                <w:sz w:val="20"/>
                <w:szCs w:val="20"/>
                <w:vertAlign w:val="superscript"/>
              </w:rPr>
              <w:t>+</w:t>
            </w:r>
            <w:r w:rsidRPr="00E60B69">
              <w:rPr>
                <w:b/>
                <w:bCs/>
                <w:color w:val="000000"/>
                <w:kern w:val="24"/>
                <w:sz w:val="20"/>
                <w:szCs w:val="20"/>
              </w:rPr>
              <w:t xml:space="preserve">, </w:t>
            </w:r>
            <w:proofErr w:type="spellStart"/>
            <w:r w:rsidRPr="00E60B69">
              <w:rPr>
                <w:b/>
                <w:bCs/>
                <w:color w:val="000000"/>
                <w:kern w:val="24"/>
                <w:sz w:val="20"/>
                <w:szCs w:val="20"/>
              </w:rPr>
              <w:t>mEq</w:t>
            </w:r>
            <w:proofErr w:type="spellEnd"/>
            <w:r w:rsidRPr="00E60B69">
              <w:rPr>
                <w:b/>
                <w:bCs/>
                <w:color w:val="000000"/>
                <w:kern w:val="24"/>
                <w:sz w:val="20"/>
                <w:szCs w:val="20"/>
              </w:rPr>
              <w:t>/L</w:t>
            </w: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F0DD5D" w14:textId="06EF526F"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 6±0.1</w:t>
            </w:r>
          </w:p>
        </w:tc>
        <w:tc>
          <w:tcPr>
            <w:tcW w:w="506" w:type="pct"/>
            <w:tcBorders>
              <w:top w:val="single" w:sz="4" w:space="0" w:color="000000"/>
              <w:left w:val="single" w:sz="4" w:space="0" w:color="000000"/>
              <w:bottom w:val="single" w:sz="4" w:space="0" w:color="000000"/>
              <w:right w:val="single" w:sz="4" w:space="0" w:color="000000"/>
            </w:tcBorders>
            <w:vAlign w:val="center"/>
          </w:tcPr>
          <w:p w14:paraId="29693219" w14:textId="1E6A1294"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4.4±0.2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43B39F8E" w14:textId="4599DA16"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4.5±0.2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CFCE672" w14:textId="3A14F7B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3.4±0.1</w:t>
            </w:r>
          </w:p>
        </w:tc>
        <w:tc>
          <w:tcPr>
            <w:tcW w:w="506" w:type="pct"/>
            <w:tcBorders>
              <w:top w:val="single" w:sz="4" w:space="0" w:color="000000"/>
              <w:left w:val="single" w:sz="4" w:space="0" w:color="000000"/>
              <w:bottom w:val="single" w:sz="4" w:space="0" w:color="000000"/>
              <w:right w:val="single" w:sz="4" w:space="0" w:color="000000"/>
            </w:tcBorders>
            <w:vAlign w:val="center"/>
          </w:tcPr>
          <w:p w14:paraId="6D2197C6" w14:textId="5772AD7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4.2±0.3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3CC88A81" w14:textId="55E107CE"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4.2±0.2</w:t>
            </w:r>
          </w:p>
        </w:tc>
        <w:tc>
          <w:tcPr>
            <w:tcW w:w="506" w:type="pct"/>
            <w:tcBorders>
              <w:top w:val="single" w:sz="4" w:space="0" w:color="000000"/>
              <w:left w:val="single" w:sz="4" w:space="0" w:color="000000"/>
              <w:bottom w:val="single" w:sz="4" w:space="0" w:color="000000"/>
              <w:right w:val="single" w:sz="4" w:space="0" w:color="000000"/>
            </w:tcBorders>
            <w:vAlign w:val="center"/>
          </w:tcPr>
          <w:p w14:paraId="74764F33" w14:textId="4270FBA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4.8±0.2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9C95DA5" w14:textId="730C5E8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4.8±2</w:t>
            </w:r>
          </w:p>
        </w:tc>
      </w:tr>
      <w:tr w:rsidR="008F18C7" w:rsidRPr="00E60B69" w14:paraId="5C5FE35C"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F4EAE1"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Na</w:t>
            </w:r>
            <w:r w:rsidRPr="00E60B69">
              <w:rPr>
                <w:b/>
                <w:bCs/>
                <w:color w:val="000000"/>
                <w:kern w:val="24"/>
                <w:sz w:val="20"/>
                <w:szCs w:val="20"/>
                <w:vertAlign w:val="superscript"/>
              </w:rPr>
              <w:t>+</w:t>
            </w:r>
            <w:r w:rsidRPr="00E60B69">
              <w:rPr>
                <w:b/>
                <w:bCs/>
                <w:color w:val="000000"/>
                <w:kern w:val="24"/>
                <w:sz w:val="20"/>
                <w:szCs w:val="20"/>
              </w:rPr>
              <w:t xml:space="preserve">, </w:t>
            </w:r>
            <w:proofErr w:type="spellStart"/>
            <w:r w:rsidRPr="00E60B69">
              <w:rPr>
                <w:b/>
                <w:bCs/>
                <w:color w:val="000000"/>
                <w:kern w:val="24"/>
                <w:sz w:val="20"/>
                <w:szCs w:val="20"/>
              </w:rPr>
              <w:t>mEq</w:t>
            </w:r>
            <w:proofErr w:type="spellEnd"/>
            <w:r w:rsidRPr="00E60B69">
              <w:rPr>
                <w:b/>
                <w:bCs/>
                <w:color w:val="000000"/>
                <w:kern w:val="24"/>
                <w:sz w:val="20"/>
                <w:szCs w:val="20"/>
              </w:rPr>
              <w:t>/L</w:t>
            </w: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E37DEC" w14:textId="7E98ED86"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149±2</w:t>
            </w:r>
          </w:p>
        </w:tc>
        <w:tc>
          <w:tcPr>
            <w:tcW w:w="506" w:type="pct"/>
            <w:tcBorders>
              <w:top w:val="single" w:sz="4" w:space="0" w:color="000000"/>
              <w:left w:val="single" w:sz="4" w:space="0" w:color="000000"/>
              <w:bottom w:val="single" w:sz="4" w:space="0" w:color="000000"/>
              <w:right w:val="single" w:sz="4" w:space="0" w:color="000000"/>
            </w:tcBorders>
            <w:vAlign w:val="center"/>
          </w:tcPr>
          <w:p w14:paraId="6D62ABCF" w14:textId="7FF6A04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160±2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D6625BF" w14:textId="4023828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161±2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2C312D6" w14:textId="74FF6C7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146±3</w:t>
            </w:r>
          </w:p>
        </w:tc>
        <w:tc>
          <w:tcPr>
            <w:tcW w:w="506" w:type="pct"/>
            <w:tcBorders>
              <w:top w:val="single" w:sz="4" w:space="0" w:color="000000"/>
              <w:left w:val="single" w:sz="4" w:space="0" w:color="000000"/>
              <w:bottom w:val="single" w:sz="4" w:space="0" w:color="000000"/>
              <w:right w:val="single" w:sz="4" w:space="0" w:color="000000"/>
            </w:tcBorders>
            <w:vAlign w:val="center"/>
          </w:tcPr>
          <w:p w14:paraId="20B67EBA" w14:textId="1FC31FD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158±4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4285707" w14:textId="49FBBBC9"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159±4</w:t>
            </w:r>
          </w:p>
        </w:tc>
        <w:tc>
          <w:tcPr>
            <w:tcW w:w="506" w:type="pct"/>
            <w:tcBorders>
              <w:top w:val="single" w:sz="4" w:space="0" w:color="000000"/>
              <w:left w:val="single" w:sz="4" w:space="0" w:color="000000"/>
              <w:bottom w:val="single" w:sz="4" w:space="0" w:color="000000"/>
              <w:right w:val="single" w:sz="4" w:space="0" w:color="000000"/>
            </w:tcBorders>
            <w:vAlign w:val="center"/>
          </w:tcPr>
          <w:p w14:paraId="6A9F5685" w14:textId="4E3DA0E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158±5</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DC7283F" w14:textId="3332DFA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160±5</w:t>
            </w:r>
          </w:p>
        </w:tc>
      </w:tr>
      <w:tr w:rsidR="008F18C7" w:rsidRPr="00E60B69" w14:paraId="726B1A55"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A21E9B"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Glucose</w:t>
            </w:r>
            <w:proofErr w:type="spellEnd"/>
            <w:r w:rsidRPr="00E60B69">
              <w:rPr>
                <w:b/>
                <w:bCs/>
                <w:color w:val="000000"/>
                <w:kern w:val="24"/>
                <w:sz w:val="20"/>
                <w:szCs w:val="20"/>
              </w:rPr>
              <w:t>, mg/</w:t>
            </w:r>
            <w:proofErr w:type="spellStart"/>
            <w:r w:rsidRPr="00E60B69">
              <w:rPr>
                <w:b/>
                <w:bCs/>
                <w:color w:val="000000"/>
                <w:kern w:val="24"/>
                <w:sz w:val="20"/>
                <w:szCs w:val="20"/>
              </w:rPr>
              <w:t>dL</w:t>
            </w:r>
            <w:proofErr w:type="spellEnd"/>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7D0683" w14:textId="1F00579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73±5</w:t>
            </w:r>
          </w:p>
        </w:tc>
        <w:tc>
          <w:tcPr>
            <w:tcW w:w="506" w:type="pct"/>
            <w:tcBorders>
              <w:top w:val="single" w:sz="4" w:space="0" w:color="000000"/>
              <w:left w:val="single" w:sz="4" w:space="0" w:color="000000"/>
              <w:bottom w:val="single" w:sz="4" w:space="0" w:color="000000"/>
              <w:right w:val="single" w:sz="4" w:space="0" w:color="000000"/>
            </w:tcBorders>
            <w:vAlign w:val="center"/>
          </w:tcPr>
          <w:p w14:paraId="326FA024" w14:textId="1689EAC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264±31</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F5F42AA" w14:textId="4C8329CE"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262±32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048D7FCE" w14:textId="761A4D35"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74±4</w:t>
            </w:r>
          </w:p>
        </w:tc>
        <w:tc>
          <w:tcPr>
            <w:tcW w:w="506" w:type="pct"/>
            <w:tcBorders>
              <w:top w:val="single" w:sz="4" w:space="0" w:color="000000"/>
              <w:left w:val="single" w:sz="4" w:space="0" w:color="000000"/>
              <w:bottom w:val="single" w:sz="4" w:space="0" w:color="000000"/>
              <w:right w:val="single" w:sz="4" w:space="0" w:color="000000"/>
            </w:tcBorders>
            <w:vAlign w:val="center"/>
          </w:tcPr>
          <w:p w14:paraId="436CA1AE" w14:textId="245BAF22"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261±43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3983719E" w14:textId="66DCE42C"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261±38</w:t>
            </w:r>
          </w:p>
        </w:tc>
        <w:tc>
          <w:tcPr>
            <w:tcW w:w="506" w:type="pct"/>
            <w:tcBorders>
              <w:top w:val="single" w:sz="4" w:space="0" w:color="000000"/>
              <w:left w:val="single" w:sz="4" w:space="0" w:color="000000"/>
              <w:bottom w:val="single" w:sz="4" w:space="0" w:color="000000"/>
              <w:right w:val="single" w:sz="4" w:space="0" w:color="000000"/>
            </w:tcBorders>
            <w:vAlign w:val="center"/>
          </w:tcPr>
          <w:p w14:paraId="02AA9956" w14:textId="480A7E3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148±22</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5C93109" w14:textId="6C9DF596"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149±21</w:t>
            </w:r>
          </w:p>
        </w:tc>
      </w:tr>
      <w:tr w:rsidR="008F18C7" w:rsidRPr="00E60B69" w14:paraId="24B4066D"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1DE2D96"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proofErr w:type="spellStart"/>
            <w:r w:rsidRPr="00E60B69">
              <w:rPr>
                <w:b/>
                <w:bCs/>
                <w:color w:val="000000"/>
                <w:kern w:val="24"/>
                <w:sz w:val="20"/>
                <w:szCs w:val="20"/>
              </w:rPr>
              <w:t>Lactate</w:t>
            </w:r>
            <w:proofErr w:type="spellEnd"/>
            <w:r w:rsidRPr="00E60B69">
              <w:rPr>
                <w:b/>
                <w:bCs/>
                <w:color w:val="000000"/>
                <w:kern w:val="24"/>
                <w:sz w:val="20"/>
                <w:szCs w:val="20"/>
              </w:rPr>
              <w:t xml:space="preserve">, </w:t>
            </w:r>
            <w:proofErr w:type="spellStart"/>
            <w:r w:rsidRPr="00E60B69">
              <w:rPr>
                <w:b/>
                <w:bCs/>
                <w:color w:val="000000"/>
                <w:kern w:val="24"/>
                <w:sz w:val="20"/>
                <w:szCs w:val="20"/>
              </w:rPr>
              <w:t>mmol</w:t>
            </w:r>
            <w:proofErr w:type="spellEnd"/>
            <w:r w:rsidRPr="00E60B69">
              <w:rPr>
                <w:b/>
                <w:bCs/>
                <w:color w:val="000000"/>
                <w:kern w:val="24"/>
                <w:sz w:val="20"/>
                <w:szCs w:val="20"/>
              </w:rPr>
              <w:t>/L</w:t>
            </w: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878CF7" w14:textId="68C5D32C"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3.9±0.7</w:t>
            </w:r>
          </w:p>
        </w:tc>
        <w:tc>
          <w:tcPr>
            <w:tcW w:w="506" w:type="pct"/>
            <w:tcBorders>
              <w:top w:val="single" w:sz="4" w:space="0" w:color="000000"/>
              <w:left w:val="single" w:sz="4" w:space="0" w:color="000000"/>
              <w:bottom w:val="single" w:sz="4" w:space="0" w:color="000000"/>
              <w:right w:val="single" w:sz="4" w:space="0" w:color="000000"/>
            </w:tcBorders>
            <w:vAlign w:val="center"/>
          </w:tcPr>
          <w:p w14:paraId="52379F6B" w14:textId="1432BBC4"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2.5±0.8</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3AEBB4D9" w14:textId="0E35B3E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2.5±0.8</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F85AEA9" w14:textId="74E0C9A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3.8±0.2</w:t>
            </w:r>
          </w:p>
        </w:tc>
        <w:tc>
          <w:tcPr>
            <w:tcW w:w="506" w:type="pct"/>
            <w:tcBorders>
              <w:top w:val="single" w:sz="4" w:space="0" w:color="000000"/>
              <w:left w:val="single" w:sz="4" w:space="0" w:color="000000"/>
              <w:bottom w:val="single" w:sz="4" w:space="0" w:color="000000"/>
              <w:right w:val="single" w:sz="4" w:space="0" w:color="000000"/>
            </w:tcBorders>
            <w:vAlign w:val="center"/>
          </w:tcPr>
          <w:p w14:paraId="468A94B0" w14:textId="32EC2578"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2.4±0.4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4D76F130" w14:textId="7389C5F2"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2.4±0.4</w:t>
            </w:r>
          </w:p>
        </w:tc>
        <w:tc>
          <w:tcPr>
            <w:tcW w:w="506" w:type="pct"/>
            <w:tcBorders>
              <w:top w:val="single" w:sz="4" w:space="0" w:color="000000"/>
              <w:left w:val="single" w:sz="4" w:space="0" w:color="000000"/>
              <w:bottom w:val="single" w:sz="4" w:space="0" w:color="000000"/>
              <w:right w:val="single" w:sz="4" w:space="0" w:color="000000"/>
            </w:tcBorders>
            <w:vAlign w:val="center"/>
          </w:tcPr>
          <w:p w14:paraId="670FA2B1" w14:textId="33D13B7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1.1±0.4</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5DE13B7D" w14:textId="3D706FA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1.1±0.4</w:t>
            </w:r>
          </w:p>
        </w:tc>
      </w:tr>
      <w:tr w:rsidR="008F18C7" w:rsidRPr="00E60B69" w14:paraId="7C679E6A"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67392C"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BE</w:t>
            </w: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0921F3" w14:textId="3C2E242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-20±0.2</w:t>
            </w:r>
          </w:p>
        </w:tc>
        <w:tc>
          <w:tcPr>
            <w:tcW w:w="506" w:type="pct"/>
            <w:tcBorders>
              <w:top w:val="single" w:sz="4" w:space="0" w:color="000000"/>
              <w:left w:val="single" w:sz="4" w:space="0" w:color="000000"/>
              <w:bottom w:val="single" w:sz="4" w:space="0" w:color="000000"/>
              <w:right w:val="single" w:sz="4" w:space="0" w:color="000000"/>
            </w:tcBorders>
            <w:vAlign w:val="center"/>
          </w:tcPr>
          <w:p w14:paraId="116866BC" w14:textId="4096A512"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-18.8±1.0</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D39ECB9" w14:textId="446BA8E6"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-18.5±0.8</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623B5869" w14:textId="0B37DC82"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-19.7±0.5</w:t>
            </w:r>
          </w:p>
        </w:tc>
        <w:tc>
          <w:tcPr>
            <w:tcW w:w="506" w:type="pct"/>
            <w:tcBorders>
              <w:top w:val="single" w:sz="4" w:space="0" w:color="000000"/>
              <w:left w:val="single" w:sz="4" w:space="0" w:color="000000"/>
              <w:bottom w:val="single" w:sz="4" w:space="0" w:color="000000"/>
              <w:right w:val="single" w:sz="4" w:space="0" w:color="000000"/>
            </w:tcBorders>
            <w:vAlign w:val="center"/>
          </w:tcPr>
          <w:p w14:paraId="19BBA0DE" w14:textId="6C53444D"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-18.4±0.8</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4E172DA1" w14:textId="5A199593"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-18.2±0.6</w:t>
            </w:r>
          </w:p>
        </w:tc>
        <w:tc>
          <w:tcPr>
            <w:tcW w:w="506" w:type="pct"/>
            <w:tcBorders>
              <w:top w:val="single" w:sz="4" w:space="0" w:color="000000"/>
              <w:left w:val="single" w:sz="4" w:space="0" w:color="000000"/>
              <w:bottom w:val="single" w:sz="4" w:space="0" w:color="000000"/>
              <w:right w:val="single" w:sz="4" w:space="0" w:color="000000"/>
            </w:tcBorders>
            <w:vAlign w:val="center"/>
          </w:tcPr>
          <w:p w14:paraId="6A3E502E" w14:textId="7480452E"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-18.0±1.3</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7396D49E" w14:textId="07BE73A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-17.7±1.6</w:t>
            </w:r>
          </w:p>
        </w:tc>
      </w:tr>
      <w:tr w:rsidR="008F18C7" w:rsidRPr="00E60B69" w14:paraId="55F247FB" w14:textId="77777777" w:rsidTr="008F18C7">
        <w:trPr>
          <w:trHeight w:val="340"/>
          <w:jc w:val="center"/>
        </w:trPr>
        <w:tc>
          <w:tcPr>
            <w:tcW w:w="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3553CD" w14:textId="77777777" w:rsidR="008F18C7" w:rsidRPr="00E60B69" w:rsidRDefault="008F18C7" w:rsidP="00CB1B30">
            <w:pPr>
              <w:kinsoku w:val="0"/>
              <w:overflowPunct w:val="0"/>
              <w:spacing w:line="240" w:lineRule="auto"/>
              <w:jc w:val="center"/>
              <w:textAlignment w:val="baseline"/>
              <w:rPr>
                <w:b/>
                <w:bCs/>
                <w:color w:val="000000"/>
                <w:kern w:val="24"/>
                <w:sz w:val="20"/>
                <w:szCs w:val="20"/>
              </w:rPr>
            </w:pPr>
            <w:r w:rsidRPr="00E60B69">
              <w:rPr>
                <w:b/>
                <w:bCs/>
                <w:color w:val="000000"/>
                <w:kern w:val="24"/>
                <w:sz w:val="20"/>
                <w:szCs w:val="20"/>
              </w:rPr>
              <w:t>HCO</w:t>
            </w:r>
            <w:r w:rsidRPr="00E60B69">
              <w:rPr>
                <w:b/>
                <w:bCs/>
                <w:color w:val="000000"/>
                <w:kern w:val="24"/>
                <w:sz w:val="20"/>
                <w:szCs w:val="20"/>
                <w:vertAlign w:val="subscript"/>
              </w:rPr>
              <w:t xml:space="preserve">3 </w:t>
            </w:r>
            <w:r w:rsidRPr="00E60B69">
              <w:rPr>
                <w:b/>
                <w:bCs/>
                <w:color w:val="000000"/>
                <w:kern w:val="24"/>
                <w:sz w:val="20"/>
                <w:szCs w:val="20"/>
                <w:vertAlign w:val="superscript"/>
              </w:rPr>
              <w:t>-</w:t>
            </w:r>
            <w:r w:rsidRPr="00E60B69">
              <w:rPr>
                <w:b/>
                <w:bCs/>
                <w:color w:val="000000"/>
                <w:kern w:val="24"/>
                <w:sz w:val="20"/>
                <w:szCs w:val="20"/>
              </w:rPr>
              <w:t xml:space="preserve">, </w:t>
            </w:r>
            <w:proofErr w:type="spellStart"/>
            <w:r w:rsidRPr="00E60B69">
              <w:rPr>
                <w:b/>
                <w:bCs/>
                <w:color w:val="000000"/>
                <w:kern w:val="24"/>
                <w:sz w:val="20"/>
                <w:szCs w:val="20"/>
              </w:rPr>
              <w:t>mmol</w:t>
            </w:r>
            <w:proofErr w:type="spellEnd"/>
            <w:r w:rsidRPr="00E60B69">
              <w:rPr>
                <w:b/>
                <w:bCs/>
                <w:color w:val="000000"/>
                <w:kern w:val="24"/>
                <w:sz w:val="20"/>
                <w:szCs w:val="20"/>
              </w:rPr>
              <w:t>/L</w:t>
            </w:r>
          </w:p>
        </w:tc>
        <w:tc>
          <w:tcPr>
            <w:tcW w:w="51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DCACB9" w14:textId="1E2B7DD1"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8.9±1.0</w:t>
            </w:r>
          </w:p>
        </w:tc>
        <w:tc>
          <w:tcPr>
            <w:tcW w:w="506" w:type="pct"/>
            <w:tcBorders>
              <w:top w:val="single" w:sz="4" w:space="0" w:color="000000"/>
              <w:left w:val="single" w:sz="4" w:space="0" w:color="000000"/>
              <w:bottom w:val="single" w:sz="4" w:space="0" w:color="000000"/>
              <w:right w:val="single" w:sz="4" w:space="0" w:color="000000"/>
            </w:tcBorders>
            <w:vAlign w:val="center"/>
          </w:tcPr>
          <w:p w14:paraId="02DB1977" w14:textId="149ED08E"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9.8±0.7</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2A6C9F0E" w14:textId="21C8380A"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10.6±0.5</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241EB81A" w14:textId="2BEFB07B"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9.2±0.5</w:t>
            </w:r>
          </w:p>
        </w:tc>
        <w:tc>
          <w:tcPr>
            <w:tcW w:w="506" w:type="pct"/>
            <w:tcBorders>
              <w:top w:val="single" w:sz="4" w:space="0" w:color="000000"/>
              <w:left w:val="single" w:sz="4" w:space="0" w:color="000000"/>
              <w:bottom w:val="single" w:sz="4" w:space="0" w:color="000000"/>
              <w:right w:val="single" w:sz="4" w:space="0" w:color="000000"/>
            </w:tcBorders>
            <w:vAlign w:val="center"/>
          </w:tcPr>
          <w:p w14:paraId="49898A06" w14:textId="5CC84FF0"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10.2±0.6</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3C80D415" w14:textId="6AD86AA4"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10.9±0.4</w:t>
            </w:r>
          </w:p>
        </w:tc>
        <w:tc>
          <w:tcPr>
            <w:tcW w:w="506" w:type="pct"/>
            <w:tcBorders>
              <w:top w:val="single" w:sz="4" w:space="0" w:color="000000"/>
              <w:left w:val="single" w:sz="4" w:space="0" w:color="000000"/>
              <w:bottom w:val="single" w:sz="4" w:space="0" w:color="000000"/>
              <w:right w:val="single" w:sz="4" w:space="0" w:color="000000"/>
            </w:tcBorders>
            <w:vAlign w:val="center"/>
          </w:tcPr>
          <w:p w14:paraId="3555038B" w14:textId="46BD25DC"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10.4±0.8</w:t>
            </w:r>
          </w:p>
        </w:tc>
        <w:tc>
          <w:tcPr>
            <w:tcW w:w="506" w:type="pct"/>
            <w:tcBorders>
              <w:top w:val="single" w:sz="4" w:space="0" w:color="000000"/>
              <w:left w:val="single" w:sz="4" w:space="0" w:color="000000"/>
              <w:bottom w:val="single" w:sz="4" w:space="0" w:color="000000"/>
              <w:right w:val="single" w:sz="4" w:space="0" w:color="000000"/>
            </w:tcBorders>
            <w:vAlign w:val="center"/>
            <w:hideMark/>
          </w:tcPr>
          <w:p w14:paraId="1975C424" w14:textId="1012B6C0" w:rsidR="008F18C7" w:rsidRPr="00E60B69" w:rsidRDefault="008F18C7" w:rsidP="00CB1B30">
            <w:pPr>
              <w:kinsoku w:val="0"/>
              <w:overflowPunct w:val="0"/>
              <w:spacing w:line="240" w:lineRule="auto"/>
              <w:jc w:val="center"/>
              <w:textAlignment w:val="baseline"/>
              <w:rPr>
                <w:color w:val="000000"/>
                <w:kern w:val="24"/>
                <w:sz w:val="16"/>
                <w:szCs w:val="16"/>
              </w:rPr>
            </w:pPr>
            <w:r w:rsidRPr="00E60B69">
              <w:rPr>
                <w:color w:val="000000"/>
                <w:kern w:val="24"/>
                <w:sz w:val="16"/>
                <w:szCs w:val="16"/>
              </w:rPr>
              <w:t>11.0±1.0</w:t>
            </w:r>
          </w:p>
        </w:tc>
      </w:tr>
    </w:tbl>
    <w:p w14:paraId="31756482" w14:textId="77777777" w:rsidR="00497E87" w:rsidRPr="00E60B69" w:rsidRDefault="00497E87">
      <w:pPr>
        <w:rPr>
          <w:lang w:val="en-US"/>
        </w:rPr>
        <w:sectPr w:rsidR="00497E87" w:rsidRPr="00E60B69">
          <w:pgSz w:w="11900" w:h="16840"/>
          <w:pgMar w:top="1417" w:right="1134" w:bottom="1134" w:left="1134" w:header="708" w:footer="708" w:gutter="0"/>
          <w:cols w:space="708"/>
          <w:docGrid w:linePitch="360"/>
        </w:sectPr>
      </w:pPr>
    </w:p>
    <w:p w14:paraId="45879839" w14:textId="750A914E" w:rsidR="00F44802" w:rsidRPr="00E60B69" w:rsidRDefault="00F44802">
      <w:pPr>
        <w:rPr>
          <w:lang w:val="en-US"/>
        </w:rPr>
      </w:pPr>
    </w:p>
    <w:p w14:paraId="7DE79A4B" w14:textId="77777777" w:rsidR="00F44802" w:rsidRPr="00E60B69" w:rsidRDefault="00DA7FD6" w:rsidP="00E60B69">
      <w:pPr>
        <w:pStyle w:val="Titolo1"/>
      </w:pPr>
      <w:bookmarkStart w:id="21" w:name="_Toc142384263"/>
      <w:r w:rsidRPr="00E60B69">
        <w:t>Supplementary Figures</w:t>
      </w:r>
      <w:bookmarkEnd w:id="21"/>
      <w:r w:rsidRPr="00E60B69">
        <w:t xml:space="preserve"> </w:t>
      </w:r>
    </w:p>
    <w:p w14:paraId="39173C69" w14:textId="77777777" w:rsidR="00F44802" w:rsidRPr="00E60B69" w:rsidRDefault="00F44802">
      <w:pPr>
        <w:rPr>
          <w:b/>
          <w:bCs/>
          <w:lang w:val="en-US"/>
        </w:rPr>
      </w:pPr>
    </w:p>
    <w:p w14:paraId="2546A14D" w14:textId="4E595B49" w:rsidR="00A933EF" w:rsidRPr="00E60B69" w:rsidRDefault="00DA7FD6" w:rsidP="00B83925">
      <w:pPr>
        <w:pStyle w:val="Titolo2"/>
        <w:rPr>
          <w:rFonts w:ascii="Times New Roman" w:hAnsi="Times New Roman" w:cs="Times New Roman"/>
          <w:sz w:val="20"/>
          <w:szCs w:val="20"/>
        </w:rPr>
      </w:pPr>
      <w:bookmarkStart w:id="22" w:name="_Toc142384264"/>
      <w:r w:rsidRPr="00E60B69">
        <w:rPr>
          <w:rFonts w:ascii="Times New Roman" w:hAnsi="Times New Roman" w:cs="Times New Roman"/>
          <w:sz w:val="20"/>
          <w:szCs w:val="20"/>
        </w:rPr>
        <w:t>Supplementary figure 1. Schematic representation of experimental workflow and sample collection.</w:t>
      </w:r>
      <w:bookmarkEnd w:id="22"/>
      <w:r w:rsidRPr="00E60B69">
        <w:rPr>
          <w:rFonts w:ascii="Times New Roman" w:hAnsi="Times New Roman" w:cs="Times New Roman"/>
          <w:sz w:val="20"/>
          <w:szCs w:val="20"/>
        </w:rPr>
        <w:t xml:space="preserve"> </w:t>
      </w:r>
    </w:p>
    <w:p w14:paraId="4B756A13" w14:textId="08F11F33" w:rsidR="00F44802" w:rsidRPr="00E60B69" w:rsidRDefault="00DA7FD6">
      <w:pPr>
        <w:rPr>
          <w:sz w:val="20"/>
          <w:szCs w:val="20"/>
          <w:lang w:val="en-US"/>
        </w:rPr>
      </w:pPr>
      <w:r w:rsidRPr="00E60B69">
        <w:rPr>
          <w:sz w:val="20"/>
          <w:szCs w:val="20"/>
          <w:lang w:val="en-US"/>
        </w:rPr>
        <w:t xml:space="preserve">After procurement, the liver grafts that underwent normothermic machine perfusion (NMP) were connected to the circuit. A 40 min rewarming phase was then applied. During the first 5 min of this phase, 20 mL of perfusate were collected and analyzed (*, washout). At 0 min, normothermia was reached with constant portal flow and pressure. Perfusate samples were collected hourly for blood gas analyses, while at 1 h, 4 h, 8 h, 12 h for biological evaluation (when feasible). At the end of NMP (2 h or 12 h duration), liver tissue was sampled for analyses. </w:t>
      </w:r>
    </w:p>
    <w:p w14:paraId="72734440" w14:textId="77777777" w:rsidR="00F44802" w:rsidRPr="00E60B69" w:rsidRDefault="00F44802">
      <w:pPr>
        <w:rPr>
          <w:lang w:val="en-US"/>
        </w:rPr>
      </w:pPr>
    </w:p>
    <w:p w14:paraId="4B0E33ED" w14:textId="77777777" w:rsidR="00F44802" w:rsidRPr="00E60B69" w:rsidRDefault="00DA7FD6">
      <w:pPr>
        <w:rPr>
          <w:lang w:val="en-US"/>
        </w:rPr>
      </w:pPr>
      <w:r w:rsidRPr="00E60B69">
        <w:rPr>
          <w:noProof/>
          <w:lang w:val="en-US"/>
        </w:rPr>
        <w:drawing>
          <wp:inline distT="0" distB="0" distL="0" distR="0" wp14:anchorId="6F924CA9" wp14:editId="5A93F06B">
            <wp:extent cx="6116320" cy="397954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6320" cy="3979545"/>
                    </a:xfrm>
                    <a:prstGeom prst="rect">
                      <a:avLst/>
                    </a:prstGeom>
                  </pic:spPr>
                </pic:pic>
              </a:graphicData>
            </a:graphic>
          </wp:inline>
        </w:drawing>
      </w:r>
    </w:p>
    <w:p w14:paraId="7AEADB7E" w14:textId="77777777" w:rsidR="00F44802" w:rsidRPr="00E60B69" w:rsidRDefault="00F44802">
      <w:pPr>
        <w:rPr>
          <w:lang w:val="en-US"/>
        </w:rPr>
      </w:pPr>
    </w:p>
    <w:p w14:paraId="1EF36D28" w14:textId="77777777" w:rsidR="00F44802" w:rsidRPr="00E60B69" w:rsidRDefault="00F44802">
      <w:pPr>
        <w:rPr>
          <w:lang w:val="en-US"/>
        </w:rPr>
      </w:pPr>
    </w:p>
    <w:p w14:paraId="7BAF5F16" w14:textId="77777777" w:rsidR="00F44802" w:rsidRPr="00E60B69" w:rsidRDefault="00F44802">
      <w:pPr>
        <w:rPr>
          <w:lang w:val="en-US"/>
        </w:rPr>
      </w:pPr>
    </w:p>
    <w:p w14:paraId="7FCCA400" w14:textId="77777777" w:rsidR="00F44802" w:rsidRPr="00E60B69" w:rsidRDefault="00F44802">
      <w:pPr>
        <w:rPr>
          <w:lang w:val="en-US"/>
        </w:rPr>
      </w:pPr>
    </w:p>
    <w:p w14:paraId="68BC8930" w14:textId="77777777" w:rsidR="00F44802" w:rsidRPr="00E60B69" w:rsidRDefault="00F44802">
      <w:pPr>
        <w:rPr>
          <w:lang w:val="en-US"/>
        </w:rPr>
      </w:pPr>
    </w:p>
    <w:p w14:paraId="306AA724" w14:textId="77777777" w:rsidR="00DF6FE4" w:rsidRPr="00E60B69" w:rsidRDefault="00DF6FE4">
      <w:pPr>
        <w:rPr>
          <w:b/>
          <w:bCs/>
          <w:lang w:val="en-US"/>
        </w:rPr>
        <w:sectPr w:rsidR="00DF6FE4" w:rsidRPr="00E60B69">
          <w:pgSz w:w="11900" w:h="16840"/>
          <w:pgMar w:top="1417" w:right="1134" w:bottom="1134" w:left="1134" w:header="708" w:footer="708" w:gutter="0"/>
          <w:cols w:space="708"/>
          <w:docGrid w:linePitch="360"/>
        </w:sectPr>
      </w:pPr>
    </w:p>
    <w:p w14:paraId="148DBC7A" w14:textId="77777777" w:rsidR="00A933EF" w:rsidRPr="00E60B69" w:rsidRDefault="00DA7FD6" w:rsidP="00B83925">
      <w:pPr>
        <w:pStyle w:val="Titolo2"/>
        <w:rPr>
          <w:rFonts w:ascii="Times New Roman" w:hAnsi="Times New Roman" w:cs="Times New Roman"/>
          <w:sz w:val="20"/>
          <w:szCs w:val="20"/>
        </w:rPr>
      </w:pPr>
      <w:bookmarkStart w:id="23" w:name="_Toc142384265"/>
      <w:r w:rsidRPr="00E60B69">
        <w:rPr>
          <w:rFonts w:ascii="Times New Roman" w:hAnsi="Times New Roman" w:cs="Times New Roman"/>
          <w:sz w:val="20"/>
          <w:szCs w:val="20"/>
        </w:rPr>
        <w:lastRenderedPageBreak/>
        <w:t>Supplementary figure 2. Portal vein flow and resistance monitoring over NMP.</w:t>
      </w:r>
      <w:bookmarkEnd w:id="23"/>
      <w:r w:rsidRPr="00E60B69">
        <w:rPr>
          <w:rFonts w:ascii="Times New Roman" w:hAnsi="Times New Roman" w:cs="Times New Roman"/>
          <w:sz w:val="20"/>
          <w:szCs w:val="20"/>
        </w:rPr>
        <w:t xml:space="preserve"> </w:t>
      </w:r>
    </w:p>
    <w:p w14:paraId="23E7D393" w14:textId="21A6BC2D" w:rsidR="00F44802" w:rsidRPr="00E60B69" w:rsidRDefault="00DA7FD6">
      <w:pPr>
        <w:rPr>
          <w:b/>
          <w:bCs/>
          <w:sz w:val="20"/>
          <w:szCs w:val="20"/>
          <w:lang w:val="en-US"/>
        </w:rPr>
      </w:pPr>
      <w:r w:rsidRPr="00E60B69">
        <w:rPr>
          <w:sz w:val="20"/>
          <w:szCs w:val="20"/>
          <w:lang w:val="en-US"/>
        </w:rPr>
        <w:t>Portal vein flow and resistance remained stable throughout the “normothermic perfusion phase”. Two-way RM ANOVA.</w:t>
      </w:r>
    </w:p>
    <w:p w14:paraId="0FAC7FC7" w14:textId="77777777" w:rsidR="00F44802" w:rsidRPr="00E60B69" w:rsidRDefault="00F44802">
      <w:pPr>
        <w:rPr>
          <w:lang w:val="en-US"/>
        </w:rPr>
      </w:pPr>
    </w:p>
    <w:p w14:paraId="67AEB2CF" w14:textId="77777777" w:rsidR="00F44802" w:rsidRPr="00E60B69" w:rsidRDefault="00DA7FD6">
      <w:pPr>
        <w:rPr>
          <w:lang w:val="en-US"/>
        </w:rPr>
      </w:pPr>
      <w:r w:rsidRPr="00E60B69">
        <w:rPr>
          <w:noProof/>
          <w:lang w:val="en-US"/>
        </w:rPr>
        <mc:AlternateContent>
          <mc:Choice Requires="wps">
            <w:drawing>
              <wp:anchor distT="0" distB="0" distL="114300" distR="114300" simplePos="0" relativeHeight="251665408" behindDoc="0" locked="0" layoutInCell="1" allowOverlap="1" wp14:anchorId="787B30FA" wp14:editId="2912ED8B">
                <wp:simplePos x="0" y="0"/>
                <wp:positionH relativeFrom="column">
                  <wp:posOffset>5725449</wp:posOffset>
                </wp:positionH>
                <wp:positionV relativeFrom="paragraph">
                  <wp:posOffset>502920</wp:posOffset>
                </wp:positionV>
                <wp:extent cx="831273" cy="434109"/>
                <wp:effectExtent l="0" t="0" r="0" b="0"/>
                <wp:wrapNone/>
                <wp:docPr id="6" name="Casella di testo 6"/>
                <wp:cNvGraphicFramePr/>
                <a:graphic xmlns:a="http://schemas.openxmlformats.org/drawingml/2006/main">
                  <a:graphicData uri="http://schemas.microsoft.com/office/word/2010/wordprocessingShape">
                    <wps:wsp>
                      <wps:cNvSpPr txBox="1"/>
                      <wps:spPr>
                        <a:xfrm>
                          <a:off x="0" y="0"/>
                          <a:ext cx="831273" cy="434109"/>
                        </a:xfrm>
                        <a:prstGeom prst="rect">
                          <a:avLst/>
                        </a:prstGeom>
                        <a:solidFill>
                          <a:schemeClr val="lt1"/>
                        </a:solidFill>
                        <a:ln w="6350">
                          <a:noFill/>
                        </a:ln>
                      </wps:spPr>
                      <wps:txbx>
                        <w:txbxContent>
                          <w:p w14:paraId="6328D66B" w14:textId="77777777" w:rsidR="00C23514" w:rsidRDefault="00C23514">
                            <w:pPr>
                              <w:rPr>
                                <w:b/>
                                <w:bCs/>
                                <w:sz w:val="16"/>
                                <w:szCs w:val="16"/>
                              </w:rPr>
                            </w:pPr>
                            <w:r>
                              <w:rPr>
                                <w:b/>
                                <w:bCs/>
                                <w:sz w:val="16"/>
                                <w:szCs w:val="16"/>
                              </w:rPr>
                              <w:t>NMP4h</w:t>
                            </w:r>
                          </w:p>
                          <w:p w14:paraId="30B6BE4F" w14:textId="77777777" w:rsidR="00C23514" w:rsidRDefault="00C23514">
                            <w:pPr>
                              <w:rPr>
                                <w:b/>
                                <w:bCs/>
                                <w:sz w:val="16"/>
                                <w:szCs w:val="16"/>
                              </w:rPr>
                            </w:pPr>
                            <w:r>
                              <w:rPr>
                                <w:b/>
                                <w:bCs/>
                                <w:sz w:val="16"/>
                                <w:szCs w:val="16"/>
                              </w:rPr>
                              <w:t>NMP12h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B30FA" id="_x0000_t202" coordsize="21600,21600" o:spt="202" path="m,l,21600r21600,l21600,xe">
                <v:stroke joinstyle="miter"/>
                <v:path gradientshapeok="t" o:connecttype="rect"/>
              </v:shapetype>
              <v:shape id="Casella di testo 6" o:spid="_x0000_s1026" type="#_x0000_t202" style="position:absolute;left:0;text-align:left;margin-left:450.8pt;margin-top:39.6pt;width:65.45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" fillcolor="white [3201]" stroked="f" strokeweight=".5pt">
                <v:textbox>
                  <w:txbxContent>
                    <w:p w14:paraId="6328D66B" w14:textId="77777777" w:rsidR="00C23514" w:rsidRDefault="00C23514">
                      <w:pPr>
                        <w:rPr>
                          <w:b/>
                          <w:bCs/>
                          <w:sz w:val="16"/>
                          <w:szCs w:val="16"/>
                        </w:rPr>
                      </w:pPr>
                      <w:r>
                        <w:rPr>
                          <w:b/>
                          <w:bCs/>
                          <w:sz w:val="16"/>
                          <w:szCs w:val="16"/>
                        </w:rPr>
                        <w:t>NMP4h</w:t>
                      </w:r>
                    </w:p>
                    <w:p w14:paraId="30B6BE4F" w14:textId="77777777" w:rsidR="00C23514" w:rsidRDefault="00C23514">
                      <w:pPr>
                        <w:rPr>
                          <w:b/>
                          <w:bCs/>
                          <w:sz w:val="16"/>
                          <w:szCs w:val="16"/>
                        </w:rPr>
                      </w:pPr>
                      <w:r>
                        <w:rPr>
                          <w:b/>
                          <w:bCs/>
                          <w:sz w:val="16"/>
                          <w:szCs w:val="16"/>
                        </w:rPr>
                        <w:t>NMP12h</w:t>
                      </w:r>
                    </w:p>
                  </w:txbxContent>
                </v:textbox>
              </v:shape>
            </w:pict>
          </mc:Fallback>
        </mc:AlternateContent>
      </w:r>
      <w:r w:rsidRPr="00E60B69">
        <w:rPr>
          <w:noProof/>
          <w:lang w:val="en-US"/>
        </w:rPr>
        <w:drawing>
          <wp:inline distT="0" distB="0" distL="0" distR="0" wp14:anchorId="562FB7C0" wp14:editId="7FA91ACF">
            <wp:extent cx="6116320" cy="287147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6320" cy="2871470"/>
                    </a:xfrm>
                    <a:prstGeom prst="rect">
                      <a:avLst/>
                    </a:prstGeom>
                  </pic:spPr>
                </pic:pic>
              </a:graphicData>
            </a:graphic>
          </wp:inline>
        </w:drawing>
      </w:r>
    </w:p>
    <w:p w14:paraId="340E8DE9" w14:textId="77777777" w:rsidR="00F44802" w:rsidRPr="00E60B69" w:rsidRDefault="00F44802">
      <w:pPr>
        <w:rPr>
          <w:lang w:val="en-US"/>
        </w:rPr>
      </w:pPr>
    </w:p>
    <w:p w14:paraId="2D66EDE6" w14:textId="77777777" w:rsidR="00F44802" w:rsidRPr="00E60B69" w:rsidRDefault="00F44802">
      <w:pPr>
        <w:rPr>
          <w:lang w:val="en-US"/>
        </w:rPr>
      </w:pPr>
    </w:p>
    <w:p w14:paraId="60C16A9E" w14:textId="77777777" w:rsidR="00F44802" w:rsidRPr="00E60B69" w:rsidRDefault="00F44802">
      <w:pPr>
        <w:rPr>
          <w:lang w:val="en-US"/>
        </w:rPr>
      </w:pPr>
    </w:p>
    <w:p w14:paraId="772415F9" w14:textId="77777777" w:rsidR="00F44802" w:rsidRPr="00E60B69" w:rsidRDefault="00F44802">
      <w:pPr>
        <w:rPr>
          <w:lang w:val="en-US"/>
        </w:rPr>
      </w:pPr>
    </w:p>
    <w:p w14:paraId="3E6BE4D9" w14:textId="77777777" w:rsidR="00F44802" w:rsidRPr="00E60B69" w:rsidRDefault="00F44802">
      <w:pPr>
        <w:rPr>
          <w:lang w:val="en-US"/>
        </w:rPr>
      </w:pPr>
    </w:p>
    <w:p w14:paraId="4C37282E" w14:textId="77777777" w:rsidR="00F44802" w:rsidRPr="00E60B69" w:rsidRDefault="00F44802">
      <w:pPr>
        <w:rPr>
          <w:lang w:val="en-US"/>
        </w:rPr>
      </w:pPr>
    </w:p>
    <w:p w14:paraId="7B0D5442" w14:textId="77777777" w:rsidR="00F44802" w:rsidRPr="00E60B69" w:rsidRDefault="00F44802">
      <w:pPr>
        <w:rPr>
          <w:lang w:val="en-US"/>
        </w:rPr>
      </w:pPr>
    </w:p>
    <w:p w14:paraId="4966693A" w14:textId="77777777" w:rsidR="00F44802" w:rsidRPr="00E60B69" w:rsidRDefault="00F44802">
      <w:pPr>
        <w:rPr>
          <w:lang w:val="en-US"/>
        </w:rPr>
      </w:pPr>
    </w:p>
    <w:p w14:paraId="78DFBCA5" w14:textId="77777777" w:rsidR="00F44802" w:rsidRPr="00E60B69" w:rsidRDefault="00F44802">
      <w:pPr>
        <w:rPr>
          <w:lang w:val="en-US"/>
        </w:rPr>
      </w:pPr>
    </w:p>
    <w:p w14:paraId="3A54F955" w14:textId="77777777" w:rsidR="00F44802" w:rsidRPr="00E60B69" w:rsidRDefault="00F44802">
      <w:pPr>
        <w:rPr>
          <w:lang w:val="en-US"/>
        </w:rPr>
      </w:pPr>
    </w:p>
    <w:p w14:paraId="68EE013A" w14:textId="77777777" w:rsidR="00F44802" w:rsidRPr="00E60B69" w:rsidRDefault="00F44802">
      <w:pPr>
        <w:rPr>
          <w:lang w:val="en-US"/>
        </w:rPr>
      </w:pPr>
    </w:p>
    <w:p w14:paraId="0DB1F5A0" w14:textId="77777777" w:rsidR="00F44802" w:rsidRPr="00E60B69" w:rsidRDefault="00F44802">
      <w:pPr>
        <w:rPr>
          <w:lang w:val="en-US"/>
        </w:rPr>
      </w:pPr>
    </w:p>
    <w:p w14:paraId="7F28AFA5" w14:textId="77777777" w:rsidR="00F44802" w:rsidRPr="00E60B69" w:rsidRDefault="00F44802">
      <w:pPr>
        <w:rPr>
          <w:lang w:val="en-US"/>
        </w:rPr>
      </w:pPr>
    </w:p>
    <w:p w14:paraId="56E759CE" w14:textId="77777777" w:rsidR="00F44802" w:rsidRPr="00E60B69" w:rsidRDefault="00F44802">
      <w:pPr>
        <w:rPr>
          <w:lang w:val="en-US"/>
        </w:rPr>
      </w:pPr>
    </w:p>
    <w:p w14:paraId="046D2043" w14:textId="77777777" w:rsidR="00F44802" w:rsidRPr="00E60B69" w:rsidRDefault="00F44802">
      <w:pPr>
        <w:rPr>
          <w:lang w:val="en-US"/>
        </w:rPr>
      </w:pPr>
    </w:p>
    <w:p w14:paraId="697B5772" w14:textId="77777777" w:rsidR="00F44802" w:rsidRPr="00E60B69" w:rsidRDefault="00F44802">
      <w:pPr>
        <w:rPr>
          <w:lang w:val="en-US"/>
        </w:rPr>
      </w:pPr>
    </w:p>
    <w:p w14:paraId="3BD69797" w14:textId="77777777" w:rsidR="00F44802" w:rsidRPr="00E60B69" w:rsidRDefault="00F44802">
      <w:pPr>
        <w:rPr>
          <w:lang w:val="en-US"/>
        </w:rPr>
      </w:pPr>
    </w:p>
    <w:p w14:paraId="32825A44" w14:textId="77777777" w:rsidR="00F44802" w:rsidRPr="00E60B69" w:rsidRDefault="00F44802">
      <w:pPr>
        <w:rPr>
          <w:lang w:val="en-US"/>
        </w:rPr>
      </w:pPr>
    </w:p>
    <w:p w14:paraId="1CBCEC83" w14:textId="77777777" w:rsidR="00A933EF" w:rsidRPr="00E60B69" w:rsidRDefault="00DA7FD6" w:rsidP="00B83925">
      <w:pPr>
        <w:pStyle w:val="Titolo2"/>
        <w:rPr>
          <w:rFonts w:ascii="Times New Roman" w:hAnsi="Times New Roman" w:cs="Times New Roman"/>
          <w:sz w:val="20"/>
          <w:szCs w:val="20"/>
        </w:rPr>
      </w:pPr>
      <w:bookmarkStart w:id="24" w:name="_Toc142384266"/>
      <w:r w:rsidRPr="00E60B69">
        <w:rPr>
          <w:rFonts w:ascii="Times New Roman" w:hAnsi="Times New Roman" w:cs="Times New Roman"/>
          <w:sz w:val="20"/>
          <w:szCs w:val="20"/>
        </w:rPr>
        <w:lastRenderedPageBreak/>
        <w:t>Supplementary figure 3. Perfusate glucose concentration over the NMP procedure.</w:t>
      </w:r>
      <w:bookmarkEnd w:id="24"/>
      <w:r w:rsidRPr="00E60B69">
        <w:rPr>
          <w:rFonts w:ascii="Times New Roman" w:hAnsi="Times New Roman" w:cs="Times New Roman"/>
          <w:sz w:val="20"/>
          <w:szCs w:val="20"/>
        </w:rPr>
        <w:t xml:space="preserve"> </w:t>
      </w:r>
    </w:p>
    <w:p w14:paraId="4DCDB772" w14:textId="1C845BA8" w:rsidR="00F44802" w:rsidRPr="00E60B69" w:rsidRDefault="00DA7FD6">
      <w:pPr>
        <w:rPr>
          <w:sz w:val="20"/>
          <w:szCs w:val="20"/>
          <w:lang w:val="en-US"/>
        </w:rPr>
      </w:pPr>
      <w:r w:rsidRPr="00E60B69">
        <w:rPr>
          <w:sz w:val="20"/>
          <w:szCs w:val="20"/>
          <w:lang w:val="en-US"/>
        </w:rPr>
        <w:t>Glucose concentration decreased over NMP time (p=0.003 vs time; p=523 vs 4 h). Two-way repeated measures ANOVA, Tukey’s post hoc test.</w:t>
      </w:r>
    </w:p>
    <w:p w14:paraId="68037AF6" w14:textId="77777777" w:rsidR="00F44802" w:rsidRPr="00E60B69" w:rsidRDefault="00F44802">
      <w:pPr>
        <w:rPr>
          <w:b/>
          <w:bCs/>
          <w:sz w:val="20"/>
          <w:szCs w:val="20"/>
          <w:lang w:val="en-US"/>
        </w:rPr>
      </w:pPr>
    </w:p>
    <w:p w14:paraId="68911471" w14:textId="77777777" w:rsidR="00F44802" w:rsidRPr="00E60B69" w:rsidRDefault="00DA7FD6">
      <w:pPr>
        <w:jc w:val="center"/>
        <w:rPr>
          <w:b/>
          <w:bCs/>
          <w:lang w:val="en-US"/>
        </w:rPr>
      </w:pPr>
      <w:r w:rsidRPr="00E60B69">
        <w:rPr>
          <w:noProof/>
        </w:rPr>
        <w:drawing>
          <wp:inline distT="0" distB="0" distL="0" distR="0" wp14:anchorId="15768424" wp14:editId="588E0C51">
            <wp:extent cx="3625849" cy="26687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48698" t="8475" b="9604"/>
                    <a:stretch/>
                  </pic:blipFill>
                  <pic:spPr bwMode="auto">
                    <a:xfrm>
                      <a:off x="0" y="0"/>
                      <a:ext cx="3628739" cy="2670899"/>
                    </a:xfrm>
                    <a:prstGeom prst="rect">
                      <a:avLst/>
                    </a:prstGeom>
                    <a:noFill/>
                    <a:ln>
                      <a:noFill/>
                    </a:ln>
                    <a:extLst>
                      <a:ext uri="{53640926-AAD7-44D8-BBD7-CCE9431645EC}">
                        <a14:shadowObscured xmlns:a14="http://schemas.microsoft.com/office/drawing/2010/main"/>
                      </a:ext>
                    </a:extLst>
                  </pic:spPr>
                </pic:pic>
              </a:graphicData>
            </a:graphic>
          </wp:inline>
        </w:drawing>
      </w:r>
    </w:p>
    <w:p w14:paraId="20CA3487" w14:textId="77777777" w:rsidR="00F44802" w:rsidRPr="00E60B69" w:rsidRDefault="00F44802">
      <w:pPr>
        <w:rPr>
          <w:lang w:val="en-US"/>
        </w:rPr>
      </w:pPr>
    </w:p>
    <w:p w14:paraId="084DF417" w14:textId="77777777" w:rsidR="00F44802" w:rsidRPr="00E60B69" w:rsidRDefault="00F44802">
      <w:pPr>
        <w:rPr>
          <w:lang w:val="en-US"/>
        </w:rPr>
      </w:pPr>
    </w:p>
    <w:p w14:paraId="3199D00D" w14:textId="77777777" w:rsidR="00F44802" w:rsidRPr="00E60B69" w:rsidRDefault="00F44802">
      <w:pPr>
        <w:rPr>
          <w:lang w:val="en-US"/>
        </w:rPr>
      </w:pPr>
    </w:p>
    <w:p w14:paraId="74CF5750" w14:textId="77777777" w:rsidR="00F44802" w:rsidRPr="00E60B69" w:rsidRDefault="00F44802">
      <w:pPr>
        <w:rPr>
          <w:lang w:val="en-US"/>
        </w:rPr>
      </w:pPr>
    </w:p>
    <w:p w14:paraId="51559B09" w14:textId="77777777" w:rsidR="00F44802" w:rsidRPr="00E60B69" w:rsidRDefault="00F44802">
      <w:pPr>
        <w:rPr>
          <w:lang w:val="en-US"/>
        </w:rPr>
      </w:pPr>
    </w:p>
    <w:p w14:paraId="5C299597" w14:textId="77777777" w:rsidR="00F44802" w:rsidRPr="00E60B69" w:rsidRDefault="00F44802">
      <w:pPr>
        <w:rPr>
          <w:lang w:val="en-US"/>
        </w:rPr>
      </w:pPr>
    </w:p>
    <w:p w14:paraId="425C9C38" w14:textId="77777777" w:rsidR="00F44802" w:rsidRPr="00E60B69" w:rsidRDefault="00F44802">
      <w:pPr>
        <w:rPr>
          <w:b/>
          <w:bCs/>
          <w:lang w:val="en-US"/>
        </w:rPr>
        <w:sectPr w:rsidR="00F44802" w:rsidRPr="00E60B69">
          <w:pgSz w:w="11900" w:h="16840"/>
          <w:pgMar w:top="1417" w:right="1134" w:bottom="1134" w:left="1134" w:header="708" w:footer="708" w:gutter="0"/>
          <w:cols w:space="708"/>
          <w:docGrid w:linePitch="360"/>
        </w:sectPr>
      </w:pPr>
    </w:p>
    <w:p w14:paraId="5511552D" w14:textId="6A4945B5" w:rsidR="0059269E" w:rsidRPr="00E60B69" w:rsidRDefault="00DA7FD6" w:rsidP="00B83925">
      <w:pPr>
        <w:pStyle w:val="Titolo2"/>
        <w:rPr>
          <w:rFonts w:ascii="Times New Roman" w:hAnsi="Times New Roman" w:cs="Times New Roman"/>
          <w:sz w:val="20"/>
          <w:szCs w:val="20"/>
        </w:rPr>
      </w:pPr>
      <w:bookmarkStart w:id="25" w:name="_Toc142384267"/>
      <w:r w:rsidRPr="00E60B69">
        <w:rPr>
          <w:rFonts w:ascii="Times New Roman" w:hAnsi="Times New Roman" w:cs="Times New Roman"/>
          <w:sz w:val="20"/>
          <w:szCs w:val="20"/>
        </w:rPr>
        <w:lastRenderedPageBreak/>
        <w:t xml:space="preserve">Supplementary figure 4. </w:t>
      </w:r>
      <w:r w:rsidR="0059269E" w:rsidRPr="00E60B69">
        <w:rPr>
          <w:rFonts w:ascii="Times New Roman" w:hAnsi="Times New Roman" w:cs="Times New Roman"/>
          <w:sz w:val="20"/>
          <w:szCs w:val="20"/>
        </w:rPr>
        <w:t>Lab test</w:t>
      </w:r>
      <w:r w:rsidR="00B83925" w:rsidRPr="00E60B69">
        <w:rPr>
          <w:rFonts w:ascii="Times New Roman" w:hAnsi="Times New Roman" w:cs="Times New Roman"/>
          <w:sz w:val="20"/>
          <w:szCs w:val="20"/>
        </w:rPr>
        <w:t>s</w:t>
      </w:r>
      <w:r w:rsidR="0059269E" w:rsidRPr="00E60B69">
        <w:rPr>
          <w:rFonts w:ascii="Times New Roman" w:hAnsi="Times New Roman" w:cs="Times New Roman"/>
          <w:sz w:val="20"/>
          <w:szCs w:val="20"/>
        </w:rPr>
        <w:t xml:space="preserve"> of perfusate samples</w:t>
      </w:r>
      <w:bookmarkEnd w:id="25"/>
    </w:p>
    <w:p w14:paraId="6478A08A" w14:textId="3DC0BE6F" w:rsidR="0059269E" w:rsidRPr="00E60B69" w:rsidRDefault="0059269E" w:rsidP="0059269E">
      <w:pPr>
        <w:rPr>
          <w:bCs/>
          <w:sz w:val="20"/>
          <w:szCs w:val="20"/>
          <w:lang w:val="en-US"/>
        </w:rPr>
      </w:pPr>
      <w:r w:rsidRPr="00E60B69">
        <w:rPr>
          <w:bCs/>
          <w:sz w:val="20"/>
          <w:szCs w:val="20"/>
          <w:lang w:val="en-US"/>
        </w:rPr>
        <w:t>One-way repeated measures ANOVA, Tukey’s post hoc test; p</w:t>
      </w:r>
      <w:r w:rsidR="00C2641F" w:rsidRPr="00E60B69">
        <w:rPr>
          <w:bCs/>
          <w:sz w:val="20"/>
          <w:szCs w:val="20"/>
          <w:lang w:val="en-US"/>
        </w:rPr>
        <w:t>-</w:t>
      </w:r>
      <w:r w:rsidRPr="00E60B69">
        <w:rPr>
          <w:bCs/>
          <w:sz w:val="20"/>
          <w:szCs w:val="20"/>
          <w:lang w:val="en-US"/>
        </w:rPr>
        <w:t>value&lt;0.05: * vs 0 h; § vs 1 h; # vs 4 h.</w:t>
      </w:r>
    </w:p>
    <w:p w14:paraId="11542769" w14:textId="77777777" w:rsidR="0059269E" w:rsidRPr="00E60B69" w:rsidRDefault="0059269E" w:rsidP="0059269E">
      <w:pPr>
        <w:rPr>
          <w:lang w:val="en-US"/>
        </w:rPr>
      </w:pPr>
    </w:p>
    <w:p w14:paraId="62E83C61" w14:textId="02612FC1" w:rsidR="0059269E" w:rsidRPr="00E60B69" w:rsidRDefault="0059269E" w:rsidP="0059269E">
      <w:pPr>
        <w:rPr>
          <w:lang w:val="en-US"/>
        </w:rPr>
      </w:pPr>
    </w:p>
    <w:p w14:paraId="6571C2C6" w14:textId="30FED124" w:rsidR="0059269E" w:rsidRPr="00E60B69" w:rsidRDefault="0059269E" w:rsidP="0059269E">
      <w:pPr>
        <w:rPr>
          <w:lang w:val="en-US"/>
        </w:rPr>
      </w:pPr>
      <w:r w:rsidRPr="00E60B69">
        <w:rPr>
          <w:noProof/>
          <w:lang w:val="en-US"/>
        </w:rPr>
        <w:drawing>
          <wp:inline distT="0" distB="0" distL="0" distR="0" wp14:anchorId="3AAA167D" wp14:editId="101D1B06">
            <wp:extent cx="6116320" cy="5597525"/>
            <wp:effectExtent l="0" t="0" r="508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320" cy="5597525"/>
                    </a:xfrm>
                    <a:prstGeom prst="rect">
                      <a:avLst/>
                    </a:prstGeom>
                  </pic:spPr>
                </pic:pic>
              </a:graphicData>
            </a:graphic>
          </wp:inline>
        </w:drawing>
      </w:r>
    </w:p>
    <w:p w14:paraId="594230E2" w14:textId="77777777" w:rsidR="0059269E" w:rsidRPr="00E60B69" w:rsidRDefault="0059269E" w:rsidP="0059269E">
      <w:pPr>
        <w:rPr>
          <w:lang w:val="en-US"/>
        </w:rPr>
        <w:sectPr w:rsidR="0059269E" w:rsidRPr="00E60B69">
          <w:pgSz w:w="11900" w:h="16840"/>
          <w:pgMar w:top="1417" w:right="1134" w:bottom="1134" w:left="1134" w:header="708" w:footer="708" w:gutter="0"/>
          <w:cols w:space="708"/>
          <w:docGrid w:linePitch="360"/>
        </w:sectPr>
      </w:pPr>
    </w:p>
    <w:p w14:paraId="63FD0851" w14:textId="2C8492FC" w:rsidR="00A933EF" w:rsidRPr="00E60B69" w:rsidRDefault="0059269E" w:rsidP="00B83925">
      <w:pPr>
        <w:pStyle w:val="Titolo2"/>
        <w:rPr>
          <w:rFonts w:ascii="Times New Roman" w:hAnsi="Times New Roman" w:cs="Times New Roman"/>
          <w:sz w:val="20"/>
          <w:szCs w:val="20"/>
        </w:rPr>
      </w:pPr>
      <w:bookmarkStart w:id="26" w:name="_Toc142384268"/>
      <w:r w:rsidRPr="00E60B69">
        <w:rPr>
          <w:rFonts w:ascii="Times New Roman" w:hAnsi="Times New Roman" w:cs="Times New Roman"/>
          <w:sz w:val="20"/>
          <w:szCs w:val="20"/>
        </w:rPr>
        <w:lastRenderedPageBreak/>
        <w:t xml:space="preserve">Supplementary figure 5. </w:t>
      </w:r>
      <w:r w:rsidR="00DA7FD6" w:rsidRPr="00E60B69">
        <w:rPr>
          <w:rFonts w:ascii="Times New Roman" w:hAnsi="Times New Roman" w:cs="Times New Roman"/>
          <w:sz w:val="20"/>
          <w:szCs w:val="20"/>
        </w:rPr>
        <w:t>Perfusate FMN over the NMP procedure.</w:t>
      </w:r>
      <w:bookmarkEnd w:id="26"/>
      <w:r w:rsidR="00DA7FD6" w:rsidRPr="00E60B69">
        <w:rPr>
          <w:rFonts w:ascii="Times New Roman" w:hAnsi="Times New Roman" w:cs="Times New Roman"/>
          <w:sz w:val="20"/>
          <w:szCs w:val="20"/>
        </w:rPr>
        <w:t xml:space="preserve"> </w:t>
      </w:r>
    </w:p>
    <w:p w14:paraId="75E1EC6D" w14:textId="16CA2513" w:rsidR="00F44802" w:rsidRPr="00E60B69" w:rsidRDefault="00DA7FD6">
      <w:pPr>
        <w:rPr>
          <w:sz w:val="20"/>
          <w:szCs w:val="20"/>
          <w:lang w:val="en-US"/>
        </w:rPr>
      </w:pPr>
      <w:r w:rsidRPr="00E60B69">
        <w:rPr>
          <w:sz w:val="20"/>
          <w:szCs w:val="20"/>
          <w:lang w:val="en-US"/>
        </w:rPr>
        <w:t>One-way repeated measures ANOVA, Tukey’s post hoc test; vs Wash-out (W): * p&lt;0,05; vs 1 h § p&lt;0.05; vs 4 h # p&lt;0.05.</w:t>
      </w:r>
    </w:p>
    <w:p w14:paraId="77381ADD" w14:textId="77777777" w:rsidR="00F44802" w:rsidRPr="00E60B69" w:rsidRDefault="00F44802">
      <w:pPr>
        <w:rPr>
          <w:b/>
          <w:bCs/>
          <w:lang w:val="en-US"/>
        </w:rPr>
      </w:pPr>
    </w:p>
    <w:p w14:paraId="3E6B877F" w14:textId="77777777" w:rsidR="00F44802" w:rsidRPr="00E60B69" w:rsidRDefault="00DA7FD6">
      <w:pPr>
        <w:jc w:val="center"/>
        <w:rPr>
          <w:b/>
          <w:bCs/>
          <w:lang w:val="en-US"/>
        </w:rPr>
        <w:sectPr w:rsidR="00F44802" w:rsidRPr="00E60B69">
          <w:pgSz w:w="11900" w:h="16840"/>
          <w:pgMar w:top="1417" w:right="1134" w:bottom="1134" w:left="1134" w:header="708" w:footer="708" w:gutter="0"/>
          <w:cols w:space="708"/>
          <w:docGrid w:linePitch="360"/>
        </w:sectPr>
      </w:pPr>
      <w:r w:rsidRPr="00E60B69">
        <w:rPr>
          <w:noProof/>
        </w:rPr>
        <w:drawing>
          <wp:inline distT="0" distB="0" distL="0" distR="0" wp14:anchorId="799D8906" wp14:editId="29A62B44">
            <wp:extent cx="3439446" cy="2870791"/>
            <wp:effectExtent l="0" t="0" r="2540" b="0"/>
            <wp:docPr id="4" name="Picture 4"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diagram, desig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3635" cy="2874288"/>
                    </a:xfrm>
                    <a:prstGeom prst="rect">
                      <a:avLst/>
                    </a:prstGeom>
                    <a:noFill/>
                    <a:ln>
                      <a:noFill/>
                    </a:ln>
                  </pic:spPr>
                </pic:pic>
              </a:graphicData>
            </a:graphic>
          </wp:inline>
        </w:drawing>
      </w:r>
    </w:p>
    <w:p w14:paraId="730F7F11" w14:textId="128CF497" w:rsidR="00A933EF" w:rsidRPr="00E60B69" w:rsidRDefault="00DA7FD6" w:rsidP="00B83925">
      <w:pPr>
        <w:pStyle w:val="Titolo2"/>
        <w:rPr>
          <w:rFonts w:ascii="Times New Roman" w:hAnsi="Times New Roman" w:cs="Times New Roman"/>
          <w:sz w:val="20"/>
          <w:szCs w:val="20"/>
        </w:rPr>
      </w:pPr>
      <w:bookmarkStart w:id="27" w:name="_Toc142384269"/>
      <w:r w:rsidRPr="00E60B69">
        <w:rPr>
          <w:rFonts w:ascii="Times New Roman" w:hAnsi="Times New Roman" w:cs="Times New Roman"/>
          <w:sz w:val="20"/>
          <w:szCs w:val="20"/>
        </w:rPr>
        <w:lastRenderedPageBreak/>
        <w:t xml:space="preserve">Supplementary figure </w:t>
      </w:r>
      <w:r w:rsidR="00B83925" w:rsidRPr="00E60B69">
        <w:rPr>
          <w:rFonts w:ascii="Times New Roman" w:hAnsi="Times New Roman" w:cs="Times New Roman"/>
          <w:sz w:val="20"/>
          <w:szCs w:val="20"/>
        </w:rPr>
        <w:t>6</w:t>
      </w:r>
      <w:r w:rsidRPr="00E60B69">
        <w:rPr>
          <w:rFonts w:ascii="Times New Roman" w:hAnsi="Times New Roman" w:cs="Times New Roman"/>
          <w:sz w:val="20"/>
          <w:szCs w:val="20"/>
        </w:rPr>
        <w:t>. Histopathology of the liver tissue at the end of NMP compared to Native livers.</w:t>
      </w:r>
      <w:bookmarkEnd w:id="27"/>
      <w:r w:rsidRPr="00E60B69">
        <w:rPr>
          <w:rFonts w:ascii="Times New Roman" w:hAnsi="Times New Roman" w:cs="Times New Roman"/>
          <w:sz w:val="20"/>
          <w:szCs w:val="20"/>
        </w:rPr>
        <w:t xml:space="preserve"> </w:t>
      </w:r>
    </w:p>
    <w:p w14:paraId="3E39ECAD" w14:textId="7D34F106" w:rsidR="00F44802" w:rsidRPr="00E60B69" w:rsidRDefault="00DA7FD6">
      <w:pPr>
        <w:rPr>
          <w:sz w:val="20"/>
          <w:szCs w:val="20"/>
          <w:lang w:val="en-US"/>
        </w:rPr>
      </w:pPr>
      <w:r w:rsidRPr="00E60B69">
        <w:rPr>
          <w:b/>
          <w:bCs/>
          <w:sz w:val="20"/>
          <w:szCs w:val="20"/>
          <w:lang w:val="en-US"/>
        </w:rPr>
        <w:t>A</w:t>
      </w:r>
      <w:r w:rsidRPr="00E60B69">
        <w:rPr>
          <w:sz w:val="20"/>
          <w:szCs w:val="20"/>
          <w:lang w:val="en-US"/>
        </w:rPr>
        <w:t>) Representative images of Hematoxylin and eosin (H&amp;E - magnification 50x), Ki67 antigen (magnification 20x), PAS (magnification 50x) and TUNEL (magnification 50x) stain.</w:t>
      </w:r>
    </w:p>
    <w:p w14:paraId="4F398502" w14:textId="77777777" w:rsidR="00F44802" w:rsidRPr="00E60B69" w:rsidRDefault="00DA7FD6">
      <w:pPr>
        <w:jc w:val="center"/>
        <w:rPr>
          <w:lang w:val="en-US"/>
        </w:rPr>
      </w:pPr>
      <w:r w:rsidRPr="00E60B69">
        <w:rPr>
          <w:noProof/>
        </w:rPr>
        <mc:AlternateContent>
          <mc:Choice Requires="wps">
            <w:drawing>
              <wp:anchor distT="0" distB="0" distL="114300" distR="114300" simplePos="0" relativeHeight="251666432" behindDoc="0" locked="0" layoutInCell="1" allowOverlap="1" wp14:anchorId="02918FCC" wp14:editId="254648B2">
                <wp:simplePos x="0" y="0"/>
                <wp:positionH relativeFrom="column">
                  <wp:posOffset>342091</wp:posOffset>
                </wp:positionH>
                <wp:positionV relativeFrom="paragraph">
                  <wp:posOffset>-3868</wp:posOffset>
                </wp:positionV>
                <wp:extent cx="396933" cy="295564"/>
                <wp:effectExtent l="0" t="0" r="0" b="0"/>
                <wp:wrapNone/>
                <wp:docPr id="12" name="Casella di testo 12"/>
                <wp:cNvGraphicFramePr/>
                <a:graphic xmlns:a="http://schemas.openxmlformats.org/drawingml/2006/main">
                  <a:graphicData uri="http://schemas.microsoft.com/office/word/2010/wordprocessingShape">
                    <wps:wsp>
                      <wps:cNvSpPr txBox="1"/>
                      <wps:spPr>
                        <a:xfrm>
                          <a:off x="0" y="0"/>
                          <a:ext cx="396933" cy="295564"/>
                        </a:xfrm>
                        <a:prstGeom prst="rect">
                          <a:avLst/>
                        </a:prstGeom>
                        <a:solidFill>
                          <a:schemeClr val="lt1"/>
                        </a:solidFill>
                        <a:ln w="6350">
                          <a:noFill/>
                        </a:ln>
                      </wps:spPr>
                      <wps:txbx>
                        <w:txbxContent>
                          <w:p w14:paraId="064E7C97" w14:textId="77777777" w:rsidR="00C23514" w:rsidRDefault="00C235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18FCC" id="Casella di testo 12" o:spid="_x0000_s1027" type="#_x0000_t202" style="position:absolute;left:0;text-align:left;margin-left:26.95pt;margin-top:-.3pt;width:31.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" fillcolor="white [3201]" stroked="f" strokeweight=".5pt">
                <v:textbox>
                  <w:txbxContent>
                    <w:p w14:paraId="064E7C97" w14:textId="77777777" w:rsidR="00C23514" w:rsidRDefault="00C23514"/>
                  </w:txbxContent>
                </v:textbox>
              </v:shape>
            </w:pict>
          </mc:Fallback>
        </mc:AlternateContent>
      </w:r>
      <w:r w:rsidRPr="00E60B69">
        <w:rPr>
          <w:noProof/>
        </w:rPr>
        <w:drawing>
          <wp:inline distT="0" distB="0" distL="0" distR="0" wp14:anchorId="145FA85D" wp14:editId="34CABE25">
            <wp:extent cx="5605780" cy="5957455"/>
            <wp:effectExtent l="0" t="0" r="0" b="0"/>
            <wp:docPr id="11" name="Immagine 2" descr="Immagine che contiene diagramma&#10;&#10;Descrizione generata automaticamente">
              <a:extLst xmlns:a="http://schemas.openxmlformats.org/drawingml/2006/main">
                <a:ext uri="{FF2B5EF4-FFF2-40B4-BE49-F238E27FC236}">
                  <a16:creationId xmlns:a16="http://schemas.microsoft.com/office/drawing/2014/main" id="{A9238A9C-FB58-0248-8C2D-0ED2C015E9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2" descr="Immagine che contiene diagramma&#10;&#10;Descrizione generata automaticamente">
                      <a:extLst>
                        <a:ext uri="{FF2B5EF4-FFF2-40B4-BE49-F238E27FC236}">
                          <a16:creationId xmlns:a16="http://schemas.microsoft.com/office/drawing/2014/main" id="{A9238A9C-FB58-0248-8C2D-0ED2C015E948}"/>
                        </a:ext>
                      </a:extLst>
                    </pic:cNvPr>
                    <pic:cNvPicPr>
                      <a:picLocks noChangeAspect="1"/>
                    </pic:cNvPicPr>
                  </pic:nvPicPr>
                  <pic:blipFill rotWithShape="1">
                    <a:blip r:embed="rId15"/>
                    <a:srcRect t="1688" r="18250" b="31179"/>
                    <a:stretch/>
                  </pic:blipFill>
                  <pic:spPr bwMode="auto">
                    <a:xfrm>
                      <a:off x="0" y="0"/>
                      <a:ext cx="5606321" cy="5958030"/>
                    </a:xfrm>
                    <a:prstGeom prst="rect">
                      <a:avLst/>
                    </a:prstGeom>
                    <a:ln>
                      <a:noFill/>
                    </a:ln>
                    <a:extLst>
                      <a:ext uri="{53640926-AAD7-44D8-BBD7-CCE9431645EC}">
                        <a14:shadowObscured xmlns:a14="http://schemas.microsoft.com/office/drawing/2010/main"/>
                      </a:ext>
                    </a:extLst>
                  </pic:spPr>
                </pic:pic>
              </a:graphicData>
            </a:graphic>
          </wp:inline>
        </w:drawing>
      </w:r>
    </w:p>
    <w:p w14:paraId="6CB08799" w14:textId="77777777" w:rsidR="00F44802" w:rsidRPr="00E60B69" w:rsidRDefault="00F44802">
      <w:pPr>
        <w:rPr>
          <w:lang w:val="en-US"/>
        </w:rPr>
      </w:pPr>
    </w:p>
    <w:p w14:paraId="4B4EEBAC" w14:textId="77777777" w:rsidR="00F44802" w:rsidRPr="00E60B69" w:rsidRDefault="00F44802">
      <w:pPr>
        <w:rPr>
          <w:b/>
          <w:bCs/>
          <w:noProof/>
          <w:lang w:val="en-US"/>
        </w:rPr>
        <w:sectPr w:rsidR="00F44802" w:rsidRPr="00E60B69">
          <w:pgSz w:w="11900" w:h="16840"/>
          <w:pgMar w:top="1417" w:right="1134" w:bottom="1134" w:left="1134" w:header="708" w:footer="708" w:gutter="0"/>
          <w:cols w:space="708"/>
          <w:docGrid w:linePitch="360"/>
        </w:sectPr>
      </w:pPr>
    </w:p>
    <w:p w14:paraId="043AA92B" w14:textId="6214281A" w:rsidR="00A933EF" w:rsidRPr="00E60B69" w:rsidRDefault="00DA7FD6" w:rsidP="00B83925">
      <w:pPr>
        <w:pStyle w:val="Titolo2"/>
        <w:rPr>
          <w:rFonts w:ascii="Times New Roman" w:hAnsi="Times New Roman" w:cs="Times New Roman"/>
          <w:sz w:val="20"/>
          <w:szCs w:val="20"/>
        </w:rPr>
      </w:pPr>
      <w:bookmarkStart w:id="28" w:name="_Toc142384270"/>
      <w:r w:rsidRPr="00E60B69">
        <w:rPr>
          <w:rFonts w:ascii="Times New Roman" w:hAnsi="Times New Roman" w:cs="Times New Roman"/>
          <w:sz w:val="20"/>
          <w:szCs w:val="20"/>
        </w:rPr>
        <w:lastRenderedPageBreak/>
        <w:t xml:space="preserve">Supplementary figure </w:t>
      </w:r>
      <w:r w:rsidR="00B83925" w:rsidRPr="00E60B69">
        <w:rPr>
          <w:rFonts w:ascii="Times New Roman" w:hAnsi="Times New Roman" w:cs="Times New Roman"/>
          <w:sz w:val="20"/>
          <w:szCs w:val="20"/>
        </w:rPr>
        <w:t>7</w:t>
      </w:r>
      <w:r w:rsidRPr="00E60B69">
        <w:rPr>
          <w:rFonts w:ascii="Times New Roman" w:hAnsi="Times New Roman" w:cs="Times New Roman"/>
          <w:sz w:val="20"/>
          <w:szCs w:val="20"/>
        </w:rPr>
        <w:t xml:space="preserve">. </w:t>
      </w:r>
      <w:r w:rsidR="00A933EF" w:rsidRPr="00E60B69">
        <w:rPr>
          <w:rFonts w:ascii="Times New Roman" w:hAnsi="Times New Roman" w:cs="Times New Roman"/>
          <w:sz w:val="20"/>
          <w:szCs w:val="20"/>
        </w:rPr>
        <w:t xml:space="preserve">Release of </w:t>
      </w:r>
      <w:r w:rsidR="00E25A05" w:rsidRPr="00E60B69">
        <w:rPr>
          <w:rFonts w:ascii="Times New Roman" w:hAnsi="Times New Roman" w:cs="Times New Roman"/>
          <w:sz w:val="20"/>
          <w:szCs w:val="20"/>
        </w:rPr>
        <w:t>G</w:t>
      </w:r>
      <w:r w:rsidRPr="00E60B69">
        <w:rPr>
          <w:rFonts w:ascii="Times New Roman" w:hAnsi="Times New Roman" w:cs="Times New Roman"/>
          <w:sz w:val="20"/>
          <w:szCs w:val="20"/>
        </w:rPr>
        <w:t>lycosaminoglycan (GAG) fragments</w:t>
      </w:r>
      <w:r w:rsidR="00A933EF" w:rsidRPr="00E60B69">
        <w:rPr>
          <w:rFonts w:ascii="Times New Roman" w:hAnsi="Times New Roman" w:cs="Times New Roman"/>
          <w:sz w:val="20"/>
          <w:szCs w:val="20"/>
        </w:rPr>
        <w:t xml:space="preserve"> over the 12 h-NMP procedure</w:t>
      </w:r>
      <w:r w:rsidRPr="00E60B69">
        <w:rPr>
          <w:rFonts w:ascii="Times New Roman" w:hAnsi="Times New Roman" w:cs="Times New Roman"/>
          <w:sz w:val="20"/>
          <w:szCs w:val="20"/>
        </w:rPr>
        <w:t>.</w:t>
      </w:r>
      <w:bookmarkEnd w:id="28"/>
      <w:r w:rsidRPr="00E60B69">
        <w:rPr>
          <w:rFonts w:ascii="Times New Roman" w:hAnsi="Times New Roman" w:cs="Times New Roman"/>
          <w:sz w:val="20"/>
          <w:szCs w:val="20"/>
        </w:rPr>
        <w:t xml:space="preserve"> </w:t>
      </w:r>
    </w:p>
    <w:p w14:paraId="2DB3FF53" w14:textId="32B27B8D" w:rsidR="00F44802" w:rsidRPr="00E60B69" w:rsidRDefault="00DA7FD6">
      <w:pPr>
        <w:rPr>
          <w:sz w:val="20"/>
          <w:szCs w:val="20"/>
          <w:lang w:val="en-US"/>
        </w:rPr>
      </w:pPr>
      <w:r w:rsidRPr="00E60B69">
        <w:rPr>
          <w:sz w:val="20"/>
          <w:szCs w:val="20"/>
          <w:lang w:val="en-US"/>
        </w:rPr>
        <w:t>GAG release was measured in perfusate samples collected during prolonged MP. One-way repetitive measures ANOVA, Tukey’s post hoc test; p values: ** p &lt; 0.01 vs wash-out (WO).</w:t>
      </w:r>
    </w:p>
    <w:p w14:paraId="6D56E4D2" w14:textId="77777777" w:rsidR="00F44802" w:rsidRPr="00E60B69" w:rsidRDefault="00F44802">
      <w:pPr>
        <w:rPr>
          <w:lang w:val="en-US"/>
        </w:rPr>
      </w:pPr>
    </w:p>
    <w:p w14:paraId="39954C0B" w14:textId="77777777" w:rsidR="00F44802" w:rsidRPr="00E60B69" w:rsidRDefault="00DA7FD6">
      <w:pPr>
        <w:jc w:val="center"/>
        <w:rPr>
          <w:lang w:val="en-US"/>
        </w:rPr>
      </w:pPr>
      <w:r w:rsidRPr="00E60B69">
        <w:rPr>
          <w:noProof/>
        </w:rPr>
        <w:drawing>
          <wp:inline distT="0" distB="0" distL="0" distR="0" wp14:anchorId="60ED5A6B" wp14:editId="45B576DC">
            <wp:extent cx="3063051" cy="2424223"/>
            <wp:effectExtent l="0" t="0" r="0" b="1905"/>
            <wp:docPr id="10" name="Immagine 10" descr="Immagine che contiene graf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grafico&#10;&#10;Descrizione generata automaticament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9821" t="7551" b="7742"/>
                    <a:stretch/>
                  </pic:blipFill>
                  <pic:spPr bwMode="auto">
                    <a:xfrm>
                      <a:off x="0" y="0"/>
                      <a:ext cx="3067987" cy="2428130"/>
                    </a:xfrm>
                    <a:prstGeom prst="rect">
                      <a:avLst/>
                    </a:prstGeom>
                    <a:noFill/>
                    <a:ln>
                      <a:noFill/>
                    </a:ln>
                    <a:extLst>
                      <a:ext uri="{53640926-AAD7-44D8-BBD7-CCE9431645EC}">
                        <a14:shadowObscured xmlns:a14="http://schemas.microsoft.com/office/drawing/2010/main"/>
                      </a:ext>
                    </a:extLst>
                  </pic:spPr>
                </pic:pic>
              </a:graphicData>
            </a:graphic>
          </wp:inline>
        </w:drawing>
      </w:r>
    </w:p>
    <w:p w14:paraId="2F93104C" w14:textId="77777777" w:rsidR="00F44802" w:rsidRPr="00E60B69" w:rsidRDefault="00F44802">
      <w:pPr>
        <w:rPr>
          <w:lang w:val="en-US"/>
        </w:rPr>
      </w:pPr>
    </w:p>
    <w:p w14:paraId="37E50655" w14:textId="77777777" w:rsidR="00F44802" w:rsidRPr="00E60B69" w:rsidRDefault="00F44802">
      <w:pPr>
        <w:rPr>
          <w:lang w:val="en-US"/>
        </w:rPr>
        <w:sectPr w:rsidR="00F44802" w:rsidRPr="00E60B69">
          <w:pgSz w:w="11900" w:h="16840"/>
          <w:pgMar w:top="1417" w:right="1134" w:bottom="1134" w:left="1134" w:header="708" w:footer="708" w:gutter="0"/>
          <w:cols w:space="708"/>
          <w:docGrid w:linePitch="360"/>
        </w:sectPr>
      </w:pPr>
    </w:p>
    <w:p w14:paraId="291B7D56" w14:textId="7876EFB7" w:rsidR="00A933EF" w:rsidRPr="00E60B69" w:rsidRDefault="00DA7FD6" w:rsidP="00B83925">
      <w:pPr>
        <w:pStyle w:val="Titolo2"/>
        <w:rPr>
          <w:rFonts w:ascii="Times New Roman" w:hAnsi="Times New Roman" w:cs="Times New Roman"/>
          <w:sz w:val="20"/>
          <w:szCs w:val="20"/>
        </w:rPr>
      </w:pPr>
      <w:r w:rsidRPr="00E60B69">
        <w:rPr>
          <w:rStyle w:val="Titolo2Carattere"/>
          <w:rFonts w:ascii="Times New Roman" w:hAnsi="Times New Roman" w:cs="Times New Roman"/>
          <w:b/>
          <w:sz w:val="20"/>
          <w:szCs w:val="20"/>
        </w:rPr>
        <w:lastRenderedPageBreak/>
        <w:t xml:space="preserve"> </w:t>
      </w:r>
      <w:bookmarkStart w:id="29" w:name="_Toc142384271"/>
      <w:r w:rsidRPr="00E60B69">
        <w:rPr>
          <w:rFonts w:ascii="Times New Roman" w:hAnsi="Times New Roman" w:cs="Times New Roman"/>
          <w:sz w:val="20"/>
          <w:szCs w:val="20"/>
        </w:rPr>
        <w:t xml:space="preserve">Supplementary figure </w:t>
      </w:r>
      <w:r w:rsidR="00B83925" w:rsidRPr="00E60B69">
        <w:rPr>
          <w:rFonts w:ascii="Times New Roman" w:hAnsi="Times New Roman" w:cs="Times New Roman"/>
          <w:sz w:val="20"/>
          <w:szCs w:val="20"/>
        </w:rPr>
        <w:t>8</w:t>
      </w:r>
      <w:r w:rsidRPr="00E60B69">
        <w:rPr>
          <w:rFonts w:ascii="Times New Roman" w:hAnsi="Times New Roman" w:cs="Times New Roman"/>
          <w:sz w:val="20"/>
          <w:szCs w:val="20"/>
        </w:rPr>
        <w:t xml:space="preserve">. NADH release in the perfusate over </w:t>
      </w:r>
      <w:r w:rsidR="00A933EF" w:rsidRPr="00E60B69">
        <w:rPr>
          <w:rFonts w:ascii="Times New Roman" w:hAnsi="Times New Roman" w:cs="Times New Roman"/>
          <w:sz w:val="20"/>
          <w:szCs w:val="20"/>
        </w:rPr>
        <w:t>the 12 h-</w:t>
      </w:r>
      <w:r w:rsidRPr="00E60B69">
        <w:rPr>
          <w:rFonts w:ascii="Times New Roman" w:hAnsi="Times New Roman" w:cs="Times New Roman"/>
          <w:sz w:val="20"/>
          <w:szCs w:val="20"/>
        </w:rPr>
        <w:t>NMP</w:t>
      </w:r>
      <w:r w:rsidR="00A933EF" w:rsidRPr="00E60B69">
        <w:rPr>
          <w:rFonts w:ascii="Times New Roman" w:hAnsi="Times New Roman" w:cs="Times New Roman"/>
          <w:sz w:val="20"/>
          <w:szCs w:val="20"/>
        </w:rPr>
        <w:t xml:space="preserve"> procedure</w:t>
      </w:r>
      <w:r w:rsidRPr="00E60B69">
        <w:rPr>
          <w:rFonts w:ascii="Times New Roman" w:hAnsi="Times New Roman" w:cs="Times New Roman"/>
          <w:sz w:val="20"/>
          <w:szCs w:val="20"/>
        </w:rPr>
        <w:t>.</w:t>
      </w:r>
      <w:bookmarkEnd w:id="29"/>
      <w:r w:rsidRPr="00E60B69">
        <w:rPr>
          <w:rFonts w:ascii="Times New Roman" w:hAnsi="Times New Roman" w:cs="Times New Roman"/>
          <w:sz w:val="20"/>
          <w:szCs w:val="20"/>
        </w:rPr>
        <w:t xml:space="preserve"> </w:t>
      </w:r>
    </w:p>
    <w:p w14:paraId="2F45B78E" w14:textId="169F22A6" w:rsidR="00F44802" w:rsidRPr="00E60B69" w:rsidRDefault="00DA7FD6">
      <w:pPr>
        <w:rPr>
          <w:sz w:val="20"/>
          <w:szCs w:val="20"/>
          <w:lang w:val="en-US"/>
        </w:rPr>
      </w:pPr>
      <w:r w:rsidRPr="00E60B69">
        <w:rPr>
          <w:sz w:val="20"/>
          <w:szCs w:val="20"/>
          <w:lang w:val="en-US"/>
        </w:rPr>
        <w:t>One-way repeated measures ANOVA, Tukey’s post hoc test; p value vs Wash-out (W) *** p&lt;0.001; p value vs 1 h §§§ p&lt;0.001; p value vs 4 h ### p&lt;0.001; p value vs 8 h °°° p&lt;0.001.</w:t>
      </w:r>
    </w:p>
    <w:p w14:paraId="7200F040" w14:textId="77777777" w:rsidR="00A933EF" w:rsidRPr="00E60B69" w:rsidRDefault="00A933EF">
      <w:pPr>
        <w:rPr>
          <w:b/>
          <w:bCs/>
          <w:noProof/>
          <w:lang w:val="en-US"/>
        </w:rPr>
      </w:pPr>
    </w:p>
    <w:p w14:paraId="4E2F0AD9" w14:textId="0A20B91C" w:rsidR="00017FC9" w:rsidRPr="00E60B69" w:rsidRDefault="00017FC9" w:rsidP="00E8130E">
      <w:pPr>
        <w:jc w:val="center"/>
        <w:rPr>
          <w:b/>
          <w:bCs/>
          <w:noProof/>
          <w:lang w:val="en-US"/>
        </w:rPr>
      </w:pPr>
      <w:r w:rsidRPr="00E60B69">
        <w:rPr>
          <w:b/>
          <w:bCs/>
          <w:noProof/>
          <w:lang w:val="en-US"/>
        </w:rPr>
        <w:drawing>
          <wp:inline distT="0" distB="0" distL="0" distR="0" wp14:anchorId="246A2CDB" wp14:editId="49210E8B">
            <wp:extent cx="2867702" cy="2551814"/>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76102" cy="2559289"/>
                    </a:xfrm>
                    <a:prstGeom prst="rect">
                      <a:avLst/>
                    </a:prstGeom>
                  </pic:spPr>
                </pic:pic>
              </a:graphicData>
            </a:graphic>
          </wp:inline>
        </w:drawing>
      </w:r>
    </w:p>
    <w:p w14:paraId="209F9396" w14:textId="77777777" w:rsidR="00F44802" w:rsidRPr="00E60B69" w:rsidRDefault="00F44802">
      <w:pPr>
        <w:rPr>
          <w:lang w:val="en-US"/>
        </w:rPr>
      </w:pPr>
    </w:p>
    <w:p w14:paraId="24EDA288" w14:textId="77777777" w:rsidR="00F44802" w:rsidRPr="00E60B69" w:rsidRDefault="00F44802">
      <w:pPr>
        <w:rPr>
          <w:lang w:val="en-US"/>
        </w:rPr>
      </w:pPr>
    </w:p>
    <w:p w14:paraId="4B81085B" w14:textId="77777777" w:rsidR="00F44802" w:rsidRPr="00E60B69" w:rsidRDefault="00F44802">
      <w:pPr>
        <w:rPr>
          <w:lang w:val="en-US"/>
        </w:rPr>
      </w:pPr>
    </w:p>
    <w:p w14:paraId="302A79CE" w14:textId="77777777" w:rsidR="00F44802" w:rsidRPr="00E60B69" w:rsidRDefault="00DA7FD6">
      <w:pPr>
        <w:spacing w:line="240" w:lineRule="auto"/>
        <w:jc w:val="left"/>
        <w:rPr>
          <w:lang w:val="en-US"/>
        </w:rPr>
      </w:pPr>
      <w:r w:rsidRPr="00E60B69">
        <w:rPr>
          <w:lang w:val="en-US"/>
        </w:rPr>
        <w:br w:type="page"/>
      </w:r>
    </w:p>
    <w:p w14:paraId="0F678D60" w14:textId="356C7E1C" w:rsidR="00A933EF" w:rsidRPr="00E60B69" w:rsidRDefault="00DA7FD6" w:rsidP="00B83925">
      <w:pPr>
        <w:pStyle w:val="Titolo2"/>
        <w:rPr>
          <w:rFonts w:ascii="Times New Roman" w:hAnsi="Times New Roman" w:cs="Times New Roman"/>
          <w:sz w:val="20"/>
          <w:szCs w:val="20"/>
        </w:rPr>
      </w:pPr>
      <w:bookmarkStart w:id="30" w:name="_Toc142384272"/>
      <w:r w:rsidRPr="00E60B69">
        <w:rPr>
          <w:rFonts w:ascii="Times New Roman" w:hAnsi="Times New Roman" w:cs="Times New Roman"/>
          <w:sz w:val="20"/>
          <w:szCs w:val="20"/>
        </w:rPr>
        <w:lastRenderedPageBreak/>
        <w:t xml:space="preserve">Supplementary figure </w:t>
      </w:r>
      <w:r w:rsidR="00B83925" w:rsidRPr="00E60B69">
        <w:rPr>
          <w:rFonts w:ascii="Times New Roman" w:hAnsi="Times New Roman" w:cs="Times New Roman"/>
          <w:sz w:val="20"/>
          <w:szCs w:val="20"/>
        </w:rPr>
        <w:t>9</w:t>
      </w:r>
      <w:r w:rsidRPr="00E60B69">
        <w:rPr>
          <w:rFonts w:ascii="Times New Roman" w:hAnsi="Times New Roman" w:cs="Times New Roman"/>
          <w:sz w:val="20"/>
          <w:szCs w:val="20"/>
        </w:rPr>
        <w:t>. Liver tissue metabolomics analysis.</w:t>
      </w:r>
      <w:bookmarkEnd w:id="30"/>
      <w:r w:rsidRPr="00E60B69">
        <w:rPr>
          <w:rFonts w:ascii="Times New Roman" w:hAnsi="Times New Roman" w:cs="Times New Roman"/>
          <w:sz w:val="20"/>
          <w:szCs w:val="20"/>
        </w:rPr>
        <w:t xml:space="preserve"> </w:t>
      </w:r>
    </w:p>
    <w:p w14:paraId="688F9924" w14:textId="38C4140C" w:rsidR="00F44802" w:rsidRPr="00E60B69" w:rsidRDefault="00DA7FD6">
      <w:pPr>
        <w:rPr>
          <w:sz w:val="20"/>
          <w:szCs w:val="20"/>
          <w:lang w:val="en-GB"/>
        </w:rPr>
      </w:pPr>
      <w:r w:rsidRPr="00E60B69">
        <w:rPr>
          <w:sz w:val="20"/>
          <w:szCs w:val="20"/>
          <w:lang w:val="en-GB"/>
        </w:rPr>
        <w:t xml:space="preserve">A) </w:t>
      </w:r>
      <w:r w:rsidR="00A559C8" w:rsidRPr="00E60B69">
        <w:rPr>
          <w:sz w:val="20"/>
          <w:szCs w:val="20"/>
          <w:lang w:val="en-GB"/>
        </w:rPr>
        <w:t>F</w:t>
      </w:r>
      <w:r w:rsidRPr="00E60B69">
        <w:rPr>
          <w:sz w:val="20"/>
          <w:szCs w:val="20"/>
          <w:lang w:val="en-GB"/>
        </w:rPr>
        <w:t>ull averaged heatmap of quantified metabolite averaged concentrations, Ward clustering algorithm. B) Principal component analysis (PCA) scores plot illustrating general group separation based on metabolite concentration differences. C) Pattern hunter correlation analysis of glucose, illustrating positive and negative correlating metabolite concentration patterns within the dataset.</w:t>
      </w:r>
    </w:p>
    <w:p w14:paraId="5AEFA6B0" w14:textId="6E8298C5" w:rsidR="00000B94" w:rsidRPr="00E60B69" w:rsidRDefault="00DA7FD6">
      <w:pPr>
        <w:rPr>
          <w:lang w:val="en-US"/>
        </w:rPr>
      </w:pPr>
      <w:r w:rsidRPr="00E60B69">
        <w:rPr>
          <w:noProof/>
          <w:lang w:val="en-US"/>
        </w:rPr>
        <w:drawing>
          <wp:inline distT="0" distB="0" distL="0" distR="0" wp14:anchorId="41F59275" wp14:editId="050058B7">
            <wp:extent cx="6116320" cy="59818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6320" cy="5981849"/>
                    </a:xfrm>
                    <a:prstGeom prst="rect">
                      <a:avLst/>
                    </a:prstGeom>
                    <a:noFill/>
                  </pic:spPr>
                </pic:pic>
              </a:graphicData>
            </a:graphic>
          </wp:inline>
        </w:drawing>
      </w:r>
    </w:p>
    <w:p w14:paraId="428365B8" w14:textId="77777777" w:rsidR="00000B94" w:rsidRPr="00E60B69" w:rsidRDefault="00000B94">
      <w:pPr>
        <w:rPr>
          <w:lang w:val="en-US"/>
        </w:rPr>
        <w:sectPr w:rsidR="00000B94" w:rsidRPr="00E60B69">
          <w:pgSz w:w="11900" w:h="16840"/>
          <w:pgMar w:top="1417" w:right="1134" w:bottom="1134" w:left="1134" w:header="708" w:footer="708" w:gutter="0"/>
          <w:cols w:space="708"/>
          <w:docGrid w:linePitch="360"/>
        </w:sectPr>
      </w:pPr>
    </w:p>
    <w:p w14:paraId="232BA246" w14:textId="0E965FE3" w:rsidR="00000B94" w:rsidRPr="00E60B69" w:rsidRDefault="00000B94" w:rsidP="00E60B69">
      <w:pPr>
        <w:pStyle w:val="Titolo1"/>
      </w:pPr>
      <w:bookmarkStart w:id="31" w:name="_Toc142384273"/>
      <w:r w:rsidRPr="00E60B69">
        <w:lastRenderedPageBreak/>
        <w:t>References</w:t>
      </w:r>
      <w:bookmarkEnd w:id="31"/>
    </w:p>
    <w:p w14:paraId="7BB10B44" w14:textId="77777777" w:rsidR="00000B94" w:rsidRPr="00E60B69" w:rsidRDefault="00000B94">
      <w:pPr>
        <w:rPr>
          <w:sz w:val="20"/>
          <w:szCs w:val="20"/>
          <w:lang w:val="en-US"/>
        </w:rPr>
      </w:pPr>
    </w:p>
    <w:p w14:paraId="48115B03" w14:textId="33F69C09" w:rsidR="00000B94" w:rsidRPr="00E60B69" w:rsidRDefault="00000B94" w:rsidP="00000B94">
      <w:pPr>
        <w:widowControl w:val="0"/>
        <w:autoSpaceDE w:val="0"/>
        <w:autoSpaceDN w:val="0"/>
        <w:adjustRightInd w:val="0"/>
        <w:ind w:left="640" w:hanging="640"/>
        <w:rPr>
          <w:noProof/>
          <w:sz w:val="20"/>
          <w:szCs w:val="20"/>
        </w:rPr>
      </w:pPr>
      <w:r w:rsidRPr="00E60B69">
        <w:rPr>
          <w:sz w:val="20"/>
          <w:szCs w:val="20"/>
          <w:lang w:val="en-US"/>
        </w:rPr>
        <w:fldChar w:fldCharType="begin" w:fldLock="1"/>
      </w:r>
      <w:r w:rsidRPr="00E60B69">
        <w:rPr>
          <w:sz w:val="20"/>
          <w:szCs w:val="20"/>
          <w:lang w:val="en-US"/>
        </w:rPr>
        <w:instrText xml:space="preserve">ADDIN Mendeley Bibliography CSL_BIBLIOGRAPHY </w:instrText>
      </w:r>
      <w:r w:rsidRPr="00E60B69">
        <w:rPr>
          <w:sz w:val="20"/>
          <w:szCs w:val="20"/>
          <w:lang w:val="en-US"/>
        </w:rPr>
        <w:fldChar w:fldCharType="separate"/>
      </w:r>
      <w:r w:rsidRPr="00E60B69">
        <w:rPr>
          <w:noProof/>
          <w:sz w:val="20"/>
          <w:szCs w:val="20"/>
          <w:lang w:val="en-US"/>
        </w:rPr>
        <w:t xml:space="preserve">1. </w:t>
      </w:r>
      <w:r w:rsidRPr="00E60B69">
        <w:rPr>
          <w:noProof/>
          <w:sz w:val="20"/>
          <w:szCs w:val="20"/>
          <w:lang w:val="en-US"/>
        </w:rPr>
        <w:tab/>
        <w:t>Hast P. Determination of NADH Concentrations with the Synergy</w:t>
      </w:r>
      <w:r w:rsidRPr="00E60B69">
        <w:rPr>
          <w:noProof/>
          <w:sz w:val="20"/>
          <w:szCs w:val="20"/>
          <w:vertAlign w:val="superscript"/>
          <w:lang w:val="en-US"/>
        </w:rPr>
        <w:t>TM</w:t>
      </w:r>
      <w:r w:rsidRPr="00E60B69">
        <w:rPr>
          <w:noProof/>
          <w:sz w:val="20"/>
          <w:szCs w:val="20"/>
          <w:lang w:val="en-US"/>
        </w:rPr>
        <w:t xml:space="preserve"> 2 Multi-Detection Microplate Reader using Fluorescence or Absorbance. </w:t>
      </w:r>
      <w:r w:rsidRPr="00E60B69">
        <w:rPr>
          <w:noProof/>
          <w:sz w:val="20"/>
          <w:szCs w:val="20"/>
        </w:rPr>
        <w:t xml:space="preserve">2007. </w:t>
      </w:r>
    </w:p>
    <w:p w14:paraId="5CDD5A47" w14:textId="77777777" w:rsidR="00000B94" w:rsidRPr="00E60B69" w:rsidRDefault="00000B94" w:rsidP="00000B94">
      <w:pPr>
        <w:widowControl w:val="0"/>
        <w:autoSpaceDE w:val="0"/>
        <w:autoSpaceDN w:val="0"/>
        <w:adjustRightInd w:val="0"/>
        <w:ind w:left="640" w:hanging="640"/>
        <w:rPr>
          <w:noProof/>
          <w:sz w:val="20"/>
          <w:szCs w:val="20"/>
          <w:lang w:val="en-US"/>
        </w:rPr>
      </w:pPr>
      <w:r w:rsidRPr="00E60B69">
        <w:rPr>
          <w:noProof/>
          <w:sz w:val="20"/>
          <w:szCs w:val="20"/>
        </w:rPr>
        <w:t xml:space="preserve">2. </w:t>
      </w:r>
      <w:r w:rsidRPr="00E60B69">
        <w:rPr>
          <w:noProof/>
          <w:sz w:val="20"/>
          <w:szCs w:val="20"/>
        </w:rPr>
        <w:tab/>
        <w:t xml:space="preserve">Lonati C, Battistin M, Dondossola DE, Bassani GA, Brambilla D, Merighi R, et al. </w:t>
      </w:r>
      <w:r w:rsidRPr="00E60B69">
        <w:rPr>
          <w:noProof/>
          <w:sz w:val="20"/>
          <w:szCs w:val="20"/>
          <w:lang w:val="en-US"/>
        </w:rPr>
        <w:t xml:space="preserve">NDP-MSH treatment recovers marginal lungs during ex vivo lung perfusion (EVLP). Peptides. 2021;141(December 2020). </w:t>
      </w:r>
    </w:p>
    <w:p w14:paraId="32DD4DFB" w14:textId="77777777" w:rsidR="00000B94" w:rsidRPr="00E60B69" w:rsidRDefault="00000B94" w:rsidP="00000B94">
      <w:pPr>
        <w:widowControl w:val="0"/>
        <w:autoSpaceDE w:val="0"/>
        <w:autoSpaceDN w:val="0"/>
        <w:adjustRightInd w:val="0"/>
        <w:ind w:left="640" w:hanging="640"/>
        <w:rPr>
          <w:noProof/>
          <w:sz w:val="20"/>
          <w:szCs w:val="20"/>
          <w:lang w:val="en-US"/>
        </w:rPr>
      </w:pPr>
      <w:r w:rsidRPr="00E60B69">
        <w:rPr>
          <w:noProof/>
          <w:sz w:val="20"/>
          <w:szCs w:val="20"/>
          <w:lang w:val="en-US"/>
        </w:rPr>
        <w:t xml:space="preserve">3. </w:t>
      </w:r>
      <w:r w:rsidRPr="00E60B69">
        <w:rPr>
          <w:noProof/>
          <w:sz w:val="20"/>
          <w:szCs w:val="20"/>
          <w:lang w:val="en-US"/>
        </w:rPr>
        <w:tab/>
        <w:t xml:space="preserve">Balls M. It’s Time to Reconsider The Principles of Humane Experimental Technique. ATLA Altern to Lab Anim. 2020;48(1):40–6. </w:t>
      </w:r>
    </w:p>
    <w:p w14:paraId="6F055725" w14:textId="77777777" w:rsidR="00000B94" w:rsidRPr="00E60B69" w:rsidRDefault="00000B94" w:rsidP="00000B94">
      <w:pPr>
        <w:widowControl w:val="0"/>
        <w:autoSpaceDE w:val="0"/>
        <w:autoSpaceDN w:val="0"/>
        <w:adjustRightInd w:val="0"/>
        <w:ind w:left="640" w:hanging="640"/>
        <w:rPr>
          <w:noProof/>
          <w:sz w:val="20"/>
          <w:szCs w:val="20"/>
        </w:rPr>
      </w:pPr>
      <w:r w:rsidRPr="00E60B69">
        <w:rPr>
          <w:noProof/>
          <w:sz w:val="20"/>
          <w:szCs w:val="20"/>
          <w:lang w:val="en-US"/>
        </w:rPr>
        <w:t xml:space="preserve">4. </w:t>
      </w:r>
      <w:r w:rsidRPr="00E60B69">
        <w:rPr>
          <w:noProof/>
          <w:sz w:val="20"/>
          <w:szCs w:val="20"/>
          <w:lang w:val="en-US"/>
        </w:rPr>
        <w:tab/>
        <w:t xml:space="preserve">Russell WMS, Burch RL. The Principles of Humane Experimental Technique. Methuen Co, Ltd. 1959; </w:t>
      </w:r>
    </w:p>
    <w:p w14:paraId="67F2FAF4" w14:textId="46101EBC" w:rsidR="00F44802" w:rsidRPr="00E60B69" w:rsidRDefault="00000B94">
      <w:pPr>
        <w:rPr>
          <w:lang w:val="en-US"/>
        </w:rPr>
      </w:pPr>
      <w:r w:rsidRPr="00E60B69">
        <w:rPr>
          <w:sz w:val="20"/>
          <w:szCs w:val="20"/>
          <w:lang w:val="en-US"/>
        </w:rPr>
        <w:fldChar w:fldCharType="end"/>
      </w:r>
      <w:r w:rsidR="00DA7FD6" w:rsidRPr="00E60B69">
        <w:rPr>
          <w:noProof/>
        </w:rPr>
        <mc:AlternateContent>
          <mc:Choice Requires="wps">
            <w:drawing>
              <wp:anchor distT="0" distB="0" distL="114300" distR="114300" simplePos="0" relativeHeight="251658240" behindDoc="0" locked="0" layoutInCell="1" allowOverlap="1" wp14:anchorId="79581F85" wp14:editId="44BE369D">
                <wp:simplePos x="0" y="0"/>
                <wp:positionH relativeFrom="column">
                  <wp:posOffset>273685</wp:posOffset>
                </wp:positionH>
                <wp:positionV relativeFrom="paragraph">
                  <wp:posOffset>-635</wp:posOffset>
                </wp:positionV>
                <wp:extent cx="6858000" cy="457200"/>
                <wp:effectExtent l="0" t="0" r="0" b="0"/>
                <wp:wrapNone/>
                <wp:docPr id="50" name="Rectangle 1">
                  <a:extLst xmlns:a="http://schemas.openxmlformats.org/drawingml/2006/main">
                    <a:ext uri="{FF2B5EF4-FFF2-40B4-BE49-F238E27FC236}">
                      <a16:creationId xmlns:a16="http://schemas.microsoft.com/office/drawing/2014/main" id="{36BCF659-8C0E-3F43-8B55-6DA3D53B76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xmlns:oel="http://schemas.microsoft.com/office/2019/extlst" xmlns:w16du="http://schemas.microsoft.com/office/word/2023/wordml/word16du">
            <w:pict>
              <v:rect w14:anchorId="217215EB" id="Rectangle 1" o:spid="_x0000_s1026" style="position:absolute;margin-left:21.55pt;margin-top:-.05pt;width:540pt;height:36pt;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" filled="f" fillcolor="#4472c4 [3204]" stroked="f" strokecolor="black [3213]">
                <v:shadow color="#e7e6e6 [3214]"/>
                <v:textbox style="mso-fit-shape-to-text:t"/>
              </v:rect>
            </w:pict>
          </mc:Fallback>
        </mc:AlternateContent>
      </w:r>
    </w:p>
    <w:sectPr w:rsidR="00F44802" w:rsidRPr="00E60B6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B87E1" w14:textId="77777777" w:rsidR="002510B2" w:rsidRDefault="002510B2">
      <w:pPr>
        <w:spacing w:line="240" w:lineRule="auto"/>
      </w:pPr>
      <w:r>
        <w:separator/>
      </w:r>
    </w:p>
  </w:endnote>
  <w:endnote w:type="continuationSeparator" w:id="0">
    <w:p w14:paraId="2F8AB8D5" w14:textId="77777777" w:rsidR="002510B2" w:rsidRDefault="0025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90984882"/>
      <w:docPartObj>
        <w:docPartGallery w:val="Page Numbers (Bottom of Page)"/>
        <w:docPartUnique/>
      </w:docPartObj>
    </w:sdtPr>
    <w:sdtEndPr>
      <w:rPr>
        <w:rStyle w:val="Numeropagina"/>
      </w:rPr>
    </w:sdtEndPr>
    <w:sdtContent>
      <w:p w14:paraId="5886F8B8" w14:textId="77777777" w:rsidR="00C23514" w:rsidRDefault="00C2351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D00989D" w14:textId="77777777" w:rsidR="00C23514" w:rsidRDefault="00C2351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3603227"/>
      <w:docPartObj>
        <w:docPartGallery w:val="Page Numbers (Bottom of Page)"/>
        <w:docPartUnique/>
      </w:docPartObj>
    </w:sdtPr>
    <w:sdtEndPr>
      <w:rPr>
        <w:rStyle w:val="Numeropagina"/>
      </w:rPr>
    </w:sdtEndPr>
    <w:sdtContent>
      <w:p w14:paraId="2BECF432" w14:textId="77777777" w:rsidR="00C23514" w:rsidRDefault="00C2351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C60E0F4" w14:textId="77777777" w:rsidR="00C23514" w:rsidRDefault="00C2351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6C7B" w14:textId="77777777" w:rsidR="002510B2" w:rsidRDefault="002510B2">
      <w:pPr>
        <w:spacing w:line="240" w:lineRule="auto"/>
      </w:pPr>
      <w:r>
        <w:separator/>
      </w:r>
    </w:p>
  </w:footnote>
  <w:footnote w:type="continuationSeparator" w:id="0">
    <w:p w14:paraId="5F7340F2" w14:textId="77777777" w:rsidR="002510B2" w:rsidRDefault="002510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A2FB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BF5F7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BA0D7F"/>
    <w:multiLevelType w:val="hybridMultilevel"/>
    <w:tmpl w:val="3A80A9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7B5F0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A31C2C"/>
    <w:multiLevelType w:val="hybridMultilevel"/>
    <w:tmpl w:val="52BA14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80F5FC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AE0A75"/>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2E0B0C"/>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D875C5"/>
    <w:multiLevelType w:val="hybridMultilevel"/>
    <w:tmpl w:val="95C638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AB6732C"/>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0" w15:restartNumberingAfterBreak="0">
    <w:nsid w:val="7C2328EE"/>
    <w:multiLevelType w:val="multilevel"/>
    <w:tmpl w:val="C1C63D1E"/>
    <w:lvl w:ilvl="0">
      <w:start w:val="1"/>
      <w:numFmt w:val="decimal"/>
      <w:pStyle w:val="Titolo1"/>
      <w:lvlText w:val="%1."/>
      <w:lvlJc w:val="left"/>
      <w:pPr>
        <w:ind w:left="360" w:hanging="360"/>
      </w:pPr>
    </w:lvl>
    <w:lvl w:ilvl="1">
      <w:start w:val="1"/>
      <w:numFmt w:val="decimal"/>
      <w:pStyle w:val="Titolo2"/>
      <w:lvlText w:val="%1.%2."/>
      <w:lvlJc w:val="left"/>
      <w:pPr>
        <w:ind w:left="792" w:hanging="432"/>
      </w:pPr>
    </w:lvl>
    <w:lvl w:ilvl="2">
      <w:start w:val="1"/>
      <w:numFmt w:val="decimal"/>
      <w:pStyle w:val="Tito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C521CC9"/>
    <w:multiLevelType w:val="hybridMultilevel"/>
    <w:tmpl w:val="0C72E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5"/>
  </w:num>
  <w:num w:numId="5">
    <w:abstractNumId w:val="10"/>
  </w:num>
  <w:num w:numId="6">
    <w:abstractNumId w:val="7"/>
  </w:num>
  <w:num w:numId="7">
    <w:abstractNumId w:val="6"/>
  </w:num>
  <w:num w:numId="8">
    <w:abstractNumId w:val="0"/>
  </w:num>
  <w:num w:numId="9">
    <w:abstractNumId w:val="1"/>
  </w:num>
  <w:num w:numId="10">
    <w:abstractNumId w:val="3"/>
  </w:num>
  <w:num w:numId="11">
    <w:abstractNumId w:val="9"/>
  </w:num>
  <w:num w:numId="12">
    <w:abstractNumId w:val="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num>
  <w:num w:numId="21">
    <w:abstractNumId w:val="9"/>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02"/>
    <w:rsid w:val="00000B94"/>
    <w:rsid w:val="00017FC9"/>
    <w:rsid w:val="000D5812"/>
    <w:rsid w:val="0011519F"/>
    <w:rsid w:val="001C7C4B"/>
    <w:rsid w:val="002448D9"/>
    <w:rsid w:val="002510B2"/>
    <w:rsid w:val="00257ABC"/>
    <w:rsid w:val="002A6B8F"/>
    <w:rsid w:val="003150B0"/>
    <w:rsid w:val="003335E8"/>
    <w:rsid w:val="003B011D"/>
    <w:rsid w:val="003F493B"/>
    <w:rsid w:val="0042514D"/>
    <w:rsid w:val="00497E87"/>
    <w:rsid w:val="004A7942"/>
    <w:rsid w:val="00554A75"/>
    <w:rsid w:val="0056429B"/>
    <w:rsid w:val="0059269E"/>
    <w:rsid w:val="005A53A3"/>
    <w:rsid w:val="005C5676"/>
    <w:rsid w:val="00702D28"/>
    <w:rsid w:val="007171C9"/>
    <w:rsid w:val="007630FD"/>
    <w:rsid w:val="007B58A8"/>
    <w:rsid w:val="007E6B4A"/>
    <w:rsid w:val="00887F38"/>
    <w:rsid w:val="008A73DF"/>
    <w:rsid w:val="008F18C7"/>
    <w:rsid w:val="00903DB8"/>
    <w:rsid w:val="00951558"/>
    <w:rsid w:val="00964DFE"/>
    <w:rsid w:val="00A559C8"/>
    <w:rsid w:val="00A933EF"/>
    <w:rsid w:val="00B42363"/>
    <w:rsid w:val="00B83925"/>
    <w:rsid w:val="00B8683A"/>
    <w:rsid w:val="00BD0682"/>
    <w:rsid w:val="00C16553"/>
    <w:rsid w:val="00C23514"/>
    <w:rsid w:val="00C2641F"/>
    <w:rsid w:val="00C31E8A"/>
    <w:rsid w:val="00C72C19"/>
    <w:rsid w:val="00CB5760"/>
    <w:rsid w:val="00CD5FAC"/>
    <w:rsid w:val="00CF4166"/>
    <w:rsid w:val="00DA7FD6"/>
    <w:rsid w:val="00DE32FB"/>
    <w:rsid w:val="00DF6FE4"/>
    <w:rsid w:val="00E25A05"/>
    <w:rsid w:val="00E60B69"/>
    <w:rsid w:val="00E62664"/>
    <w:rsid w:val="00E70606"/>
    <w:rsid w:val="00E8130E"/>
    <w:rsid w:val="00EB15AD"/>
    <w:rsid w:val="00ED1C4A"/>
    <w:rsid w:val="00F05FCC"/>
    <w:rsid w:val="00F304B1"/>
    <w:rsid w:val="00F44802"/>
    <w:rsid w:val="00F51460"/>
    <w:rsid w:val="00FC75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CC435"/>
  <w14:defaultImageDpi w14:val="32767"/>
  <w15:chartTrackingRefBased/>
  <w15:docId w15:val="{5ECAA260-9417-5D4E-BA12-968DDA7B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pPr>
      <w:spacing w:line="360" w:lineRule="auto"/>
      <w:jc w:val="both"/>
    </w:pPr>
    <w:rPr>
      <w:rFonts w:ascii="Times New Roman" w:hAnsi="Times New Roman" w:cs="Times New Roman"/>
      <w:lang w:eastAsia="it-IT"/>
    </w:rPr>
  </w:style>
  <w:style w:type="paragraph" w:styleId="Titolo1">
    <w:name w:val="heading 1"/>
    <w:basedOn w:val="Normale"/>
    <w:next w:val="Normale"/>
    <w:link w:val="Titolo1Carattere"/>
    <w:autoRedefine/>
    <w:uiPriority w:val="9"/>
    <w:qFormat/>
    <w:rsid w:val="00E60B69"/>
    <w:pPr>
      <w:keepNext/>
      <w:keepLines/>
      <w:numPr>
        <w:numId w:val="5"/>
      </w:numPr>
      <w:spacing w:before="240" w:after="120" w:line="259" w:lineRule="auto"/>
      <w:jc w:val="left"/>
      <w:outlineLvl w:val="0"/>
    </w:pPr>
    <w:rPr>
      <w:rFonts w:eastAsiaTheme="majorEastAsia"/>
      <w:b/>
      <w:color w:val="2F5496" w:themeColor="accent1" w:themeShade="BF"/>
      <w:lang w:val="en-US" w:eastAsia="en-US"/>
    </w:rPr>
  </w:style>
  <w:style w:type="paragraph" w:styleId="Titolo2">
    <w:name w:val="heading 2"/>
    <w:basedOn w:val="Normale"/>
    <w:next w:val="Normale"/>
    <w:link w:val="Titolo2Carattere"/>
    <w:autoRedefine/>
    <w:uiPriority w:val="9"/>
    <w:unhideWhenUsed/>
    <w:qFormat/>
    <w:rsid w:val="00B83925"/>
    <w:pPr>
      <w:keepNext/>
      <w:keepLines/>
      <w:numPr>
        <w:ilvl w:val="1"/>
        <w:numId w:val="5"/>
      </w:numPr>
      <w:spacing w:before="200"/>
      <w:outlineLvl w:val="1"/>
    </w:pPr>
    <w:rPr>
      <w:rFonts w:ascii="Calibri" w:eastAsiaTheme="majorEastAsia" w:hAnsi="Calibri" w:cs="Calibri"/>
      <w:b/>
      <w:color w:val="000000" w:themeColor="text1"/>
      <w:lang w:val="en-US"/>
    </w:rPr>
  </w:style>
  <w:style w:type="paragraph" w:styleId="Titolo3">
    <w:name w:val="heading 3"/>
    <w:basedOn w:val="Normale"/>
    <w:next w:val="Normale"/>
    <w:link w:val="Titolo3Carattere"/>
    <w:autoRedefine/>
    <w:uiPriority w:val="9"/>
    <w:unhideWhenUsed/>
    <w:qFormat/>
    <w:pPr>
      <w:keepNext/>
      <w:keepLines/>
      <w:numPr>
        <w:ilvl w:val="2"/>
        <w:numId w:val="5"/>
      </w:numPr>
      <w:spacing w:before="120" w:after="40"/>
      <w:outlineLvl w:val="2"/>
    </w:pPr>
    <w:rPr>
      <w:rFonts w:asciiTheme="majorHAnsi" w:eastAsiaTheme="majorEastAsia" w:hAnsiTheme="majorHAnsi" w:cstheme="majorBidi"/>
      <w:bCs/>
      <w:i/>
      <w:color w:val="000000" w:themeColor="text1"/>
      <w:lang w:eastAsia="en-US"/>
    </w:rPr>
  </w:style>
  <w:style w:type="paragraph" w:styleId="Titolo4">
    <w:name w:val="heading 4"/>
    <w:basedOn w:val="Normale"/>
    <w:next w:val="Normale"/>
    <w:link w:val="Titolo4Carattere"/>
    <w:autoRedefine/>
    <w:uiPriority w:val="9"/>
    <w:unhideWhenUsed/>
    <w:qFormat/>
    <w:pPr>
      <w:keepNext/>
      <w:keepLines/>
      <w:numPr>
        <w:ilvl w:val="3"/>
        <w:numId w:val="11"/>
      </w:numPr>
      <w:spacing w:before="80"/>
      <w:outlineLvl w:val="3"/>
    </w:pPr>
    <w:rPr>
      <w:rFonts w:eastAsiaTheme="majorEastAsia" w:cstheme="majorBidi"/>
      <w:b/>
      <w:iCs/>
      <w:color w:val="000000" w:themeColor="text1"/>
      <w:lang w:eastAsia="en-US"/>
    </w:rPr>
  </w:style>
  <w:style w:type="paragraph" w:styleId="Titolo5">
    <w:name w:val="heading 5"/>
    <w:basedOn w:val="Normale"/>
    <w:next w:val="Normale"/>
    <w:link w:val="Titolo5Carattere"/>
    <w:uiPriority w:val="9"/>
    <w:unhideWhenUsed/>
    <w:qFormat/>
    <w:pPr>
      <w:keepNext/>
      <w:keepLines/>
      <w:numPr>
        <w:ilvl w:val="4"/>
        <w:numId w:val="11"/>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pPr>
      <w:keepNext/>
      <w:keepLines/>
      <w:numPr>
        <w:ilvl w:val="5"/>
        <w:numId w:val="11"/>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60B69"/>
    <w:rPr>
      <w:rFonts w:ascii="Times New Roman" w:eastAsiaTheme="majorEastAsia" w:hAnsi="Times New Roman" w:cs="Times New Roman"/>
      <w:b/>
      <w:color w:val="2F5496" w:themeColor="accent1" w:themeShade="BF"/>
      <w:lang w:val="en-US"/>
    </w:rPr>
  </w:style>
  <w:style w:type="character" w:customStyle="1" w:styleId="Titolo2Carattere">
    <w:name w:val="Titolo 2 Carattere"/>
    <w:basedOn w:val="Carpredefinitoparagrafo"/>
    <w:link w:val="Titolo2"/>
    <w:uiPriority w:val="9"/>
    <w:rsid w:val="00B83925"/>
    <w:rPr>
      <w:rFonts w:ascii="Calibri" w:eastAsiaTheme="majorEastAsia" w:hAnsi="Calibri" w:cs="Calibri"/>
      <w:b/>
      <w:color w:val="000000" w:themeColor="text1"/>
      <w:lang w:val="en-US" w:eastAsia="it-IT"/>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bCs/>
      <w:i/>
      <w:color w:val="000000" w:themeColor="text1"/>
    </w:rPr>
  </w:style>
  <w:style w:type="paragraph" w:styleId="Titolo">
    <w:name w:val="Title"/>
    <w:basedOn w:val="Normale"/>
    <w:next w:val="Normale"/>
    <w:link w:val="TitoloCarattere"/>
    <w:autoRedefine/>
    <w:uiPriority w:val="10"/>
    <w:qFormat/>
    <w:pPr>
      <w:contextualSpacing/>
    </w:pPr>
    <w:rPr>
      <w:rFonts w:asciiTheme="majorHAnsi" w:eastAsiaTheme="majorEastAsia" w:hAnsiTheme="majorHAnsi" w:cstheme="majorBidi"/>
      <w:spacing w:val="-10"/>
      <w:kern w:val="28"/>
      <w:sz w:val="44"/>
      <w:szCs w:val="56"/>
    </w:rPr>
  </w:style>
  <w:style w:type="character" w:customStyle="1" w:styleId="TitoloCarattere">
    <w:name w:val="Titolo Carattere"/>
    <w:basedOn w:val="Carpredefinitoparagrafo"/>
    <w:link w:val="Titolo"/>
    <w:uiPriority w:val="10"/>
    <w:rPr>
      <w:rFonts w:asciiTheme="majorHAnsi" w:eastAsiaTheme="majorEastAsia" w:hAnsiTheme="majorHAnsi" w:cstheme="majorBidi"/>
      <w:spacing w:val="-10"/>
      <w:kern w:val="28"/>
      <w:sz w:val="44"/>
      <w:szCs w:val="56"/>
      <w:lang w:eastAsia="it-IT"/>
    </w:rPr>
  </w:style>
  <w:style w:type="character" w:customStyle="1" w:styleId="Titolo4Carattere">
    <w:name w:val="Titolo 4 Carattere"/>
    <w:basedOn w:val="Carpredefinitoparagrafo"/>
    <w:link w:val="Titolo4"/>
    <w:uiPriority w:val="9"/>
    <w:rPr>
      <w:rFonts w:ascii="Times New Roman" w:eastAsiaTheme="majorEastAsia" w:hAnsi="Times New Roman" w:cstheme="majorBidi"/>
      <w:b/>
      <w:iCs/>
      <w:color w:val="000000" w:themeColor="text1"/>
    </w:rPr>
  </w:style>
  <w:style w:type="paragraph" w:styleId="Pidipagina">
    <w:name w:val="footer"/>
    <w:basedOn w:val="Normale"/>
    <w:link w:val="PidipaginaCarattere"/>
    <w:uiPriority w:val="99"/>
    <w:unhideWhenUse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Pr>
      <w:rFonts w:ascii="Times New Roman" w:hAnsi="Times New Roman" w:cs="Times New Roman"/>
      <w:lang w:eastAsia="it-IT"/>
    </w:rPr>
  </w:style>
  <w:style w:type="character" w:styleId="Numeropagina">
    <w:name w:val="page number"/>
    <w:basedOn w:val="Carpredefinitoparagrafo"/>
    <w:uiPriority w:val="99"/>
    <w:semiHidden/>
    <w:unhideWhenUsed/>
  </w:style>
  <w:style w:type="paragraph" w:styleId="Titolosommario">
    <w:name w:val="TOC Heading"/>
    <w:basedOn w:val="Titolo1"/>
    <w:next w:val="Normale"/>
    <w:uiPriority w:val="39"/>
    <w:unhideWhenUsed/>
    <w:qFormat/>
    <w:pPr>
      <w:spacing w:before="480" w:after="0" w:line="276" w:lineRule="auto"/>
      <w:outlineLvl w:val="9"/>
    </w:pPr>
    <w:rPr>
      <w:rFonts w:asciiTheme="majorHAnsi" w:hAnsiTheme="majorHAnsi" w:cstheme="majorBidi"/>
      <w:bCs/>
      <w:szCs w:val="28"/>
      <w:lang w:val="it-IT" w:eastAsia="it-IT"/>
    </w:rPr>
  </w:style>
  <w:style w:type="paragraph" w:styleId="Sommario2">
    <w:name w:val="toc 2"/>
    <w:basedOn w:val="Normale"/>
    <w:next w:val="Normale"/>
    <w:autoRedefine/>
    <w:uiPriority w:val="39"/>
    <w:unhideWhenUsed/>
    <w:pPr>
      <w:tabs>
        <w:tab w:val="left" w:pos="960"/>
        <w:tab w:val="right" w:leader="dot" w:pos="9622"/>
      </w:tabs>
      <w:jc w:val="left"/>
    </w:pPr>
    <w:rPr>
      <w:rFonts w:ascii="Arial" w:hAnsi="Arial" w:cs="Arial"/>
      <w:b/>
      <w:bCs/>
      <w:smallCaps/>
      <w:noProof/>
      <w:sz w:val="22"/>
      <w:szCs w:val="22"/>
    </w:rPr>
  </w:style>
  <w:style w:type="paragraph" w:styleId="Sommario1">
    <w:name w:val="toc 1"/>
    <w:basedOn w:val="Normale"/>
    <w:next w:val="Normale"/>
    <w:autoRedefine/>
    <w:uiPriority w:val="39"/>
    <w:unhideWhenUsed/>
    <w:pPr>
      <w:spacing w:before="360" w:after="360"/>
      <w:jc w:val="left"/>
    </w:pPr>
    <w:rPr>
      <w:rFonts w:asciiTheme="minorHAnsi" w:hAnsiTheme="minorHAnsi" w:cstheme="minorHAnsi"/>
      <w:b/>
      <w:bCs/>
      <w:caps/>
      <w:sz w:val="22"/>
      <w:szCs w:val="22"/>
      <w:u w:val="single"/>
    </w:rPr>
  </w:style>
  <w:style w:type="paragraph" w:styleId="Sommario3">
    <w:name w:val="toc 3"/>
    <w:basedOn w:val="Normale"/>
    <w:next w:val="Normale"/>
    <w:autoRedefine/>
    <w:uiPriority w:val="39"/>
    <w:unhideWhenUsed/>
    <w:pPr>
      <w:jc w:val="left"/>
    </w:pPr>
    <w:rPr>
      <w:rFonts w:asciiTheme="minorHAnsi" w:hAnsiTheme="minorHAnsi" w:cstheme="minorHAnsi"/>
      <w:smallCaps/>
      <w:sz w:val="22"/>
      <w:szCs w:val="22"/>
    </w:rPr>
  </w:style>
  <w:style w:type="paragraph" w:styleId="Sommario4">
    <w:name w:val="toc 4"/>
    <w:basedOn w:val="Normale"/>
    <w:next w:val="Normale"/>
    <w:autoRedefine/>
    <w:uiPriority w:val="39"/>
    <w:semiHidden/>
    <w:unhideWhenUsed/>
    <w:pPr>
      <w:jc w:val="left"/>
    </w:pPr>
    <w:rPr>
      <w:rFonts w:asciiTheme="minorHAnsi" w:hAnsiTheme="minorHAnsi" w:cstheme="minorHAnsi"/>
      <w:sz w:val="22"/>
      <w:szCs w:val="22"/>
    </w:rPr>
  </w:style>
  <w:style w:type="paragraph" w:styleId="Sommario5">
    <w:name w:val="toc 5"/>
    <w:basedOn w:val="Normale"/>
    <w:next w:val="Normale"/>
    <w:autoRedefine/>
    <w:uiPriority w:val="39"/>
    <w:semiHidden/>
    <w:unhideWhenUsed/>
    <w:pPr>
      <w:jc w:val="left"/>
    </w:pPr>
    <w:rPr>
      <w:rFonts w:asciiTheme="minorHAnsi" w:hAnsiTheme="minorHAnsi" w:cstheme="minorHAnsi"/>
      <w:sz w:val="22"/>
      <w:szCs w:val="22"/>
    </w:rPr>
  </w:style>
  <w:style w:type="paragraph" w:styleId="Sommario6">
    <w:name w:val="toc 6"/>
    <w:basedOn w:val="Normale"/>
    <w:next w:val="Normale"/>
    <w:autoRedefine/>
    <w:uiPriority w:val="39"/>
    <w:semiHidden/>
    <w:unhideWhenUsed/>
    <w:pPr>
      <w:jc w:val="left"/>
    </w:pPr>
    <w:rPr>
      <w:rFonts w:asciiTheme="minorHAnsi" w:hAnsiTheme="minorHAnsi" w:cstheme="minorHAnsi"/>
      <w:sz w:val="22"/>
      <w:szCs w:val="22"/>
    </w:rPr>
  </w:style>
  <w:style w:type="paragraph" w:styleId="Sommario7">
    <w:name w:val="toc 7"/>
    <w:basedOn w:val="Normale"/>
    <w:next w:val="Normale"/>
    <w:autoRedefine/>
    <w:uiPriority w:val="39"/>
    <w:semiHidden/>
    <w:unhideWhenUsed/>
    <w:pPr>
      <w:jc w:val="left"/>
    </w:pPr>
    <w:rPr>
      <w:rFonts w:asciiTheme="minorHAnsi" w:hAnsiTheme="minorHAnsi" w:cstheme="minorHAnsi"/>
      <w:sz w:val="22"/>
      <w:szCs w:val="22"/>
    </w:rPr>
  </w:style>
  <w:style w:type="paragraph" w:styleId="Sommario8">
    <w:name w:val="toc 8"/>
    <w:basedOn w:val="Normale"/>
    <w:next w:val="Normale"/>
    <w:autoRedefine/>
    <w:uiPriority w:val="39"/>
    <w:semiHidden/>
    <w:unhideWhenUsed/>
    <w:pPr>
      <w:jc w:val="left"/>
    </w:pPr>
    <w:rPr>
      <w:rFonts w:asciiTheme="minorHAnsi" w:hAnsiTheme="minorHAnsi" w:cstheme="minorHAnsi"/>
      <w:sz w:val="22"/>
      <w:szCs w:val="22"/>
    </w:rPr>
  </w:style>
  <w:style w:type="paragraph" w:styleId="Sommario9">
    <w:name w:val="toc 9"/>
    <w:basedOn w:val="Normale"/>
    <w:next w:val="Normale"/>
    <w:autoRedefine/>
    <w:uiPriority w:val="39"/>
    <w:semiHidden/>
    <w:unhideWhenUsed/>
    <w:pPr>
      <w:jc w:val="left"/>
    </w:pPr>
    <w:rPr>
      <w:rFonts w:asciiTheme="minorHAnsi" w:hAnsiTheme="minorHAnsi" w:cstheme="minorHAnsi"/>
      <w:sz w:val="22"/>
      <w:szCs w:val="22"/>
    </w:rPr>
  </w:style>
  <w:style w:type="paragraph" w:styleId="Paragrafoelenco">
    <w:name w:val="List Paragraph"/>
    <w:basedOn w:val="Normale"/>
    <w:uiPriority w:val="34"/>
    <w:qFormat/>
    <w:pPr>
      <w:ind w:left="720"/>
      <w:contextualSpacing/>
    </w:pPr>
  </w:style>
  <w:style w:type="character" w:styleId="Collegamentoipertestuale">
    <w:name w:val="Hyperlink"/>
    <w:basedOn w:val="Carpredefinitoparagrafo"/>
    <w:uiPriority w:val="99"/>
    <w:unhideWhenUsed/>
    <w:rPr>
      <w:color w:val="0563C1" w:themeColor="hyperlink"/>
      <w:u w:val="single"/>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ascii="Times New Roman" w:hAnsi="Times New Roman" w:cs="Times New Roman"/>
      <w:b/>
      <w:bCs/>
      <w:sz w:val="20"/>
      <w:szCs w:val="20"/>
      <w:lang w:eastAsia="it-IT"/>
    </w:rPr>
  </w:style>
  <w:style w:type="character" w:customStyle="1" w:styleId="Titolo5Carattere">
    <w:name w:val="Titolo 5 Carattere"/>
    <w:basedOn w:val="Carpredefinitoparagrafo"/>
    <w:link w:val="Titolo5"/>
    <w:uiPriority w:val="9"/>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Pr>
      <w:rFonts w:asciiTheme="majorHAnsi" w:eastAsiaTheme="majorEastAsia" w:hAnsiTheme="majorHAnsi" w:cstheme="majorBidi"/>
      <w:i/>
      <w:iCs/>
      <w:color w:val="272727" w:themeColor="text1" w:themeTint="D8"/>
      <w:sz w:val="21"/>
      <w:szCs w:val="21"/>
      <w:lang w:eastAsia="it-IT"/>
    </w:rPr>
  </w:style>
  <w:style w:type="paragraph" w:styleId="NormaleWeb">
    <w:name w:val="Normal (Web)"/>
    <w:basedOn w:val="Normale"/>
    <w:uiPriority w:val="99"/>
    <w:semiHidden/>
    <w:unhideWhenUsed/>
    <w:pPr>
      <w:spacing w:before="100" w:beforeAutospacing="1" w:after="100" w:afterAutospacing="1" w:line="240" w:lineRule="auto"/>
      <w:jc w:val="left"/>
    </w:pPr>
  </w:style>
  <w:style w:type="paragraph" w:styleId="Testofumetto">
    <w:name w:val="Balloon Text"/>
    <w:basedOn w:val="Normale"/>
    <w:link w:val="TestofumettoCarattere"/>
    <w:uiPriority w:val="99"/>
    <w:semiHidden/>
    <w:unhideWhenUsed/>
    <w:pPr>
      <w:spacing w:line="240" w:lineRule="auto"/>
    </w:pPr>
    <w:rPr>
      <w:sz w:val="18"/>
      <w:szCs w:val="18"/>
    </w:rPr>
  </w:style>
  <w:style w:type="character" w:customStyle="1" w:styleId="TestofumettoCarattere">
    <w:name w:val="Testo fumetto Carattere"/>
    <w:basedOn w:val="Carpredefinitoparagrafo"/>
    <w:link w:val="Testofumetto"/>
    <w:uiPriority w:val="99"/>
    <w:semiHidden/>
    <w:rPr>
      <w:rFonts w:ascii="Times New Roman" w:hAnsi="Times New Roman" w:cs="Times New Roman"/>
      <w:sz w:val="18"/>
      <w:szCs w:val="18"/>
      <w:lang w:eastAsia="it-IT"/>
    </w:rPr>
  </w:style>
  <w:style w:type="table" w:customStyle="1" w:styleId="Grigliatabellachiara1">
    <w:name w:val="Griglia tabella chiara1"/>
    <w:basedOn w:val="Tabellanormale"/>
    <w:next w:val="Grigliatabellachiara"/>
    <w:uiPriority w:val="40"/>
    <w:rPr>
      <w:rFonts w:ascii="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gliatabellachiara">
    <w:name w:val="Grid Table Light"/>
    <w:basedOn w:val="Tabellanorma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e">
    <w:name w:val="Revision"/>
    <w:hidden/>
    <w:uiPriority w:val="99"/>
    <w:semiHidden/>
    <w:rsid w:val="00702D28"/>
    <w:rPr>
      <w:rFonts w:ascii="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903">
      <w:bodyDiv w:val="1"/>
      <w:marLeft w:val="0"/>
      <w:marRight w:val="0"/>
      <w:marTop w:val="0"/>
      <w:marBottom w:val="0"/>
      <w:divBdr>
        <w:top w:val="none" w:sz="0" w:space="0" w:color="auto"/>
        <w:left w:val="none" w:sz="0" w:space="0" w:color="auto"/>
        <w:bottom w:val="none" w:sz="0" w:space="0" w:color="auto"/>
        <w:right w:val="none" w:sz="0" w:space="0" w:color="auto"/>
      </w:divBdr>
    </w:div>
    <w:div w:id="113912149">
      <w:bodyDiv w:val="1"/>
      <w:marLeft w:val="0"/>
      <w:marRight w:val="0"/>
      <w:marTop w:val="0"/>
      <w:marBottom w:val="0"/>
      <w:divBdr>
        <w:top w:val="none" w:sz="0" w:space="0" w:color="auto"/>
        <w:left w:val="none" w:sz="0" w:space="0" w:color="auto"/>
        <w:bottom w:val="none" w:sz="0" w:space="0" w:color="auto"/>
        <w:right w:val="none" w:sz="0" w:space="0" w:color="auto"/>
      </w:divBdr>
    </w:div>
    <w:div w:id="149292492">
      <w:bodyDiv w:val="1"/>
      <w:marLeft w:val="0"/>
      <w:marRight w:val="0"/>
      <w:marTop w:val="0"/>
      <w:marBottom w:val="0"/>
      <w:divBdr>
        <w:top w:val="none" w:sz="0" w:space="0" w:color="auto"/>
        <w:left w:val="none" w:sz="0" w:space="0" w:color="auto"/>
        <w:bottom w:val="none" w:sz="0" w:space="0" w:color="auto"/>
        <w:right w:val="none" w:sz="0" w:space="0" w:color="auto"/>
      </w:divBdr>
    </w:div>
    <w:div w:id="286592211">
      <w:bodyDiv w:val="1"/>
      <w:marLeft w:val="0"/>
      <w:marRight w:val="0"/>
      <w:marTop w:val="0"/>
      <w:marBottom w:val="0"/>
      <w:divBdr>
        <w:top w:val="none" w:sz="0" w:space="0" w:color="auto"/>
        <w:left w:val="none" w:sz="0" w:space="0" w:color="auto"/>
        <w:bottom w:val="none" w:sz="0" w:space="0" w:color="auto"/>
        <w:right w:val="none" w:sz="0" w:space="0" w:color="auto"/>
      </w:divBdr>
    </w:div>
    <w:div w:id="321154667">
      <w:bodyDiv w:val="1"/>
      <w:marLeft w:val="0"/>
      <w:marRight w:val="0"/>
      <w:marTop w:val="0"/>
      <w:marBottom w:val="0"/>
      <w:divBdr>
        <w:top w:val="none" w:sz="0" w:space="0" w:color="auto"/>
        <w:left w:val="none" w:sz="0" w:space="0" w:color="auto"/>
        <w:bottom w:val="none" w:sz="0" w:space="0" w:color="auto"/>
        <w:right w:val="none" w:sz="0" w:space="0" w:color="auto"/>
      </w:divBdr>
    </w:div>
    <w:div w:id="703867470">
      <w:bodyDiv w:val="1"/>
      <w:marLeft w:val="0"/>
      <w:marRight w:val="0"/>
      <w:marTop w:val="0"/>
      <w:marBottom w:val="0"/>
      <w:divBdr>
        <w:top w:val="none" w:sz="0" w:space="0" w:color="auto"/>
        <w:left w:val="none" w:sz="0" w:space="0" w:color="auto"/>
        <w:bottom w:val="none" w:sz="0" w:space="0" w:color="auto"/>
        <w:right w:val="none" w:sz="0" w:space="0" w:color="auto"/>
      </w:divBdr>
    </w:div>
    <w:div w:id="1434402035">
      <w:bodyDiv w:val="1"/>
      <w:marLeft w:val="0"/>
      <w:marRight w:val="0"/>
      <w:marTop w:val="0"/>
      <w:marBottom w:val="0"/>
      <w:divBdr>
        <w:top w:val="none" w:sz="0" w:space="0" w:color="auto"/>
        <w:left w:val="none" w:sz="0" w:space="0" w:color="auto"/>
        <w:bottom w:val="none" w:sz="0" w:space="0" w:color="auto"/>
        <w:right w:val="none" w:sz="0" w:space="0" w:color="auto"/>
      </w:divBdr>
      <w:divsChild>
        <w:div w:id="313215991">
          <w:marLeft w:val="0"/>
          <w:marRight w:val="0"/>
          <w:marTop w:val="0"/>
          <w:marBottom w:val="0"/>
          <w:divBdr>
            <w:top w:val="none" w:sz="0" w:space="0" w:color="auto"/>
            <w:left w:val="none" w:sz="0" w:space="0" w:color="auto"/>
            <w:bottom w:val="none" w:sz="0" w:space="0" w:color="auto"/>
            <w:right w:val="none" w:sz="0" w:space="0" w:color="auto"/>
          </w:divBdr>
          <w:divsChild>
            <w:div w:id="374239233">
              <w:marLeft w:val="0"/>
              <w:marRight w:val="0"/>
              <w:marTop w:val="0"/>
              <w:marBottom w:val="0"/>
              <w:divBdr>
                <w:top w:val="none" w:sz="0" w:space="0" w:color="auto"/>
                <w:left w:val="none" w:sz="0" w:space="0" w:color="auto"/>
                <w:bottom w:val="none" w:sz="0" w:space="0" w:color="auto"/>
                <w:right w:val="none" w:sz="0" w:space="0" w:color="auto"/>
              </w:divBdr>
              <w:divsChild>
                <w:div w:id="5503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95897">
      <w:bodyDiv w:val="1"/>
      <w:marLeft w:val="0"/>
      <w:marRight w:val="0"/>
      <w:marTop w:val="0"/>
      <w:marBottom w:val="0"/>
      <w:divBdr>
        <w:top w:val="none" w:sz="0" w:space="0" w:color="auto"/>
        <w:left w:val="none" w:sz="0" w:space="0" w:color="auto"/>
        <w:bottom w:val="none" w:sz="0" w:space="0" w:color="auto"/>
        <w:right w:val="none" w:sz="0" w:space="0" w:color="auto"/>
      </w:divBdr>
    </w:div>
    <w:div w:id="1852715840">
      <w:bodyDiv w:val="1"/>
      <w:marLeft w:val="0"/>
      <w:marRight w:val="0"/>
      <w:marTop w:val="0"/>
      <w:marBottom w:val="0"/>
      <w:divBdr>
        <w:top w:val="none" w:sz="0" w:space="0" w:color="auto"/>
        <w:left w:val="none" w:sz="0" w:space="0" w:color="auto"/>
        <w:bottom w:val="none" w:sz="0" w:space="0" w:color="auto"/>
        <w:right w:val="none" w:sz="0" w:space="0" w:color="auto"/>
      </w:divBdr>
      <w:divsChild>
        <w:div w:id="1819296926">
          <w:marLeft w:val="0"/>
          <w:marRight w:val="0"/>
          <w:marTop w:val="0"/>
          <w:marBottom w:val="0"/>
          <w:divBdr>
            <w:top w:val="none" w:sz="0" w:space="0" w:color="auto"/>
            <w:left w:val="none" w:sz="0" w:space="0" w:color="auto"/>
            <w:bottom w:val="none" w:sz="0" w:space="0" w:color="auto"/>
            <w:right w:val="none" w:sz="0" w:space="0" w:color="auto"/>
          </w:divBdr>
          <w:divsChild>
            <w:div w:id="1169832046">
              <w:marLeft w:val="0"/>
              <w:marRight w:val="0"/>
              <w:marTop w:val="0"/>
              <w:marBottom w:val="0"/>
              <w:divBdr>
                <w:top w:val="none" w:sz="0" w:space="0" w:color="auto"/>
                <w:left w:val="none" w:sz="0" w:space="0" w:color="auto"/>
                <w:bottom w:val="none" w:sz="0" w:space="0" w:color="auto"/>
                <w:right w:val="none" w:sz="0" w:space="0" w:color="auto"/>
              </w:divBdr>
              <w:divsChild>
                <w:div w:id="1036469458">
                  <w:marLeft w:val="0"/>
                  <w:marRight w:val="0"/>
                  <w:marTop w:val="0"/>
                  <w:marBottom w:val="0"/>
                  <w:divBdr>
                    <w:top w:val="none" w:sz="0" w:space="0" w:color="auto"/>
                    <w:left w:val="none" w:sz="0" w:space="0" w:color="auto"/>
                    <w:bottom w:val="none" w:sz="0" w:space="0" w:color="auto"/>
                    <w:right w:val="none" w:sz="0" w:space="0" w:color="auto"/>
                  </w:divBdr>
                  <w:divsChild>
                    <w:div w:id="1639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891253">
      <w:bodyDiv w:val="1"/>
      <w:marLeft w:val="0"/>
      <w:marRight w:val="0"/>
      <w:marTop w:val="0"/>
      <w:marBottom w:val="0"/>
      <w:divBdr>
        <w:top w:val="none" w:sz="0" w:space="0" w:color="auto"/>
        <w:left w:val="none" w:sz="0" w:space="0" w:color="auto"/>
        <w:bottom w:val="none" w:sz="0" w:space="0" w:color="auto"/>
        <w:right w:val="none" w:sz="0" w:space="0" w:color="auto"/>
      </w:divBdr>
    </w:div>
    <w:div w:id="2026396453">
      <w:bodyDiv w:val="1"/>
      <w:marLeft w:val="0"/>
      <w:marRight w:val="0"/>
      <w:marTop w:val="0"/>
      <w:marBottom w:val="0"/>
      <w:divBdr>
        <w:top w:val="none" w:sz="0" w:space="0" w:color="auto"/>
        <w:left w:val="none" w:sz="0" w:space="0" w:color="auto"/>
        <w:bottom w:val="none" w:sz="0" w:space="0" w:color="auto"/>
        <w:right w:val="none" w:sz="0" w:space="0" w:color="auto"/>
      </w:divBdr>
    </w:div>
    <w:div w:id="21286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53773-7283-134A-8EDD-83F9CCBB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4349</Words>
  <Characters>24791</Characters>
  <Application>Microsoft Office Word</Application>
  <DocSecurity>0</DocSecurity>
  <Lines>206</Lines>
  <Paragraphs>58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Lonati</dc:creator>
  <cp:keywords/>
  <dc:description/>
  <cp:lastModifiedBy>Daniele Eliseo Dondossola</cp:lastModifiedBy>
  <cp:revision>2</cp:revision>
  <dcterms:created xsi:type="dcterms:W3CDTF">2023-08-23T15:59:00Z</dcterms:created>
  <dcterms:modified xsi:type="dcterms:W3CDTF">2023-08-23T15:59:00Z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2cf7c499-918a-39f3-a84c-28b90235621c</vt:lpwstr>
  </property>
  <property fmtid="{D5CDD505-2E9C-101B-9397-08002B2CF9AE}" pid="4" name="Mendeley Citation Style_1">
    <vt:lpwstr>http://www.zotero.org/styles/vancouver</vt:lpwstr>
  </property>
  <property fmtid="{D5CDD505-2E9C-101B-9397-08002B2CF9AE}" pid="5" name="Mendeley Recent Style Id 0_1">
    <vt:lpwstr>http://www.zotero.org/styles/harvard-cite-them-right</vt:lpwstr>
  </property>
  <property fmtid="{D5CDD505-2E9C-101B-9397-08002B2CF9AE}" pid="6" name="Mendeley Recent Style Name 0_1">
    <vt:lpwstr>Cite Them Right 10th edition - Harvard</vt:lpwstr>
  </property>
  <property fmtid="{D5CDD505-2E9C-101B-9397-08002B2CF9AE}" pid="7" name="Mendeley Recent Style Id 1_1">
    <vt:lpwstr>http://www.zotero.org/styles/journal-of-hepatology</vt:lpwstr>
  </property>
  <property fmtid="{D5CDD505-2E9C-101B-9397-08002B2CF9AE}" pid="8" name="Mendeley Recent Style Name 1_1">
    <vt:lpwstr>Journal of Hepatology</vt:lpwstr>
  </property>
  <property fmtid="{D5CDD505-2E9C-101B-9397-08002B2CF9AE}" pid="9" name="Mendeley Recent Style Id 2_1">
    <vt:lpwstr>http://www.zotero.org/styles/journal-of-medical-internet-research</vt:lpwstr>
  </property>
  <property fmtid="{D5CDD505-2E9C-101B-9397-08002B2CF9AE}" pid="10" name="Mendeley Recent Style Name 2_1">
    <vt:lpwstr>Journal of Medical Internet Research</vt:lpwstr>
  </property>
  <property fmtid="{D5CDD505-2E9C-101B-9397-08002B2CF9AE}" pid="11" name="Mendeley Recent Style Id 3_1">
    <vt:lpwstr>http://www.zotero.org/styles/nephrology-dialysis-transplantation</vt:lpwstr>
  </property>
  <property fmtid="{D5CDD505-2E9C-101B-9397-08002B2CF9AE}" pid="12" name="Mendeley Recent Style Name 3_1">
    <vt:lpwstr>Nephrology Dialysis Transplantation</vt:lpwstr>
  </property>
  <property fmtid="{D5CDD505-2E9C-101B-9397-08002B2CF9AE}" pid="13" name="Mendeley Recent Style Id 4_1">
    <vt:lpwstr>http://www.zotero.org/styles/plos-medicine</vt:lpwstr>
  </property>
  <property fmtid="{D5CDD505-2E9C-101B-9397-08002B2CF9AE}" pid="14" name="Mendeley Recent Style Name 4_1">
    <vt:lpwstr>PLOS Medicine</vt:lpwstr>
  </property>
  <property fmtid="{D5CDD505-2E9C-101B-9397-08002B2CF9AE}" pid="15" name="Mendeley Recent Style Id 5_1">
    <vt:lpwstr>http://www.zotero.org/styles/plos-one</vt:lpwstr>
  </property>
  <property fmtid="{D5CDD505-2E9C-101B-9397-08002B2CF9AE}" pid="16" name="Mendeley Recent Style Name 5_1">
    <vt:lpwstr>PLOS ONE</vt:lpwstr>
  </property>
  <property fmtid="{D5CDD505-2E9C-101B-9397-08002B2CF9AE}" pid="17" name="Mendeley Recent Style Id 6_1">
    <vt:lpwstr>http://www.zotero.org/styles/peptides</vt:lpwstr>
  </property>
  <property fmtid="{D5CDD505-2E9C-101B-9397-08002B2CF9AE}" pid="18" name="Mendeley Recent Style Name 6_1">
    <vt:lpwstr>Peptides</vt:lpwstr>
  </property>
  <property fmtid="{D5CDD505-2E9C-101B-9397-08002B2CF9AE}" pid="19" name="Mendeley Recent Style Id 7_1">
    <vt:lpwstr>http://www.zotero.org/styles/quality-of-life-research</vt:lpwstr>
  </property>
  <property fmtid="{D5CDD505-2E9C-101B-9397-08002B2CF9AE}" pid="20" name="Mendeley Recent Style Name 7_1">
    <vt:lpwstr>Quality of Life Research</vt:lpwstr>
  </property>
  <property fmtid="{D5CDD505-2E9C-101B-9397-08002B2CF9AE}" pid="21" name="Mendeley Recent Style Id 8_1">
    <vt:lpwstr>http://www.zotero.org/styles/trends-in-endocrinology-and-metabolism</vt:lpwstr>
  </property>
  <property fmtid="{D5CDD505-2E9C-101B-9397-08002B2CF9AE}" pid="22" name="Mendeley Recent Style Name 8_1">
    <vt:lpwstr>Trends in Endocrinology &amp; Metabolism</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