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79B0" w14:textId="7F840654" w:rsidR="0068692D" w:rsidRPr="0068692D" w:rsidRDefault="0068692D" w:rsidP="0068692D">
      <w:pPr>
        <w:pStyle w:val="Ttulo1"/>
        <w:spacing w:after="240" w:line="276" w:lineRule="auto"/>
        <w:rPr>
          <w:rStyle w:val="normaltextrun"/>
          <w:rFonts w:ascii="Times New Roman" w:hAnsi="Times New Roman" w:cs="Times New Roman"/>
          <w:i/>
          <w:iCs/>
          <w:color w:val="auto"/>
          <w:sz w:val="20"/>
          <w:szCs w:val="20"/>
          <w:shd w:val="clear" w:color="auto" w:fill="FFFFFF"/>
        </w:rPr>
      </w:pPr>
      <w:bookmarkStart w:id="0" w:name="_Toc110344115"/>
      <w:r w:rsidRPr="0068692D">
        <w:rPr>
          <w:rStyle w:val="normaltextrun"/>
          <w:rFonts w:ascii="Times New Roman" w:hAnsi="Times New Roman" w:cs="Times New Roman"/>
          <w:i/>
          <w:iCs/>
          <w:color w:val="auto"/>
          <w:sz w:val="20"/>
          <w:szCs w:val="20"/>
          <w:shd w:val="clear" w:color="auto" w:fill="FFFFFF"/>
        </w:rPr>
        <w:t xml:space="preserve">Submitted to: Neotropical </w:t>
      </w:r>
      <w:r w:rsidR="0029589F">
        <w:rPr>
          <w:rStyle w:val="normaltextrun"/>
          <w:rFonts w:ascii="Times New Roman" w:hAnsi="Times New Roman" w:cs="Times New Roman"/>
          <w:i/>
          <w:iCs/>
          <w:color w:val="auto"/>
          <w:sz w:val="20"/>
          <w:szCs w:val="20"/>
          <w:shd w:val="clear" w:color="auto" w:fill="FFFFFF"/>
        </w:rPr>
        <w:t>E</w:t>
      </w:r>
      <w:r w:rsidRPr="0068692D">
        <w:rPr>
          <w:rStyle w:val="normaltextrun"/>
          <w:rFonts w:ascii="Times New Roman" w:hAnsi="Times New Roman" w:cs="Times New Roman"/>
          <w:i/>
          <w:iCs/>
          <w:color w:val="auto"/>
          <w:sz w:val="20"/>
          <w:szCs w:val="20"/>
          <w:shd w:val="clear" w:color="auto" w:fill="FFFFFF"/>
        </w:rPr>
        <w:t xml:space="preserve">ntomology </w:t>
      </w:r>
    </w:p>
    <w:p w14:paraId="10C22DF5" w14:textId="0A0D5EFF" w:rsidR="007B27DA" w:rsidRPr="007B27DA" w:rsidRDefault="007B27DA" w:rsidP="007B27DA">
      <w:pPr>
        <w:keepNext/>
        <w:spacing w:after="240"/>
        <w:outlineLvl w:val="0"/>
        <w:rPr>
          <w:rFonts w:eastAsia="Times New Roman"/>
          <w:b/>
          <w:bCs/>
          <w:sz w:val="20"/>
          <w:szCs w:val="20"/>
          <w:lang w:eastAsia="en-US"/>
        </w:rPr>
      </w:pPr>
      <w:r w:rsidRPr="007B27DA">
        <w:rPr>
          <w:rFonts w:eastAsia="Times New Roman"/>
          <w:b/>
          <w:sz w:val="20"/>
          <w:szCs w:val="20"/>
          <w:lang w:val="en" w:eastAsia="pt-BR"/>
        </w:rPr>
        <w:t>Toxicological assessments of agrochemicals in stingless bees in Brazil</w:t>
      </w:r>
      <w:bookmarkEnd w:id="0"/>
      <w:r w:rsidRPr="007B27DA">
        <w:rPr>
          <w:rFonts w:eastAsia="Times New Roman"/>
          <w:b/>
          <w:sz w:val="20"/>
          <w:szCs w:val="20"/>
          <w:lang w:val="en" w:eastAsia="pt-BR"/>
        </w:rPr>
        <w:t>: a systematic review</w:t>
      </w:r>
    </w:p>
    <w:p w14:paraId="0469D35E" w14:textId="77777777" w:rsidR="007B27DA" w:rsidRPr="007B27DA" w:rsidRDefault="007B27DA" w:rsidP="007B27DA">
      <w:pPr>
        <w:rPr>
          <w:sz w:val="20"/>
          <w:szCs w:val="20"/>
          <w:vertAlign w:val="superscript"/>
          <w:lang w:val="pt-BR"/>
        </w:rPr>
      </w:pPr>
      <w:r w:rsidRPr="007B27DA">
        <w:rPr>
          <w:sz w:val="20"/>
          <w:szCs w:val="20"/>
          <w:lang w:val="pt-BR"/>
        </w:rPr>
        <w:t>Lorena Lisbetd Botina</w:t>
      </w:r>
      <w:r w:rsidRPr="007B27DA">
        <w:rPr>
          <w:sz w:val="20"/>
          <w:szCs w:val="20"/>
          <w:vertAlign w:val="superscript"/>
          <w:lang w:val="pt-BR"/>
        </w:rPr>
        <w:t>1</w:t>
      </w:r>
      <w:r w:rsidRPr="007B27DA">
        <w:rPr>
          <w:b/>
          <w:bCs/>
          <w:sz w:val="20"/>
          <w:szCs w:val="20"/>
          <w:lang w:val="pt-BR" w:eastAsia="en-US"/>
        </w:rPr>
        <w:t>*</w:t>
      </w:r>
      <w:r w:rsidRPr="007B27DA">
        <w:rPr>
          <w:sz w:val="20"/>
          <w:szCs w:val="20"/>
          <w:lang w:val="pt-BR"/>
        </w:rPr>
        <w:t>, Wagner Faria Barbosa</w:t>
      </w:r>
      <w:r w:rsidRPr="007B27DA">
        <w:rPr>
          <w:sz w:val="20"/>
          <w:szCs w:val="20"/>
          <w:vertAlign w:val="superscript"/>
          <w:lang w:val="pt-BR"/>
        </w:rPr>
        <w:t>2</w:t>
      </w:r>
      <w:r w:rsidRPr="007B27DA">
        <w:rPr>
          <w:sz w:val="20"/>
          <w:szCs w:val="20"/>
          <w:lang w:val="pt-BR"/>
        </w:rPr>
        <w:t>, Gustavo Ferreira Martins</w:t>
      </w:r>
      <w:r w:rsidRPr="007B27DA">
        <w:rPr>
          <w:sz w:val="20"/>
          <w:szCs w:val="20"/>
          <w:vertAlign w:val="superscript"/>
          <w:lang w:val="pt-BR"/>
        </w:rPr>
        <w:t>3</w:t>
      </w:r>
    </w:p>
    <w:p w14:paraId="6ADE7BF0" w14:textId="77777777" w:rsidR="007B27DA" w:rsidRPr="007B27DA" w:rsidRDefault="007B27DA" w:rsidP="007B27DA">
      <w:pPr>
        <w:jc w:val="center"/>
        <w:rPr>
          <w:sz w:val="20"/>
          <w:szCs w:val="20"/>
          <w:vertAlign w:val="superscript"/>
          <w:lang w:val="pt-BR" w:eastAsia="en-US"/>
        </w:rPr>
      </w:pPr>
    </w:p>
    <w:p w14:paraId="74458844" w14:textId="27D40F52" w:rsidR="007B27DA" w:rsidRPr="007B27DA" w:rsidRDefault="007B27DA" w:rsidP="007B27DA">
      <w:pPr>
        <w:rPr>
          <w:sz w:val="20"/>
          <w:szCs w:val="20"/>
          <w:lang w:val="pt-BR" w:eastAsia="en-US"/>
        </w:rPr>
      </w:pPr>
      <w:r w:rsidRPr="007B27DA">
        <w:rPr>
          <w:sz w:val="20"/>
          <w:szCs w:val="20"/>
          <w:vertAlign w:val="superscript"/>
          <w:lang w:val="en"/>
        </w:rPr>
        <w:t>1</w:t>
      </w:r>
      <w:r w:rsidRPr="007B27DA">
        <w:rPr>
          <w:sz w:val="20"/>
          <w:szCs w:val="20"/>
          <w:lang w:val="en"/>
        </w:rPr>
        <w:t xml:space="preserve">Department of Entomology, Federal University of Viçosa. </w:t>
      </w:r>
      <w:r w:rsidRPr="007B27DA">
        <w:rPr>
          <w:sz w:val="20"/>
          <w:szCs w:val="20"/>
          <w:lang w:val="pt-BR"/>
        </w:rPr>
        <w:t xml:space="preserve">Viçosa, Avenida PH Rolfs s/n, 36570-900, Viçosa, MG, </w:t>
      </w:r>
      <w:proofErr w:type="spellStart"/>
      <w:r w:rsidRPr="007B27DA">
        <w:rPr>
          <w:sz w:val="20"/>
          <w:szCs w:val="20"/>
          <w:lang w:val="pt-BR"/>
        </w:rPr>
        <w:t>Brazil</w:t>
      </w:r>
      <w:proofErr w:type="spellEnd"/>
      <w:r w:rsidRPr="007B27DA">
        <w:rPr>
          <w:sz w:val="20"/>
          <w:szCs w:val="20"/>
          <w:lang w:val="pt-BR"/>
        </w:rPr>
        <w:t>; lisbetdlorena@gmail.com, https://orcid.org/0000-0001-5461-3601</w:t>
      </w:r>
    </w:p>
    <w:p w14:paraId="2A899011" w14:textId="21B36613" w:rsidR="007B27DA" w:rsidRPr="007B27DA" w:rsidRDefault="007B27DA" w:rsidP="007B27DA">
      <w:pPr>
        <w:rPr>
          <w:sz w:val="20"/>
          <w:szCs w:val="20"/>
          <w:lang w:val="pt-BR" w:eastAsia="en-US"/>
        </w:rPr>
      </w:pPr>
      <w:r w:rsidRPr="007B27DA">
        <w:rPr>
          <w:sz w:val="20"/>
          <w:szCs w:val="20"/>
          <w:vertAlign w:val="superscript"/>
          <w:lang w:val="en"/>
        </w:rPr>
        <w:t>2</w:t>
      </w:r>
      <w:r w:rsidRPr="007B27DA">
        <w:rPr>
          <w:sz w:val="20"/>
          <w:szCs w:val="20"/>
          <w:lang w:val="en"/>
        </w:rPr>
        <w:t xml:space="preserve">Department of Statistics, Federal University of Viçosa. </w:t>
      </w:r>
      <w:r w:rsidRPr="007B27DA">
        <w:rPr>
          <w:sz w:val="20"/>
          <w:szCs w:val="20"/>
          <w:lang w:val="pt-PT"/>
        </w:rPr>
        <w:t xml:space="preserve">Viçosa, Avenida PH </w:t>
      </w:r>
      <w:proofErr w:type="spellStart"/>
      <w:r w:rsidRPr="007B27DA">
        <w:rPr>
          <w:sz w:val="20"/>
          <w:szCs w:val="20"/>
          <w:lang w:val="pt-PT"/>
        </w:rPr>
        <w:t>Rolfs</w:t>
      </w:r>
      <w:proofErr w:type="spellEnd"/>
      <w:r w:rsidRPr="007B27DA">
        <w:rPr>
          <w:sz w:val="20"/>
          <w:szCs w:val="20"/>
          <w:lang w:val="pt-PT"/>
        </w:rPr>
        <w:t xml:space="preserve"> s/n, 36570-900, Viçosa, MG, </w:t>
      </w:r>
      <w:proofErr w:type="spellStart"/>
      <w:r w:rsidRPr="007B27DA">
        <w:rPr>
          <w:sz w:val="20"/>
          <w:szCs w:val="20"/>
          <w:lang w:val="pt-PT"/>
        </w:rPr>
        <w:t>Brazil</w:t>
      </w:r>
      <w:proofErr w:type="spellEnd"/>
      <w:r w:rsidRPr="007B27DA">
        <w:rPr>
          <w:sz w:val="20"/>
          <w:szCs w:val="20"/>
          <w:lang w:val="pt-PT"/>
        </w:rPr>
        <w:t xml:space="preserve">; </w:t>
      </w:r>
      <w:r w:rsidRPr="007B27DA">
        <w:rPr>
          <w:sz w:val="20"/>
          <w:szCs w:val="20"/>
          <w:lang w:val="pt-BR"/>
        </w:rPr>
        <w:t>barbosawf@gmail.com, https://orcid.org/0000-0001-8725-2099</w:t>
      </w:r>
    </w:p>
    <w:p w14:paraId="7A689D49" w14:textId="4116E1E7" w:rsidR="007B27DA" w:rsidRPr="007B27DA" w:rsidRDefault="007B27DA" w:rsidP="007B27DA">
      <w:pPr>
        <w:tabs>
          <w:tab w:val="left" w:pos="5880"/>
        </w:tabs>
        <w:rPr>
          <w:sz w:val="20"/>
          <w:szCs w:val="20"/>
        </w:rPr>
      </w:pPr>
      <w:r w:rsidRPr="007B27DA">
        <w:rPr>
          <w:sz w:val="20"/>
          <w:szCs w:val="20"/>
          <w:vertAlign w:val="superscript"/>
          <w:lang w:val="en"/>
        </w:rPr>
        <w:t>3</w:t>
      </w:r>
      <w:r w:rsidRPr="007B27DA">
        <w:rPr>
          <w:sz w:val="20"/>
          <w:szCs w:val="20"/>
          <w:lang w:val="en"/>
        </w:rPr>
        <w:t>Department of General Biology, Federal University of Viçosa, Avenida PH Rolfs s/n, 36570-000, Viçosa, MG, Brazil</w:t>
      </w:r>
      <w:r w:rsidRPr="007B27DA">
        <w:rPr>
          <w:sz w:val="20"/>
          <w:szCs w:val="20"/>
        </w:rPr>
        <w:t xml:space="preserve">; gmartins@ufv.br, https://orcid.org/0000-0003-0614-8551 </w:t>
      </w:r>
    </w:p>
    <w:p w14:paraId="1A66F3CE" w14:textId="77777777" w:rsidR="007B27DA" w:rsidRPr="007B27DA" w:rsidRDefault="007B27DA" w:rsidP="007B27DA">
      <w:pPr>
        <w:spacing w:line="276" w:lineRule="auto"/>
        <w:jc w:val="both"/>
        <w:rPr>
          <w:sz w:val="20"/>
          <w:szCs w:val="20"/>
          <w:lang w:eastAsia="en-US"/>
        </w:rPr>
      </w:pPr>
    </w:p>
    <w:p w14:paraId="7AA3EA18" w14:textId="649EAE3A" w:rsidR="007B27DA" w:rsidRPr="007B27DA" w:rsidRDefault="007B27DA" w:rsidP="007B27DA">
      <w:pPr>
        <w:spacing w:line="276" w:lineRule="auto"/>
        <w:rPr>
          <w:rFonts w:eastAsiaTheme="majorEastAsia"/>
          <w:b/>
          <w:bCs/>
          <w:sz w:val="20"/>
          <w:szCs w:val="20"/>
        </w:rPr>
      </w:pPr>
      <w:r w:rsidRPr="007B27DA">
        <w:rPr>
          <w:b/>
          <w:bCs/>
          <w:sz w:val="20"/>
          <w:szCs w:val="20"/>
          <w:lang w:eastAsia="en-US"/>
        </w:rPr>
        <w:t xml:space="preserve">*Corresponding author: </w:t>
      </w:r>
      <w:r w:rsidRPr="007B27DA">
        <w:rPr>
          <w:sz w:val="20"/>
          <w:szCs w:val="20"/>
          <w:lang w:eastAsia="en-US"/>
        </w:rPr>
        <w:t>Lorena Lisbetd Botina, e-mail address: lisbetdlorena@gmail.com</w:t>
      </w:r>
    </w:p>
    <w:p w14:paraId="4CE8BB02" w14:textId="77777777" w:rsidR="007B27DA" w:rsidRDefault="007B27DA" w:rsidP="00416BE2">
      <w:pPr>
        <w:spacing w:after="240" w:line="276" w:lineRule="auto"/>
        <w:jc w:val="both"/>
        <w:rPr>
          <w:b/>
          <w:sz w:val="20"/>
          <w:szCs w:val="20"/>
          <w:lang w:val="en"/>
        </w:rPr>
      </w:pPr>
    </w:p>
    <w:p w14:paraId="53173B18" w14:textId="3FF8F556" w:rsidR="00416BE2" w:rsidRPr="009A5C0F" w:rsidRDefault="00416BE2" w:rsidP="00416BE2">
      <w:pPr>
        <w:spacing w:after="240" w:line="276" w:lineRule="auto"/>
        <w:jc w:val="both"/>
        <w:rPr>
          <w:sz w:val="20"/>
          <w:szCs w:val="20"/>
          <w:lang w:eastAsia="en-US"/>
        </w:rPr>
      </w:pPr>
      <w:r w:rsidRPr="009A5C0F">
        <w:rPr>
          <w:b/>
          <w:sz w:val="20"/>
          <w:szCs w:val="20"/>
          <w:lang w:val="en"/>
        </w:rPr>
        <w:t xml:space="preserve">Table </w:t>
      </w:r>
      <w:r>
        <w:rPr>
          <w:b/>
          <w:sz w:val="20"/>
          <w:szCs w:val="20"/>
          <w:lang w:val="en"/>
        </w:rPr>
        <w:t>S2</w:t>
      </w:r>
      <w:r w:rsidRPr="009A5C0F">
        <w:rPr>
          <w:sz w:val="20"/>
          <w:szCs w:val="20"/>
          <w:lang w:val="en"/>
        </w:rPr>
        <w:t xml:space="preserve">. List of stingless bee species and parameters for in </w:t>
      </w:r>
      <w:r w:rsidRPr="009A5C0F">
        <w:rPr>
          <w:i/>
          <w:sz w:val="20"/>
          <w:szCs w:val="20"/>
          <w:lang w:val="en"/>
        </w:rPr>
        <w:t xml:space="preserve">vitro </w:t>
      </w:r>
      <w:r w:rsidRPr="009A5C0F">
        <w:rPr>
          <w:iCs/>
          <w:sz w:val="20"/>
          <w:szCs w:val="20"/>
          <w:lang w:val="en"/>
        </w:rPr>
        <w:t>breeding</w:t>
      </w:r>
    </w:p>
    <w:tbl>
      <w:tblPr>
        <w:tblStyle w:val="SimplesTabela21"/>
        <w:tblW w:w="8730" w:type="dxa"/>
        <w:tblLook w:val="04A0" w:firstRow="1" w:lastRow="0" w:firstColumn="1" w:lastColumn="0" w:noHBand="0" w:noVBand="1"/>
      </w:tblPr>
      <w:tblGrid>
        <w:gridCol w:w="1621"/>
        <w:gridCol w:w="1530"/>
        <w:gridCol w:w="803"/>
        <w:gridCol w:w="1349"/>
        <w:gridCol w:w="1447"/>
        <w:gridCol w:w="1980"/>
      </w:tblGrid>
      <w:tr w:rsidR="00416BE2" w:rsidRPr="009A5C0F" w14:paraId="30ABFEC0" w14:textId="77777777" w:rsidTr="009C3BC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tcBorders>
              <w:top w:val="single" w:sz="4" w:space="0" w:color="auto"/>
              <w:bottom w:val="single" w:sz="4" w:space="0" w:color="auto"/>
            </w:tcBorders>
            <w:vAlign w:val="center"/>
            <w:hideMark/>
          </w:tcPr>
          <w:p w14:paraId="3D42E155" w14:textId="77777777" w:rsidR="00416BE2" w:rsidRPr="009A5C0F" w:rsidRDefault="00416BE2" w:rsidP="009C3BC8">
            <w:pPr>
              <w:spacing w:after="240" w:line="276" w:lineRule="auto"/>
              <w:jc w:val="both"/>
              <w:rPr>
                <w:rFonts w:eastAsia="Times New Roman"/>
                <w:sz w:val="20"/>
                <w:szCs w:val="20"/>
                <w:lang w:val="pt-BR" w:eastAsia="en-US"/>
              </w:rPr>
            </w:pPr>
            <w:r w:rsidRPr="009A5C0F">
              <w:rPr>
                <w:sz w:val="20"/>
                <w:szCs w:val="20"/>
                <w:lang w:val="en"/>
              </w:rPr>
              <w:t>Species</w:t>
            </w:r>
          </w:p>
        </w:tc>
        <w:tc>
          <w:tcPr>
            <w:tcW w:w="1530" w:type="dxa"/>
            <w:tcBorders>
              <w:top w:val="single" w:sz="4" w:space="0" w:color="auto"/>
              <w:bottom w:val="single" w:sz="4" w:space="0" w:color="auto"/>
            </w:tcBorders>
            <w:noWrap/>
            <w:vAlign w:val="center"/>
            <w:hideMark/>
          </w:tcPr>
          <w:p w14:paraId="49CB5D02" w14:textId="77777777" w:rsidR="00416BE2" w:rsidRPr="009A5C0F" w:rsidRDefault="00416BE2" w:rsidP="009C3BC8">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Amount of food</w:t>
            </w:r>
          </w:p>
        </w:tc>
        <w:tc>
          <w:tcPr>
            <w:tcW w:w="803" w:type="dxa"/>
            <w:tcBorders>
              <w:top w:val="single" w:sz="4" w:space="0" w:color="auto"/>
              <w:bottom w:val="single" w:sz="4" w:space="0" w:color="auto"/>
            </w:tcBorders>
            <w:noWrap/>
            <w:vAlign w:val="center"/>
            <w:hideMark/>
          </w:tcPr>
          <w:p w14:paraId="19BBFB7B" w14:textId="77777777" w:rsidR="00416BE2" w:rsidRPr="009A5C0F" w:rsidRDefault="00416BE2" w:rsidP="009C3BC8">
            <w:pPr>
              <w:spacing w:after="24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Caste</w:t>
            </w:r>
          </w:p>
        </w:tc>
        <w:tc>
          <w:tcPr>
            <w:tcW w:w="1106" w:type="dxa"/>
            <w:tcBorders>
              <w:top w:val="single" w:sz="4" w:space="0" w:color="auto"/>
              <w:bottom w:val="single" w:sz="4" w:space="0" w:color="auto"/>
            </w:tcBorders>
            <w:noWrap/>
            <w:vAlign w:val="center"/>
            <w:hideMark/>
          </w:tcPr>
          <w:p w14:paraId="5BAB6AC9" w14:textId="77777777" w:rsidR="00416BE2" w:rsidRPr="009A5C0F" w:rsidRDefault="00416BE2" w:rsidP="009C3BC8">
            <w:pPr>
              <w:spacing w:after="24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Temperature</w:t>
            </w:r>
          </w:p>
        </w:tc>
        <w:tc>
          <w:tcPr>
            <w:tcW w:w="1523" w:type="dxa"/>
            <w:tcBorders>
              <w:top w:val="single" w:sz="4" w:space="0" w:color="auto"/>
              <w:bottom w:val="single" w:sz="4" w:space="0" w:color="auto"/>
            </w:tcBorders>
          </w:tcPr>
          <w:p w14:paraId="5A2C7756" w14:textId="77777777" w:rsidR="00416BE2" w:rsidRPr="009A5C0F" w:rsidRDefault="00416BE2" w:rsidP="009C3BC8">
            <w:pPr>
              <w:spacing w:after="24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Toxicological assessments</w:t>
            </w:r>
          </w:p>
        </w:tc>
        <w:tc>
          <w:tcPr>
            <w:tcW w:w="1980" w:type="dxa"/>
            <w:tcBorders>
              <w:top w:val="single" w:sz="4" w:space="0" w:color="auto"/>
              <w:bottom w:val="single" w:sz="4" w:space="0" w:color="auto"/>
            </w:tcBorders>
            <w:noWrap/>
            <w:vAlign w:val="center"/>
            <w:hideMark/>
          </w:tcPr>
          <w:p w14:paraId="76EB01AB" w14:textId="77777777" w:rsidR="00416BE2" w:rsidRPr="009A5C0F" w:rsidRDefault="00416BE2" w:rsidP="009C3BC8">
            <w:pPr>
              <w:spacing w:after="240"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Reference</w:t>
            </w:r>
          </w:p>
        </w:tc>
      </w:tr>
      <w:tr w:rsidR="00416BE2" w:rsidRPr="009A5C0F" w14:paraId="680BE80F"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tcBorders>
              <w:top w:val="single" w:sz="4" w:space="0" w:color="auto"/>
            </w:tcBorders>
            <w:vAlign w:val="center"/>
          </w:tcPr>
          <w:p w14:paraId="5158C884" w14:textId="77777777" w:rsidR="00416BE2" w:rsidRPr="009A5C0F" w:rsidRDefault="00416BE2" w:rsidP="009C3BC8">
            <w:pPr>
              <w:spacing w:after="240" w:line="276" w:lineRule="auto"/>
              <w:jc w:val="both"/>
              <w:rPr>
                <w:rFonts w:eastAsia="Times New Roman"/>
                <w:i/>
                <w:iCs/>
                <w:sz w:val="20"/>
                <w:szCs w:val="20"/>
                <w:lang w:val="pt-BR" w:eastAsia="en-US"/>
              </w:rPr>
            </w:pPr>
            <w:r w:rsidRPr="009A5C0F">
              <w:rPr>
                <w:rFonts w:eastAsia="Times New Roman"/>
                <w:i/>
                <w:iCs/>
                <w:sz w:val="20"/>
                <w:szCs w:val="20"/>
                <w:lang w:val="pt-BR" w:eastAsia="en-US"/>
              </w:rPr>
              <w:t xml:space="preserve">Trigona spinipes </w:t>
            </w:r>
            <w:r w:rsidRPr="009A5C0F">
              <w:rPr>
                <w:rFonts w:eastAsia="Times New Roman"/>
                <w:sz w:val="20"/>
                <w:szCs w:val="20"/>
                <w:lang w:val="pt-BR" w:eastAsia="en-US"/>
              </w:rPr>
              <w:t>(Fabricius, 1793)</w:t>
            </w:r>
          </w:p>
        </w:tc>
        <w:tc>
          <w:tcPr>
            <w:tcW w:w="1530" w:type="dxa"/>
            <w:tcBorders>
              <w:top w:val="single" w:sz="4" w:space="0" w:color="auto"/>
            </w:tcBorders>
            <w:noWrap/>
            <w:vAlign w:val="center"/>
          </w:tcPr>
          <w:p w14:paraId="561155B4"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36 µL</w:t>
            </w:r>
          </w:p>
        </w:tc>
        <w:tc>
          <w:tcPr>
            <w:tcW w:w="803" w:type="dxa"/>
            <w:tcBorders>
              <w:top w:val="single" w:sz="4" w:space="0" w:color="auto"/>
            </w:tcBorders>
            <w:noWrap/>
            <w:vAlign w:val="center"/>
          </w:tcPr>
          <w:p w14:paraId="7211CDDA"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tcBorders>
              <w:top w:val="single" w:sz="4" w:space="0" w:color="auto"/>
            </w:tcBorders>
            <w:noWrap/>
            <w:vAlign w:val="center"/>
          </w:tcPr>
          <w:p w14:paraId="301320E1"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34°C</w:t>
            </w:r>
          </w:p>
        </w:tc>
        <w:tc>
          <w:tcPr>
            <w:tcW w:w="1523" w:type="dxa"/>
            <w:tcBorders>
              <w:top w:val="single" w:sz="4" w:space="0" w:color="auto"/>
            </w:tcBorders>
            <w:vAlign w:val="center"/>
          </w:tcPr>
          <w:p w14:paraId="68E114CD"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tcBorders>
              <w:top w:val="single" w:sz="4" w:space="0" w:color="auto"/>
            </w:tcBorders>
            <w:noWrap/>
            <w:vAlign w:val="center"/>
          </w:tcPr>
          <w:p w14:paraId="1DE7FE1A"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{"citationItems":[{"id":"ITEM-1","itemData":{"DOI":"10.1111/j.1439-0418.2010.01573.x","ISSN":"09312048","author":[{"dropping-particle":"","family":"Lima","given":"Maria Augusta Pereira","non-dropping-particle":"","parse-names":false,"suffix":""},{"dropping-particle":"","family":"Pires","given":"C S S","non-dropping-particle":"","parse-names":false,"suffix":""},{"dropping-particle":"","family":"Guedes","given":"R N C","non-dropping-particle":"","parse-names":false,"suffix":""},{"dropping-particle":"","family":"Nakasu","given":"E Y T","non-dropping-particle":"","parse-names":false,"suffix":""},{"dropping-particle":"","family":"Lara","given":"M S","non-dropping-particle":"","parse-names":false,"suffix":""},{"dropping-particle":"","family":"Fontes","given":"E M G","non-dropping-particle":"","parse-names":false,"suffix":""},{"dropping-particle":"","family":"Sujii","given":"E R","non-dropping-particle":"","parse-names":false,"suffix":""},{"dropping-particle":"","family":"Dias","given":"S C","non-dropping-particle":"","parse-names":false,"suffix":""},{"dropping-particle":"","family":"Campos","given":"Lúcio Antônio O","non-dropping-particle":"","parse-names":false,"suffix":""}],"container-title":"Journal of Applied Entomology","id":"ITEM-1","issue":"6","issued":{"date-parts":[["2011"]]},"page":"415-422","title":"Does Cry1Ac Bt-toxin impair development of worker larvae of Africanized honey bee?","type":"article-journal","volume":"135"},"uris":["http://www.mendeley.com/documents/?uuid=02a809b8-f1e0-426c-b7f6-ed1ad83c9e7c"]}],"mendeley":{"formattedCitation":"(Lima et al., 2011)","plainTextFormattedCitation":"(Lima et al., 2011)","previouslyFormattedCitation":"(Lima et al., 2011)"},"properties":{"noteIndex":0},"schema":"https://github.com/citation-style-language/schema/raw/master/csl-citation.json"}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(Lima et al. 2011)</w:t>
            </w:r>
            <w:r w:rsidRPr="009A5C0F">
              <w:rPr>
                <w:b/>
                <w:sz w:val="20"/>
                <w:szCs w:val="20"/>
                <w:lang w:val="en"/>
              </w:rPr>
              <w:fldChar w:fldCharType="end"/>
            </w:r>
          </w:p>
        </w:tc>
      </w:tr>
      <w:tr w:rsidR="00416BE2" w:rsidRPr="009A5C0F" w14:paraId="142CB363"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Merge w:val="restart"/>
            <w:vAlign w:val="center"/>
          </w:tcPr>
          <w:p w14:paraId="2BD285A1" w14:textId="77777777" w:rsidR="00416BE2" w:rsidRPr="009A5C0F" w:rsidRDefault="00416BE2" w:rsidP="009C3BC8">
            <w:pPr>
              <w:spacing w:after="240" w:line="276" w:lineRule="auto"/>
              <w:jc w:val="both"/>
              <w:rPr>
                <w:rFonts w:eastAsia="Times New Roman"/>
                <w:i/>
                <w:sz w:val="20"/>
                <w:szCs w:val="20"/>
                <w:lang w:val="pt-BR" w:eastAsia="en-US"/>
              </w:rPr>
            </w:pPr>
            <w:proofErr w:type="spellStart"/>
            <w:r w:rsidRPr="009A5C0F">
              <w:rPr>
                <w:rFonts w:eastAsia="Times New Roman"/>
                <w:i/>
                <w:iCs/>
                <w:sz w:val="20"/>
                <w:szCs w:val="20"/>
                <w:lang w:val="pt-BR" w:eastAsia="en-US"/>
              </w:rPr>
              <w:t>Frieseomellita</w:t>
            </w:r>
            <w:proofErr w:type="spellEnd"/>
            <w:r w:rsidRPr="009A5C0F">
              <w:rPr>
                <w:rFonts w:eastAsia="Times New Roman"/>
                <w:i/>
                <w:iCs/>
                <w:sz w:val="20"/>
                <w:szCs w:val="20"/>
                <w:lang w:val="pt-BR" w:eastAsia="en-US"/>
              </w:rPr>
              <w:t xml:space="preserve"> varia </w:t>
            </w:r>
            <w:r w:rsidRPr="009A5C0F">
              <w:rPr>
                <w:rFonts w:eastAsia="Times New Roman"/>
                <w:sz w:val="20"/>
                <w:szCs w:val="20"/>
                <w:lang w:val="pt-BR" w:eastAsia="en-US"/>
              </w:rPr>
              <w:t>(</w:t>
            </w:r>
            <w:proofErr w:type="spellStart"/>
            <w:r w:rsidRPr="009A5C0F">
              <w:rPr>
                <w:rFonts w:eastAsia="Times New Roman"/>
                <w:sz w:val="20"/>
                <w:szCs w:val="20"/>
                <w:lang w:val="pt-BR" w:eastAsia="en-US"/>
              </w:rPr>
              <w:t>Lepeletier</w:t>
            </w:r>
            <w:proofErr w:type="spellEnd"/>
            <w:r w:rsidRPr="009A5C0F">
              <w:rPr>
                <w:rFonts w:eastAsia="Times New Roman"/>
                <w:sz w:val="20"/>
                <w:szCs w:val="20"/>
                <w:lang w:val="pt-BR" w:eastAsia="en-US"/>
              </w:rPr>
              <w:t>, 1836)</w:t>
            </w:r>
          </w:p>
        </w:tc>
        <w:tc>
          <w:tcPr>
            <w:tcW w:w="1530" w:type="dxa"/>
            <w:noWrap/>
            <w:vAlign w:val="center"/>
          </w:tcPr>
          <w:p w14:paraId="465D46D5"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26,70 ± 3.55 µL</w:t>
            </w:r>
          </w:p>
        </w:tc>
        <w:tc>
          <w:tcPr>
            <w:tcW w:w="803" w:type="dxa"/>
            <w:noWrap/>
            <w:vAlign w:val="center"/>
          </w:tcPr>
          <w:p w14:paraId="03732EF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tcPr>
          <w:p w14:paraId="74DCE462"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5932881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No</w:t>
            </w:r>
          </w:p>
        </w:tc>
        <w:tc>
          <w:tcPr>
            <w:tcW w:w="1980" w:type="dxa"/>
            <w:vMerge w:val="restart"/>
            <w:noWrap/>
            <w:vAlign w:val="center"/>
          </w:tcPr>
          <w:p w14:paraId="029B2024"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{"citationItems":[{"id":"ITEM-1","itemData":{"DOI":"10.13102/sociobiology.v59i1.685","author":[{"dropping-particle":"","family":"Baptistella","given":"Ana Rita","non-dropping-particle":"","parse-names":false,"suffix":""},{"dropping-particle":"","family":"Souza","given":"Camila","non-dropping-particle":"","parse-names":false,"suffix":""},{"dropping-particle":"","family":"Weyder","given":"Cristiano","non-dropping-particle":"","parse-names":false,"suffix":""},{"dropping-particle":"","family":"Santana","given":"Weyder","non-dropping-particle":"","parse-names":false,"suffix":""},{"dropping-particle":"","family":"Soares","given":"Espencer","non-dropping-particle":"","parse-names":false,"suffix":""},{"dropping-particle":"","family":"Soares","given":"Egea","non-dropping-particle":"","parse-names":false,"suffix":""}],"container-title":"Sociobiology","id":"ITEM-1","issued":{"date-parts":[["2012"]]},"page":"297-310","title":"Techniques for the &lt;i&gt;In Vitro&lt;/i&gt; production of queens in stingless bees (Apidae, Meliponini)","type":"article-journal","volume":"59"},"uris":["http://www.mendeley.com/documents/?uuid=fcb13674-83ce-4d97-a3a7-58664f798015"]}],"mendeley":{"formattedCitation":"(Baptistella et al., 2012)","plainTextFormattedCitation":"(Baptistella et al., 2012)","previouslyFormattedCitation":"(Baptistella et al., 2012)"},"properties":{"noteIndex":0},"schema":"https://github.com/citation-style-language/schema/raw/master/csl-citation.json"}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(Baptistella et al. 2012)</w:t>
            </w:r>
            <w:r w:rsidRPr="009A5C0F">
              <w:rPr>
                <w:b/>
                <w:sz w:val="20"/>
                <w:szCs w:val="20"/>
                <w:lang w:val="en"/>
              </w:rPr>
              <w:fldChar w:fldCharType="end"/>
            </w:r>
          </w:p>
        </w:tc>
      </w:tr>
      <w:tr w:rsidR="00416BE2" w:rsidRPr="009A5C0F" w14:paraId="7190640A"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Merge/>
            <w:vAlign w:val="center"/>
          </w:tcPr>
          <w:p w14:paraId="11EA9A30" w14:textId="77777777" w:rsidR="00416BE2" w:rsidRPr="009A5C0F" w:rsidRDefault="00416BE2" w:rsidP="009C3BC8">
            <w:pPr>
              <w:spacing w:after="240" w:line="276" w:lineRule="auto"/>
              <w:jc w:val="both"/>
              <w:rPr>
                <w:rFonts w:eastAsia="Times New Roman"/>
                <w:i/>
                <w:sz w:val="20"/>
                <w:szCs w:val="20"/>
                <w:lang w:val="pt-BR" w:eastAsia="en-US"/>
              </w:rPr>
            </w:pPr>
          </w:p>
        </w:tc>
        <w:tc>
          <w:tcPr>
            <w:tcW w:w="1530" w:type="dxa"/>
            <w:noWrap/>
            <w:vAlign w:val="center"/>
          </w:tcPr>
          <w:p w14:paraId="7029D6E9"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61.7 ± 3.55 µL</w:t>
            </w:r>
          </w:p>
        </w:tc>
        <w:tc>
          <w:tcPr>
            <w:tcW w:w="803" w:type="dxa"/>
            <w:noWrap/>
            <w:vAlign w:val="center"/>
          </w:tcPr>
          <w:p w14:paraId="1026A0AF"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tcPr>
          <w:p w14:paraId="34EF0CC0"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51C8FDE9"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sz w:val="20"/>
                <w:szCs w:val="20"/>
                <w:lang w:val="en"/>
              </w:rPr>
              <w:t>No</w:t>
            </w:r>
          </w:p>
        </w:tc>
        <w:tc>
          <w:tcPr>
            <w:tcW w:w="1980" w:type="dxa"/>
            <w:vMerge/>
            <w:noWrap/>
            <w:vAlign w:val="center"/>
          </w:tcPr>
          <w:p w14:paraId="26C1BD85"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pt-BR" w:eastAsia="en-US"/>
              </w:rPr>
            </w:pPr>
          </w:p>
        </w:tc>
      </w:tr>
      <w:tr w:rsidR="00416BE2" w:rsidRPr="0029589F" w14:paraId="38FC7B75"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B5AD3D6" w14:textId="77777777" w:rsidR="00416BE2" w:rsidRPr="009A5C0F" w:rsidRDefault="00416BE2" w:rsidP="009C3BC8">
            <w:pPr>
              <w:spacing w:after="240" w:line="276" w:lineRule="auto"/>
              <w:jc w:val="both"/>
              <w:rPr>
                <w:rFonts w:eastAsia="Times New Roman"/>
                <w:i/>
                <w:sz w:val="20"/>
                <w:szCs w:val="20"/>
                <w:lang w:val="pt-BR" w:eastAsia="en-US"/>
              </w:rPr>
            </w:pPr>
            <w:r w:rsidRPr="009A5C0F">
              <w:rPr>
                <w:rFonts w:eastAsia="Times New Roman"/>
                <w:i/>
                <w:iCs/>
                <w:sz w:val="20"/>
                <w:szCs w:val="20"/>
                <w:lang w:val="pt-BR" w:eastAsia="en-US"/>
              </w:rPr>
              <w:t xml:space="preserve">Melipona quadrifasciata </w:t>
            </w:r>
            <w:r w:rsidRPr="009A5C0F">
              <w:rPr>
                <w:rFonts w:eastAsia="Times New Roman"/>
                <w:sz w:val="20"/>
                <w:szCs w:val="20"/>
                <w:lang w:val="pt-BR" w:eastAsia="en-US"/>
              </w:rPr>
              <w:t>(</w:t>
            </w:r>
            <w:proofErr w:type="spellStart"/>
            <w:r w:rsidRPr="009A5C0F">
              <w:rPr>
                <w:rFonts w:eastAsia="Times New Roman"/>
                <w:sz w:val="20"/>
                <w:szCs w:val="20"/>
                <w:lang w:val="pt-BR" w:eastAsia="en-US"/>
              </w:rPr>
              <w:t>Lepeletier</w:t>
            </w:r>
            <w:proofErr w:type="spellEnd"/>
            <w:r w:rsidRPr="009A5C0F">
              <w:rPr>
                <w:rFonts w:eastAsia="Times New Roman"/>
                <w:sz w:val="20"/>
                <w:szCs w:val="20"/>
                <w:lang w:val="pt-BR" w:eastAsia="en-US"/>
              </w:rPr>
              <w:t>, 1836)</w:t>
            </w:r>
          </w:p>
        </w:tc>
        <w:tc>
          <w:tcPr>
            <w:tcW w:w="1530" w:type="dxa"/>
            <w:noWrap/>
            <w:vAlign w:val="center"/>
          </w:tcPr>
          <w:p w14:paraId="767D8A7C"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145 ± 5 µL</w:t>
            </w:r>
          </w:p>
        </w:tc>
        <w:tc>
          <w:tcPr>
            <w:tcW w:w="803" w:type="dxa"/>
            <w:noWrap/>
            <w:vAlign w:val="center"/>
          </w:tcPr>
          <w:p w14:paraId="4936BDC5"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tcPr>
          <w:p w14:paraId="541AF8D2"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29C86A5B"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noWrap/>
            <w:vAlign w:val="center"/>
          </w:tcPr>
          <w:p w14:paraId="08A4E547" w14:textId="51BD6A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 w:eastAsia="en-US"/>
              </w:rPr>
            </w:pPr>
            <w:r w:rsidRPr="009A5C0F">
              <w:rPr>
                <w:b/>
                <w:sz w:val="20"/>
                <w:szCs w:val="20"/>
                <w:lang w:val="en"/>
              </w:rPr>
              <w:fldChar w:fldCharType="begin" w:fldLock="1"/>
            </w:r>
            <w:r w:rsidRPr="009A5C0F">
              <w:rPr>
                <w:b/>
                <w:sz w:val="20"/>
                <w:szCs w:val="20"/>
                <w:lang w:val="en"/>
              </w:rPr>
              <w:instrText>ADDIN CSL_CITATION {"citationItems":[{"id":"ITEM-1","itemData":{"DOI":"10.1002/etc.3053","ISBN":"2167-8359","ISSN":"07307268","PMID":"26190792","abstract":"Because of their natural origin, biopesticides are assumed to be less harmful to beneficial insects, including bees, and therefore their use has been widely encouraged for crop protection. There is little evidence, however, to support this ingrained notion of biopesticide safety to pollinators. Because larval exposure is still largely unexplored in ecotoxicology and risk assessment on bees, an investigation was performed on the lethal and sublethal effects of a diet treated with 2 bioinsecticides, azadirachtin and spinosad, on the stingless bee, Melipona quadrifasciata, which is one of the most important pollinators in the Neotropics. Survival of stingless bee larvae was significantly compromised at doses above 210 ng a.i./bee for azadirachtin and 114 ng a.i./bee for spinosad. No sublethal effect was observed on larvae developmental time, but doses of both compounds negatively affected pupal body mass. Azadirachtin produced deformed pupae and adults as a result of its insect growth regulator properties, but spinosad was more harmful and produced greater numbers of deformed individuals. Only spinosad compromised walking activity of the adult workers at doses as low as 2.29 ng a.i./bee, which is 1/5000 of the maximum field recommended rate. In conclusion, the results demonstrated that bioinsecticides can pose significant risks to native pollinators with lethal and sublethal effects; future investigations are needed on the likelihood of such effects under field conditions.","author":[{"dropping-particle":"","family":"Barbosa","given":"Wagner Faria","non-dropping-particle":"","parse-names":false,"suffix":""},{"dropping-particle":"","family":"Tomé","given":"Hudson Vaner Ventura","non-dropping-particle":"","parse-names":false,"suffix":""},{"dropping-particle":"","family":"Bernardes","given":"Rodrigo Cupertino","non-dropping-particle":"","parse-names":false,"suffix":""},{"dropping-particle":"","family":"Siqueira","given":"Maria Augusta L","non-dropping-particle":"","parse-names":false,"suffix":""},{"dropping-particle":"","family":"Smagghe","given":"Guy","non-dropping-particle":"","parse-names":false,"suffix":""},{"dropping-particle":"","family":"Guedes","given":"Raul Narciso Carvalho","non-dropping-particle":"","parse-names":false,"suffix":""}],"container-title":"Environmental Toxicology and Chemistry","id":"ITEM-1","issue":"9","issued":{"date-parts":[["2015"]]},"page":"2149-2158","title":"Biopesticide-induced behavioral and morphological alterations in the stingless bee &lt;i&gt;Melipona quadrifasciata&lt;/i&gt;","type":"article-journal","volume":"34"},"uris":["http://www.mendeley.com/documents/?uuid=6c161a7e-43d7-4fe6-a599-c14788b27e72"]},{"id":"ITEM-2","itemData":{"DOI":"10.1016/J.ENVPOL.2018.10.020","ISSN":"0269-7491","abstract":"Brazil is the second largest producer of genetically modified plants in the world. This agricultural practice exposes native pollinators to contact and ingestion of Bacillus thuringiensis proteins (e.g. Cry toxins) from transgenic plants. Furthermore, native bees are also exposed to various herbicides applied to crops, including glyphosate. Little is known about the possible effects of glyphosate and Cry proteins on stingless bees, especially regarding exposure at an immature stage. Here, we show for the first time that glyphosate is lethal, and that Cry toxins (Cry1F, Cry2Aa) alter the development of the stingless bee Melipona quadrifasciata upon contamination of larval food. Glyphosate was very toxic to the bee larvae, killing all of them within only a few days of exposure. Bees treated with Cry2Aa proteins had a higher survival rate and were delayed in their development, compared to the negative controls. Those treated with the Cry1F protein also suffered delays in their development, compared to the negative controls. In conclusion, the proteins Cry1F, Cry2Aa, and the herbicide glyphosate were highly toxic to the stingless bee M. quadrifasciata, causing lethal or sublethal effects which can severely impair colony growth and viability, and reduce pollination ability.","author":[{"dropping-particle":"","family":"Seide","given":"Vanessa Eler","non-dropping-particle":"","parse-names":false,"suffix":""},{"dropping-particle":"","family":"Bernardes","given":"Rodrigo Cupertino","non-dropping-particle":"","parse-names":false,"suffix":""},{"dropping-particle":"","family":"Pereira","given":"Eliseu José Guedes","non-dropping-particle":"","parse-names":false,"suffix":""},{"dropping-particle":"","family":"Lima","given":"Maria Augusta Pereira","non-dropping-particle":"","parse-names":false,"suffix":""}],"container-title":"Environmental Pollution","id":"ITEM-2","issued":{"date-parts":[["2018"]]},"page":"1854-1860","publisher":"Elsevier","title":"Glyphosate is lethal and Cry toxins alter the development of the stingless bee &lt;i&gt;Melipona quadrifasciata&lt;/i&gt;","type":"article-journal","volume":"243"},"uris":["http://www.mendeley.com/documents/?uuid=8bd3cb92-d335-4d4f-9c01-4b2639231617"]},{"id":"ITEM-3","itemData":{"abstract":"Declines in pollinator colonies represent a worldwide concern. The widespread use of agricultural pesticides is recognized as a potential cause of these declines. Previous studies have examined the effects of neonicotinoid insecticides such as imidacloprid on pollinator colonies, but these investigations have mainly focused on adult honey bees. Native stingless bees (Hymenoptera: Apidae: Meliponinae) are key pollinators in neotropical areas and are threatened with extinction due to deforestation and pesticide use. Few studies have directly investigated the effects of pesticides on these pollinators. Furthermore, the existing impact studies did not address the issue of larval ingestion of contaminated pollen and nectar, which could potentially have dire consequences for the colony. Here, we assessed the effects of imidacloprid ingestion by stingless bee larvae on their survival, development, neuromorphology and adult walking behavior. Increasing doses of imidacloprid were added to the diet provided to individual worker larvae of the stingless bee Melipona quadrifasciata anthidioides throughout their development. Survival rates above 50% were only observed at insecticide doses lower than 0.0056 µg active ingredient (a.i.)/bee. No sublethal effect on body mass or developmental time was observed in the surviving insects, but the pesticide treatment negatively affected the development of mushroom bodies in the brain and impaired the walking behavior of newly emerged adult workers. Therefore, stingless bee larvae are particularly susceptible to imidacloprid, as it caused both high mortality and sublethal effects that impaired brain development and compromised mobility at the young adult stage. These findings demonstrate the lethal effects of imidacloprid on native stingless bees and provide evidence of novel serious sublethal effects that may compromise colony survival. The ecological and economic importance of neotropical stingless bees as pollinators, their susceptibility to insecticides and the vulnerability of their larvae to insecticide exposure emphasize the importance of studying thes</w:instrText>
            </w:r>
            <w:r w:rsidRPr="009A5C0F">
              <w:rPr>
                <w:b/>
                <w:sz w:val="20"/>
                <w:szCs w:val="20"/>
                <w:lang w:val="fr-FR"/>
              </w:rPr>
              <w:instrText>e species.","author":[{"dropping-particle":"","family":"Tomé","given":"Hudson Vaner Ventura","non-dropping-particle":"","parse-names":false,"suffix":""},{"dropping-particle":"","family":"Martins","given":"Gustavo Ferreira","non-dropping-particle":"","parse-names":false,"suffix":""},{"dropping-particle":"","family":"Lima","given":"Maria Augusta P","non-dropping-particle":"","parse-names":false,"suffix":""},{"dropping-particle":"","family":"Campos","given":"Lúcio Antônio O","non-dropping-particle":"","parse-names":false,"suffix":""},{"dropping-particle":"","family":"Guedes","given":"Raul Narciso Carvalho","non-dropping-particle":"","parse-names":false,"suffix":""}],"container-title":"PLOS ONE","id":"ITEM-3","issue":"6","issued":{"date-parts":[["2012"]]},"page":"e38406","publisher":"Public Library of Science","title":"Imidacloprid-induced impairment of mushroom bodies and behavior of the native stingless bee &lt;i&gt;Melipona quadrifasciata anthidioides&lt;/i&gt;","type":"article-journal","volume":"7"},"uris":["http://www.mendeley.com/documents/?uuid=fba915b7-c3e0-415b-90d3-94893a9619f2"]}],"mendeley":{"formattedCitation":"(Tomé et al., 2012; Barbosa et al., 2015b; Seide et al., 2018)","plainTextFormattedCitation":"(Tomé et al., 2012; Barbosa et al., 2015b; Seide et al., 2018)","previouslyFormattedCitation":"(Tomé et al., 2012; Barbosa et al., 2015b; Seide et al., 2018)"},"properties":{"noteIndex":0},"schema":"https://github.com/citation-style-language/schema/raw/master/csl-citation.json"}</w:instrText>
            </w:r>
            <w:r w:rsidRPr="009A5C0F">
              <w:rPr>
                <w:b/>
                <w:sz w:val="20"/>
                <w:szCs w:val="20"/>
                <w:lang w:val="en"/>
              </w:rPr>
              <w:fldChar w:fldCharType="separate"/>
            </w:r>
            <w:r w:rsidRPr="009A5C0F">
              <w:rPr>
                <w:noProof/>
                <w:sz w:val="20"/>
                <w:szCs w:val="20"/>
                <w:lang w:val="fr-FR"/>
              </w:rPr>
              <w:t xml:space="preserve">(Tomé et al. 2012; </w:t>
            </w:r>
            <w:bookmarkStart w:id="1" w:name="_Hlk129764772"/>
            <w:r w:rsidRPr="009A5C0F">
              <w:rPr>
                <w:noProof/>
                <w:sz w:val="20"/>
                <w:szCs w:val="20"/>
                <w:lang w:val="fr-FR"/>
              </w:rPr>
              <w:t>Barbosa et al. 2015</w:t>
            </w:r>
            <w:bookmarkEnd w:id="1"/>
            <w:r w:rsidRPr="009A5C0F">
              <w:rPr>
                <w:noProof/>
                <w:sz w:val="20"/>
                <w:szCs w:val="20"/>
                <w:lang w:val="fr-FR"/>
              </w:rPr>
              <w:t>; Seide et al. 2018)</w:t>
            </w:r>
            <w:r w:rsidRPr="009A5C0F">
              <w:rPr>
                <w:b/>
                <w:sz w:val="20"/>
                <w:szCs w:val="20"/>
                <w:lang w:val="en"/>
              </w:rPr>
              <w:fldChar w:fldCharType="end"/>
            </w:r>
          </w:p>
        </w:tc>
      </w:tr>
      <w:tr w:rsidR="00416BE2" w:rsidRPr="009A5C0F" w14:paraId="00BF0417"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91906DA" w14:textId="77777777" w:rsidR="00416BE2" w:rsidRPr="009A5C0F" w:rsidRDefault="00416BE2" w:rsidP="009C3BC8">
            <w:pPr>
              <w:spacing w:after="240" w:line="276" w:lineRule="auto"/>
              <w:jc w:val="both"/>
              <w:rPr>
                <w:rFonts w:eastAsia="Times New Roman"/>
                <w:i/>
                <w:iCs/>
                <w:sz w:val="20"/>
                <w:szCs w:val="20"/>
                <w:lang w:val="es-419" w:eastAsia="en-US"/>
              </w:rPr>
            </w:pPr>
            <w:proofErr w:type="spellStart"/>
            <w:r w:rsidRPr="009A5C0F">
              <w:rPr>
                <w:rFonts w:eastAsia="Times New Roman"/>
                <w:i/>
                <w:sz w:val="20"/>
                <w:szCs w:val="20"/>
                <w:lang w:val="es-419" w:eastAsia="en-US"/>
              </w:rPr>
              <w:t>Scaptotrigona</w:t>
            </w:r>
            <w:proofErr w:type="spellEnd"/>
            <w:r w:rsidRPr="009A5C0F">
              <w:rPr>
                <w:rFonts w:eastAsia="Times New Roman"/>
                <w:i/>
                <w:sz w:val="20"/>
                <w:szCs w:val="20"/>
                <w:lang w:val="es-419" w:eastAsia="en-US"/>
              </w:rPr>
              <w:t xml:space="preserve"> </w:t>
            </w:r>
            <w:proofErr w:type="spellStart"/>
            <w:r w:rsidRPr="009A5C0F">
              <w:rPr>
                <w:rFonts w:eastAsia="Times New Roman"/>
                <w:i/>
                <w:sz w:val="20"/>
                <w:szCs w:val="20"/>
                <w:lang w:val="es-419" w:eastAsia="en-US"/>
              </w:rPr>
              <w:t>pectoralis</w:t>
            </w:r>
            <w:proofErr w:type="spellEnd"/>
            <w:r w:rsidRPr="009A5C0F">
              <w:rPr>
                <w:rFonts w:eastAsia="Times New Roman"/>
                <w:i/>
                <w:sz w:val="20"/>
                <w:szCs w:val="20"/>
                <w:lang w:val="es-419" w:eastAsia="en-US"/>
              </w:rPr>
              <w:t xml:space="preserve"> </w:t>
            </w:r>
            <w:r w:rsidRPr="009A5C0F">
              <w:rPr>
                <w:rFonts w:eastAsia="Times New Roman"/>
                <w:iCs/>
                <w:sz w:val="20"/>
                <w:szCs w:val="20"/>
                <w:lang w:val="es-419" w:eastAsia="en-US"/>
              </w:rPr>
              <w:t>(Dalla Torre, 1896)</w:t>
            </w:r>
          </w:p>
        </w:tc>
        <w:tc>
          <w:tcPr>
            <w:tcW w:w="1530" w:type="dxa"/>
            <w:noWrap/>
            <w:vAlign w:val="center"/>
          </w:tcPr>
          <w:p w14:paraId="6028C0BF"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85 µL</w:t>
            </w:r>
          </w:p>
        </w:tc>
        <w:tc>
          <w:tcPr>
            <w:tcW w:w="803" w:type="dxa"/>
            <w:noWrap/>
            <w:vAlign w:val="center"/>
          </w:tcPr>
          <w:p w14:paraId="16773A47"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 xml:space="preserve">  ♀</w:t>
            </w:r>
          </w:p>
        </w:tc>
        <w:tc>
          <w:tcPr>
            <w:tcW w:w="1106" w:type="dxa"/>
            <w:noWrap/>
            <w:vAlign w:val="center"/>
          </w:tcPr>
          <w:p w14:paraId="770375EE"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29°C</w:t>
            </w:r>
          </w:p>
        </w:tc>
        <w:tc>
          <w:tcPr>
            <w:tcW w:w="1523" w:type="dxa"/>
            <w:vAlign w:val="center"/>
          </w:tcPr>
          <w:p w14:paraId="5AD017E2"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es-419" w:eastAsia="en-US"/>
              </w:rPr>
            </w:pPr>
            <w:r w:rsidRPr="009A5C0F">
              <w:rPr>
                <w:sz w:val="20"/>
                <w:szCs w:val="20"/>
                <w:lang w:val="es-419"/>
              </w:rPr>
              <w:t xml:space="preserve">No </w:t>
            </w:r>
          </w:p>
        </w:tc>
        <w:tc>
          <w:tcPr>
            <w:tcW w:w="1980" w:type="dxa"/>
            <w:noWrap/>
            <w:vAlign w:val="center"/>
          </w:tcPr>
          <w:p w14:paraId="7C310CA5" w14:textId="353575C6"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s-419"/>
              </w:rPr>
              <w:instrText>ADDIN CSL_CITATION {"citationItems":[{"id":"ITEM-1","itemData":{"DOI":"10.1007/s00265-016-2109-z","ISSN":"1432-0762","abstract":"The relative contributions of heritable and environmentally acquired components of colony odor towards individual recognition are scarcely known in social insects. Larval food may affect cuticular profiles which in turn may serve as cues in the process of elimination of excess gynes characteristic of the eusocial stingless bees. In this study, we evaluated the contribution of larval food to cuticular profiles of stingless bee gynes and quantitatively tested if recognition (latency) from workers may be related to gyne chemotype and origin in the species Scaptotrigona pectoralis. Our results showed that the origin of food did not significantly affect the cuticular profiles of gynes, as larvae of the same origin reared on food from different colonies showed similar cuticular profiles at emergence. We suggest that overlapping over floral resources may account for the similarity in cuticular cues derived from food across experimental colonies. Additionally, workers showed similar latency time to first aggression towards gynes irrespectively of their chemotype and origin. Gyne’s mass had no effect on the aggressive response from workers either. We observed that gynes threatened aggressive workers which counteracted further aggressio</w:instrText>
            </w:r>
            <w:r w:rsidRPr="009E24C3">
              <w:rPr>
                <w:b/>
                <w:sz w:val="20"/>
                <w:szCs w:val="20"/>
                <w:lang w:val="es-419"/>
              </w:rPr>
              <w:instrText>n. Our results indicate that in s</w:instrText>
            </w:r>
            <w:r w:rsidRPr="009A5C0F">
              <w:rPr>
                <w:b/>
                <w:sz w:val="20"/>
                <w:szCs w:val="20"/>
                <w:lang w:val="en"/>
              </w:rPr>
              <w:instrText>tingless bees, cuticular hydrocarbons at emergence seem to have genetic origin and that gyne tolerance seems not related to cuticular chemical profiles. We suggest that cuticular cues may serve as caste labels for the identification of newly emerged gynes after which worker aggression towards them would elicit behavioral indicators of their fitness.","author":[{"dropping-particle":"","family":"Gutiérrez","given":"E","non-dropping-particle":"","parse-names":false,"suffix":""},{"dropping-particle":"","family":"Ruiz","given":"D","non-dropping-particle":"","parse-names":false,"suffix":""},{"dropping-particle":"","family":"Solís","given":"T","non-dropping-particle":"","parse-names":false,"suffix":""},{"dropping-particle":"","family":"J May-Itzá","given":"W","non-dropping-particle":"de","parse-names":false,"suffix":""},{"dropping-particle":"","family":"Moo-Valle","given":"H","non-dropping-particle":"","parse-names":false,"suffix":""},{"dropping-particle":"","family":"Quezada-Euán","given":"J J G","non-dropping-particle":"","parse-names":false,"suffix":""}],"container-title":"Behavioral Ecology and Sociobiology","id":"ITEM-1","issue":"6","issued":{"date-parts":[["2016"]]},"page":"871-879","title":"Does larval food affect cuticular profiles and recognition in eusocial bees? a test on &lt;i&gt;Scaptotrigona&lt;/i&gt; gynes (Hymenoptera: Meliponini)","type":"article-journal","volume":"70"},"uris":["http://www.mendeley.com/documents/?uuid=5f814940-32fb-477f-baa5-07c28ee270d7"]}],"mendeley":{"formattedCitation":"(Gutiérrez et al., 2016)","plainTextFormattedCitation":"(Gutiérrez et al., 2016)","previouslyFormattedCitation":"(Gutiérrez et al., 2016)"},"properties":{"noteIndex":0},"schema":"https://github.com/citation-style-language/schema/raw/master/csl-citation.json"}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(Guti</w:t>
            </w:r>
            <w:r w:rsidR="001D25C4">
              <w:rPr>
                <w:noProof/>
                <w:sz w:val="20"/>
                <w:szCs w:val="20"/>
                <w:lang w:val="en"/>
              </w:rPr>
              <w:t>é</w:t>
            </w:r>
            <w:r w:rsidRPr="009A5C0F">
              <w:rPr>
                <w:noProof/>
                <w:sz w:val="20"/>
                <w:szCs w:val="20"/>
                <w:lang w:val="en"/>
              </w:rPr>
              <w:t>rrez et al. 2016)</w:t>
            </w:r>
            <w:r w:rsidRPr="009A5C0F">
              <w:rPr>
                <w:b/>
                <w:sz w:val="20"/>
                <w:szCs w:val="20"/>
                <w:lang w:val="en"/>
              </w:rPr>
              <w:fldChar w:fldCharType="end"/>
            </w:r>
          </w:p>
        </w:tc>
      </w:tr>
      <w:tr w:rsidR="00416BE2" w:rsidRPr="009A5C0F" w14:paraId="2A137725"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Merge w:val="restart"/>
            <w:vAlign w:val="center"/>
          </w:tcPr>
          <w:p w14:paraId="3B0C9A6E" w14:textId="77777777" w:rsidR="00416BE2" w:rsidRPr="009A5C0F" w:rsidRDefault="00416BE2" w:rsidP="009C3BC8">
            <w:pPr>
              <w:spacing w:after="240" w:line="276" w:lineRule="auto"/>
              <w:jc w:val="both"/>
              <w:rPr>
                <w:rFonts w:eastAsia="Times New Roman"/>
                <w:i/>
                <w:sz w:val="20"/>
                <w:szCs w:val="20"/>
                <w:lang w:eastAsia="en-US"/>
              </w:rPr>
            </w:pPr>
            <w:proofErr w:type="spellStart"/>
            <w:r w:rsidRPr="009A5C0F">
              <w:rPr>
                <w:rFonts w:eastAsia="Times New Roman"/>
                <w:i/>
                <w:sz w:val="20"/>
                <w:szCs w:val="20"/>
                <w:lang w:eastAsia="en-US"/>
              </w:rPr>
              <w:t>Scaptotrigona</w:t>
            </w:r>
            <w:proofErr w:type="spellEnd"/>
            <w:r w:rsidRPr="009A5C0F">
              <w:rPr>
                <w:rFonts w:eastAsia="Times New Roman"/>
                <w:i/>
                <w:sz w:val="20"/>
                <w:szCs w:val="20"/>
                <w:lang w:eastAsia="en-US"/>
              </w:rPr>
              <w:t xml:space="preserve"> </w:t>
            </w:r>
            <w:proofErr w:type="spellStart"/>
            <w:r w:rsidRPr="009A5C0F">
              <w:rPr>
                <w:rFonts w:eastAsia="Times New Roman"/>
                <w:i/>
                <w:sz w:val="20"/>
                <w:szCs w:val="20"/>
                <w:lang w:eastAsia="en-US"/>
              </w:rPr>
              <w:t>depilis</w:t>
            </w:r>
            <w:proofErr w:type="spellEnd"/>
            <w:r w:rsidRPr="009A5C0F">
              <w:rPr>
                <w:rFonts w:eastAsia="Times New Roman"/>
                <w:i/>
                <w:sz w:val="20"/>
                <w:szCs w:val="20"/>
                <w:lang w:eastAsia="en-US"/>
              </w:rPr>
              <w:t xml:space="preserve"> </w:t>
            </w:r>
            <w:r w:rsidRPr="009A5C0F">
              <w:rPr>
                <w:rFonts w:eastAsia="Times New Roman"/>
                <w:iCs/>
                <w:sz w:val="20"/>
                <w:szCs w:val="20"/>
                <w:lang w:eastAsia="en-US"/>
              </w:rPr>
              <w:t>(Moure, 1942)</w:t>
            </w:r>
          </w:p>
        </w:tc>
        <w:tc>
          <w:tcPr>
            <w:tcW w:w="1530" w:type="dxa"/>
            <w:noWrap/>
            <w:vAlign w:val="center"/>
          </w:tcPr>
          <w:p w14:paraId="6D8D5104"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r w:rsidRPr="009A5C0F">
              <w:rPr>
                <w:rFonts w:eastAsia="Times New Roman"/>
                <w:sz w:val="20"/>
                <w:szCs w:val="20"/>
                <w:lang w:eastAsia="en-US"/>
              </w:rPr>
              <w:t>35 µL</w:t>
            </w:r>
          </w:p>
        </w:tc>
        <w:tc>
          <w:tcPr>
            <w:tcW w:w="803" w:type="dxa"/>
            <w:noWrap/>
            <w:vAlign w:val="center"/>
          </w:tcPr>
          <w:p w14:paraId="6169F0B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r w:rsidRPr="009A5C0F">
              <w:rPr>
                <w:rFonts w:eastAsia="Times New Roman"/>
                <w:sz w:val="20"/>
                <w:szCs w:val="20"/>
                <w:lang w:eastAsia="en-US"/>
              </w:rPr>
              <w:t xml:space="preserve">  ♀</w:t>
            </w:r>
          </w:p>
        </w:tc>
        <w:tc>
          <w:tcPr>
            <w:tcW w:w="1106" w:type="dxa"/>
            <w:noWrap/>
            <w:vAlign w:val="center"/>
          </w:tcPr>
          <w:p w14:paraId="3843F2BF"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r w:rsidRPr="009A5C0F">
              <w:rPr>
                <w:rFonts w:eastAsia="Times New Roman"/>
                <w:sz w:val="20"/>
                <w:szCs w:val="20"/>
                <w:lang w:eastAsia="en-US"/>
              </w:rPr>
              <w:t>28°C</w:t>
            </w:r>
          </w:p>
        </w:tc>
        <w:tc>
          <w:tcPr>
            <w:tcW w:w="1523" w:type="dxa"/>
            <w:vAlign w:val="center"/>
          </w:tcPr>
          <w:p w14:paraId="21C45C8F"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n-US"/>
              </w:rPr>
            </w:pPr>
            <w:r w:rsidRPr="009A5C0F">
              <w:rPr>
                <w:sz w:val="20"/>
                <w:szCs w:val="20"/>
                <w:lang w:val="en"/>
              </w:rPr>
              <w:t>Yes</w:t>
            </w:r>
          </w:p>
        </w:tc>
        <w:tc>
          <w:tcPr>
            <w:tcW w:w="1980" w:type="dxa"/>
            <w:noWrap/>
            <w:vAlign w:val="center"/>
          </w:tcPr>
          <w:p w14:paraId="051FA542"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s-CO" w:eastAsia="en-US"/>
              </w:rPr>
            </w:pPr>
            <w:r w:rsidRPr="009A5C0F">
              <w:rPr>
                <w:b/>
                <w:sz w:val="20"/>
                <w:szCs w:val="20"/>
                <w:lang w:val="en"/>
              </w:rPr>
              <w:fldChar w:fldCharType="begin" w:fldLock="1"/>
            </w:r>
            <w:r w:rsidRPr="009A5C0F">
              <w:rPr>
                <w:b/>
                <w:sz w:val="20"/>
                <w:szCs w:val="20"/>
                <w:lang w:val="en"/>
              </w:rPr>
              <w:instrText>ADDIN CSL_CITATION {"citationItems":[{"id":"ITEM-1","itemData":{"DOI":"10.1007/S13592-015-0424-4/TABLES/1","ISSN":"12979678","abstract":"In Brazil, where the use of neonicotinoids is allowed in bee-attracting flowering crops, we investigated whether thiamethoxam intake during the larval stage of the native bee species Scaptotrigona aff. depilis affects the survival and development by exposing larvae to contaminated food. Our results indicated that the larvae exposed to the dose at a field-realistic level and to the doses ranging around it had their survival rates significantly impaired. At the highest doses, we observed larvae and pupae with shorter and longer development times, respectively, and the formation of smaller and asymmetric specimens. Evidently, we need to consider that thiamethoxam reaches the pollen and nectar at residual levels, and that they are processed by nurse bees before destined for offspring. Nevertheless, our findings suggest a warning, since the individuals had their biological parameters affected by thiamethoxam, when exposed to doses at field-realistic levels.","author":[{"dropping-particle":"","family":"Rosa","given":"Annelise de Souza","non-dropping-particle":"","parse-names":false,"suffix":""},{"dropping-particle":"","family":"Teixeira","given":"Juliana Stephanie Galaschi","non-dropping-particle":"","parse-names":false,"suffix":""},{"dropping-particle":"","family":"Vollet-Neto","given":"Ayrton","non-dropping-particle":"","parse-names":false,"suffix":""},{"dropping-particle":"","family":"Queiroz","given":"Elisa Pereira","non-dropping-particle":"","parse-names":false,"suffix":""},{"dropping-particle":"","family":"Blochtein","given":"Betina","non-dropping-particle":"","parse-names":false,"suffix":""},{"dropping-particle":"","family":"Pires","given":"Carmen Sílvia Soares","non-dropping-particle":"","parse-names":false,"suffix":""},{"dropping-particle":"","family":"Imperatriz-Fonseca","given":"Vera Lucia","non-dropping-particle":"","parse-names":false,"suffix":""}],"container-title":"Apidologie","id":"ITEM-1","issue":"6","issued":{"date-parts":[["2016","11","1"]]},"page":"729-738","publisher":"Springer-Verlag France","title":"Consumption of the neonicotinoid thiamethoxam during the larval stage affects the survival and development of the stingless bee, Scaptotrigona aff. depilis","type":"article-journal","volume":"47"},"uris":["http://www.mendeley.com/documents/?uuid=8a9def57-97d9-33f0-8985-dc890d1764b4"]}],"mendeley":{"formattedCitation":"(Rosa et al., 2016)","plainTextFormattedCitation":"(Rosa et al., 2016)","previouslyFormattedCitation":"(Rosa et al., 2016)"},"properties":{"noteIndex":0},"schema":"https://github.com/citation-style-language/schema/raw/master/csl-citation.json"}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(Rosa et al. 2016)</w:t>
            </w:r>
            <w:r w:rsidRPr="009A5C0F">
              <w:rPr>
                <w:b/>
                <w:sz w:val="20"/>
                <w:szCs w:val="20"/>
                <w:lang w:val="en"/>
              </w:rPr>
              <w:fldChar w:fldCharType="end"/>
            </w:r>
          </w:p>
        </w:tc>
      </w:tr>
      <w:tr w:rsidR="00416BE2" w:rsidRPr="009A5C0F" w14:paraId="678121AF"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Merge/>
            <w:vAlign w:val="center"/>
          </w:tcPr>
          <w:p w14:paraId="47CE99B0" w14:textId="77777777" w:rsidR="00416BE2" w:rsidRPr="009A5C0F" w:rsidRDefault="00416BE2" w:rsidP="009C3BC8">
            <w:pPr>
              <w:spacing w:after="240" w:line="276" w:lineRule="auto"/>
              <w:jc w:val="both"/>
              <w:rPr>
                <w:rFonts w:eastAsia="Times New Roman"/>
                <w:i/>
                <w:sz w:val="20"/>
                <w:szCs w:val="20"/>
                <w:lang w:val="es-CO" w:eastAsia="en-US"/>
              </w:rPr>
            </w:pPr>
          </w:p>
        </w:tc>
        <w:tc>
          <w:tcPr>
            <w:tcW w:w="1530" w:type="dxa"/>
            <w:noWrap/>
            <w:vAlign w:val="center"/>
          </w:tcPr>
          <w:p w14:paraId="5BEAC735"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134 µL</w:t>
            </w:r>
          </w:p>
        </w:tc>
        <w:tc>
          <w:tcPr>
            <w:tcW w:w="803" w:type="dxa"/>
            <w:noWrap/>
            <w:vAlign w:val="center"/>
          </w:tcPr>
          <w:p w14:paraId="58E92707"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tcPr>
          <w:p w14:paraId="038B0B2B"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08381903"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sz w:val="20"/>
                <w:szCs w:val="20"/>
                <w:lang w:val="en"/>
              </w:rPr>
              <w:t>No</w:t>
            </w:r>
          </w:p>
        </w:tc>
        <w:tc>
          <w:tcPr>
            <w:tcW w:w="1980" w:type="dxa"/>
            <w:noWrap/>
            <w:vAlign w:val="center"/>
          </w:tcPr>
          <w:p w14:paraId="6B2437E4"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{"citationItems":[{"id":"ITEM-1","itemData":{"DOI":"10.1007/s13592-013-0197-6","ISSN":"1297-9678","abstract":"Stingless bees are a diverse group of highly eusocial tropical bees and potential pollinators of natural and crop environments. Nevertheless, large-scale breeding for agricultural purposes still needs development. A bottleneck is the small number of queens generally found in the colonies of most species. A proposed solution is to develop in vitro rearing of stingless bee queens, which includes a technical support due to the massive liquid feeding of larvae. In this study, we tested the efficacy of in vitro queen-rearing techniques in terms of queen size, survival, and fecundity. We found that humidity must be kept high during the first 6 days of larval development and reduced thereafter to 75 %. In the most effective treatments, we obtained up to 97.9 % queen survival. We also found that queens not different in size from natural queens could be produced if sufficient larval food is provided. In vitro queens were able to mate and lay viable eggs. This methodology is also useful for several research appliances, like pesticide effect on bees, pollen quality effect in caste determination, and the use of genetic sources for selection programs, among others.","author":[{"dropping-particle":"","family":"Menezes","given":"Cristiano","non-dropping-particle":"","parse-names":false,"suffix":""},{"dropping-particle":"","family":"Vollet-Neto","given":"Ayrton","non-dropping-particle":"","parse-names":false,"suffix":""},{"dropping-particle":"","family":"Fonseca","given":"Vera Lucia Imperatriz","non-dropping-particle":"","parse-names":false,"suffix":""}],"container-title":"Apidologie","id":"ITEM-1","issue":"5","issued":{"date-parts":[["2013"]]},"page":"491-500","title":"An advance in the in vitro rearing of stingless bee queens","type":"article-journal","volume":"44"},"uris":["http://www.mendeley.com/documents/?uuid=164959e2-8419-4552-be4f-45c787a0492c"]}],"mendeley":{"formattedCitation":"(Menezes et al., 2013a)","plainTextFormattedCitation":"(Menezes et al., 2013a)","previouslyFormattedCitation":"(Menezes et al., 2013a)"},"properties":{"noteIndex":0},"schema":"https://github.com/citation-style-language/schema/raw/master/csl-citation.json"}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(Menezes et al. 2013)</w:t>
            </w:r>
            <w:r w:rsidRPr="009A5C0F">
              <w:rPr>
                <w:b/>
                <w:sz w:val="20"/>
                <w:szCs w:val="20"/>
                <w:lang w:val="en"/>
              </w:rPr>
              <w:fldChar w:fldCharType="end"/>
            </w:r>
          </w:p>
        </w:tc>
      </w:tr>
      <w:tr w:rsidR="00416BE2" w:rsidRPr="0029589F" w14:paraId="7BC6E378"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Merge w:val="restart"/>
            <w:vAlign w:val="center"/>
            <w:hideMark/>
          </w:tcPr>
          <w:p w14:paraId="5FF61A27" w14:textId="77777777" w:rsidR="00416BE2" w:rsidRPr="009A5C0F" w:rsidRDefault="00416BE2" w:rsidP="009C3BC8">
            <w:pPr>
              <w:spacing w:after="240" w:line="276" w:lineRule="auto"/>
              <w:jc w:val="both"/>
              <w:rPr>
                <w:rFonts w:eastAsia="Times New Roman"/>
                <w:i/>
                <w:iCs/>
                <w:sz w:val="20"/>
                <w:szCs w:val="20"/>
                <w:lang w:val="pt-BR" w:eastAsia="en-US"/>
              </w:rPr>
            </w:pPr>
            <w:r w:rsidRPr="009A5C0F">
              <w:rPr>
                <w:rFonts w:eastAsia="Times New Roman"/>
                <w:i/>
                <w:iCs/>
                <w:sz w:val="20"/>
                <w:szCs w:val="20"/>
                <w:lang w:val="pt-BR" w:eastAsia="en-US"/>
              </w:rPr>
              <w:t xml:space="preserve">Plebeia droryana </w:t>
            </w:r>
            <w:r w:rsidRPr="009A5C0F">
              <w:rPr>
                <w:rFonts w:eastAsia="Times New Roman"/>
                <w:sz w:val="20"/>
                <w:szCs w:val="20"/>
                <w:lang w:val="pt-BR" w:eastAsia="en-US"/>
              </w:rPr>
              <w:t>(</w:t>
            </w:r>
            <w:proofErr w:type="spellStart"/>
            <w:r w:rsidRPr="009A5C0F">
              <w:rPr>
                <w:rFonts w:eastAsia="Times New Roman"/>
                <w:sz w:val="20"/>
                <w:szCs w:val="20"/>
                <w:lang w:val="pt-BR" w:eastAsia="en-US"/>
              </w:rPr>
              <w:t>Friese</w:t>
            </w:r>
            <w:proofErr w:type="spellEnd"/>
            <w:r w:rsidRPr="009A5C0F">
              <w:rPr>
                <w:rFonts w:eastAsia="Times New Roman"/>
                <w:sz w:val="20"/>
                <w:szCs w:val="20"/>
                <w:lang w:val="pt-BR" w:eastAsia="en-US"/>
              </w:rPr>
              <w:t>, 1900)</w:t>
            </w:r>
          </w:p>
        </w:tc>
        <w:tc>
          <w:tcPr>
            <w:tcW w:w="1530" w:type="dxa"/>
            <w:noWrap/>
            <w:vAlign w:val="center"/>
            <w:hideMark/>
          </w:tcPr>
          <w:p w14:paraId="7F56335D"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8.39 ± 0.65 µL</w:t>
            </w:r>
          </w:p>
        </w:tc>
        <w:tc>
          <w:tcPr>
            <w:tcW w:w="803" w:type="dxa"/>
            <w:noWrap/>
            <w:vAlign w:val="center"/>
            <w:hideMark/>
          </w:tcPr>
          <w:p w14:paraId="28FD77E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hideMark/>
          </w:tcPr>
          <w:p w14:paraId="1EED181B"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25°C</w:t>
            </w:r>
          </w:p>
        </w:tc>
        <w:tc>
          <w:tcPr>
            <w:tcW w:w="1523" w:type="dxa"/>
            <w:vAlign w:val="center"/>
          </w:tcPr>
          <w:p w14:paraId="08C29915"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vMerge w:val="restart"/>
            <w:noWrap/>
            <w:vAlign w:val="center"/>
            <w:hideMark/>
          </w:tcPr>
          <w:p w14:paraId="2C7762DE"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s-419" w:eastAsia="en-US"/>
              </w:rPr>
            </w:pPr>
            <w:r w:rsidRPr="009A5C0F">
              <w:rPr>
                <w:b/>
                <w:sz w:val="20"/>
                <w:szCs w:val="20"/>
                <w:lang w:val="en"/>
              </w:rPr>
              <w:fldChar w:fldCharType="begin" w:fldLock="1"/>
            </w:r>
            <w:r w:rsidRPr="009A5C0F">
              <w:rPr>
                <w:b/>
                <w:sz w:val="20"/>
                <w:szCs w:val="20"/>
                <w:lang w:val="en"/>
              </w:rPr>
              <w:instrText>ADDIN CSL_CITATION {"citationItems":[{"id":"ITEM-1","itemData":{"DOI":"10.1016/J.ECOENV.2018.09.048","ISSN":"0147-6513","PMID":"30245292","abstract":"Virgin queens (gynes) exhibit a range of behaviors in order to be accepted as the leader of colony. However, environmental neurotoxic insecticides as neonicotinoids may affect the social performance of the bees. Here, we evaluated the sublethal effects of neonicotinoid imidacloprid on the larval food of queens from Plebeia droryana, a species of neotropical stingless bee. Several behaviors were analyzed as multivariate response variables in a Hotelling test, as well as generalized additive mixed models. Our findings demonstrate that treated queens perform less wing vibration and trophallaxis with their workers. Furthermore, the treated gynes encounter more harassment (aggression) from their workers, suggesting that workers can differentiate nontreated queens from treated queens most likely by chemical signals. Our data indicate that the behavioral repertoire underlying the queen selection process by the stingless bee P. droryana may be seriously affected by residual doses of imidacloprid in larval food. As a result, such queens are rather undernourished and aggressed by workers, which most likely compromises the viability and permanence of colonies in the long term.","author":[{"dropping-particle":"","family":"Otesbelgue","given":"Alex","non-dropping-particle":"","parse-names":false,"suffix":""},{"dropping-particle":"","family":"Santos","given":"Charles Fernando","non-dropping-particle":"dos","parse-names":false,"suffix":""},{"dropping-particle":"","family":"Blochtein","given":"Betina","non-dropping-particle":"","parse-names":false,"suffix":""}],"container-title":"Ecotoxicology and Environmental Safety","id":"ITEM-1","issued":{"date-parts":[["2018","12","30"]]},"page":"42-47","publisher":"Academic Press","title":"Queen bee acceptance under threat: Neurotoxic insecticides provoke deep damage in queen-worker relationships","type":"article-journal","volume":"166"},"uris":["http://www.mendeley.com/documents/?uuid=75fdc159-8d85-3486-a92a-19f19ae15061"]},{"id":"ITEM-2","itemData":{"DOI":"10.1038/srep31605","ISSN":"2045-2322","PMID":"27530246","abstract":"Bees are important for the world biodiversity and economy because they provide key pollination services in forests and crops. However, pesticide use in crops has adversely affected (decreased) queen production because of increased mortality among larvae. Here, we demonstrated that in vitro-reared queens of a neotropical social bee species (Plebeia droryana) also showed high larval mortality after exposure to an organophosphate pesticide (chlorpyrifos) via larval food. Moreover, most of the surviving larvae that were destined to develop into queens became workers more likely because they ate less food than expected without pesticide skewing thus caste differentiation in this bee species. This adverse effect has not been previously reported for any other social insects, such as honeybees or bumblebees. Queens are essential for breeding and colony growth. Therefore, if our data are applicable to other pantropic</w:instrText>
            </w:r>
            <w:r w:rsidRPr="009A5C0F">
              <w:rPr>
                <w:b/>
                <w:sz w:val="20"/>
                <w:szCs w:val="20"/>
                <w:lang w:val="es-419"/>
              </w:rPr>
              <w:instrText>al social bee species across the globe, it is likely that these bees are at a serious risk of failure to form new colonies.","author":[{"dropping-particle":"","family":"Santos","given":"Charles F.","non-dropping-particle":"dos","parse-names":false,"suffix":""},{"dropping-particle":"","family":"Acosta","given":"André L","non-dropping-particle":"","parse-names":false,"suffix":""},{"dropping-particle":"","family":"Dorneles","given":"Andressa L","non-dropping-particle":"","parse-names":false,"suffix":""},{"dropping-particle":"","family":"Santos","given":"Patrick D. S.","non-dropping-particle":"dos","parse-names":false,"suffix":""},{"dropping-particle":"","family":"Blochtein","given":"Betina","non-dropping-particle":"","parse-names":false,"suffix":""}],"container-title":"Scientific Reports","id":"ITEM-2","issue":"1","issued":{"date-parts":[["2016","8","17"]]},"page":"31605","publisher":"Nature Publishing Group","title":"Queens become workers: pesticides alter caste differentiation in bees","type":"article-journal","volume":"6"},"uris":["http://www.mendeley.com/documents/?uuid=6dd511fe-e57d-44d0-9d7f-740dbbcb504a"]}],"mendeley":{"formattedCitation":"(dos Santos et al., 2016; Otesbelgue et al., 2018)","plainTextFormattedCitation":"(dos Santos et al., 2016; Otesbelgue et al., 2018)","previouslyFormattedCitation":"(dos Santos et al., 2016; Otesbelgue et al., 2018)"},"properties":{"noteIndex":0},"schema":"https://github.com/citation-style-language/schema/raw/master/csl-citation.json"}</w:instrText>
            </w:r>
            <w:r w:rsidRPr="009A5C0F">
              <w:rPr>
                <w:b/>
                <w:sz w:val="20"/>
                <w:szCs w:val="20"/>
                <w:lang w:val="en"/>
              </w:rPr>
              <w:fldChar w:fldCharType="separate"/>
            </w:r>
            <w:r w:rsidRPr="009A5C0F">
              <w:rPr>
                <w:noProof/>
                <w:sz w:val="20"/>
                <w:szCs w:val="20"/>
                <w:lang w:val="es-419"/>
              </w:rPr>
              <w:t>(Santos et al. 2016; Otesbelgue et al. 2018)</w:t>
            </w:r>
            <w:r w:rsidRPr="009A5C0F">
              <w:rPr>
                <w:b/>
                <w:sz w:val="20"/>
                <w:szCs w:val="20"/>
                <w:lang w:val="en"/>
              </w:rPr>
              <w:fldChar w:fldCharType="end"/>
            </w:r>
          </w:p>
          <w:p w14:paraId="7B18A6E0"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s-419" w:eastAsia="en-US"/>
              </w:rPr>
            </w:pPr>
          </w:p>
        </w:tc>
      </w:tr>
      <w:tr w:rsidR="00416BE2" w:rsidRPr="0029589F" w14:paraId="55C85DE7"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Merge/>
            <w:vAlign w:val="center"/>
            <w:hideMark/>
          </w:tcPr>
          <w:p w14:paraId="18117BCA" w14:textId="77777777" w:rsidR="00416BE2" w:rsidRPr="009A5C0F" w:rsidRDefault="00416BE2" w:rsidP="009C3BC8">
            <w:pPr>
              <w:spacing w:after="240" w:line="276" w:lineRule="auto"/>
              <w:jc w:val="both"/>
              <w:rPr>
                <w:rFonts w:eastAsia="Times New Roman"/>
                <w:i/>
                <w:sz w:val="20"/>
                <w:szCs w:val="20"/>
                <w:lang w:val="es-419" w:eastAsia="en-US"/>
              </w:rPr>
            </w:pPr>
          </w:p>
        </w:tc>
        <w:tc>
          <w:tcPr>
            <w:tcW w:w="1530" w:type="dxa"/>
            <w:noWrap/>
            <w:vAlign w:val="center"/>
            <w:hideMark/>
          </w:tcPr>
          <w:p w14:paraId="71C6BE56"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66 µL</w:t>
            </w:r>
          </w:p>
        </w:tc>
        <w:tc>
          <w:tcPr>
            <w:tcW w:w="803" w:type="dxa"/>
            <w:noWrap/>
            <w:vAlign w:val="center"/>
            <w:hideMark/>
          </w:tcPr>
          <w:p w14:paraId="7080CDCB"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 xml:space="preserve">  ♀*</w:t>
            </w:r>
          </w:p>
        </w:tc>
        <w:tc>
          <w:tcPr>
            <w:tcW w:w="1106" w:type="dxa"/>
            <w:noWrap/>
            <w:vAlign w:val="center"/>
            <w:hideMark/>
          </w:tcPr>
          <w:p w14:paraId="1863DBF6"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25°C</w:t>
            </w:r>
          </w:p>
        </w:tc>
        <w:tc>
          <w:tcPr>
            <w:tcW w:w="1523" w:type="dxa"/>
            <w:vAlign w:val="center"/>
          </w:tcPr>
          <w:p w14:paraId="49FA1F8B"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sz w:val="20"/>
                <w:szCs w:val="20"/>
                <w:lang w:val="es-419"/>
              </w:rPr>
              <w:t>Yes</w:t>
            </w:r>
          </w:p>
        </w:tc>
        <w:tc>
          <w:tcPr>
            <w:tcW w:w="1980" w:type="dxa"/>
            <w:vMerge/>
            <w:noWrap/>
            <w:vAlign w:val="center"/>
            <w:hideMark/>
          </w:tcPr>
          <w:p w14:paraId="1B98F3A9"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es-419" w:eastAsia="en-US"/>
              </w:rPr>
            </w:pPr>
          </w:p>
        </w:tc>
      </w:tr>
      <w:tr w:rsidR="00416BE2" w:rsidRPr="0029589F" w14:paraId="0D851DA5"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Merge w:val="restart"/>
            <w:vAlign w:val="center"/>
            <w:hideMark/>
          </w:tcPr>
          <w:p w14:paraId="02C75A03" w14:textId="77777777" w:rsidR="00416BE2" w:rsidRPr="009A5C0F" w:rsidRDefault="00416BE2" w:rsidP="009C3BC8">
            <w:pPr>
              <w:spacing w:after="240" w:line="276" w:lineRule="auto"/>
              <w:jc w:val="both"/>
              <w:rPr>
                <w:rFonts w:eastAsia="Times New Roman"/>
                <w:i/>
                <w:sz w:val="20"/>
                <w:szCs w:val="20"/>
                <w:lang w:val="es-419" w:eastAsia="en-US"/>
              </w:rPr>
            </w:pPr>
            <w:r w:rsidRPr="009A5C0F">
              <w:rPr>
                <w:rFonts w:eastAsia="Times New Roman"/>
                <w:i/>
                <w:sz w:val="20"/>
                <w:szCs w:val="20"/>
                <w:lang w:val="es-419" w:eastAsia="en-US"/>
              </w:rPr>
              <w:t xml:space="preserve">Partamona </w:t>
            </w:r>
            <w:proofErr w:type="spellStart"/>
            <w:r w:rsidRPr="009A5C0F">
              <w:rPr>
                <w:rFonts w:eastAsia="Times New Roman"/>
                <w:i/>
                <w:sz w:val="20"/>
                <w:szCs w:val="20"/>
                <w:lang w:val="es-419" w:eastAsia="en-US"/>
              </w:rPr>
              <w:t>helleri</w:t>
            </w:r>
            <w:proofErr w:type="spellEnd"/>
          </w:p>
        </w:tc>
        <w:tc>
          <w:tcPr>
            <w:tcW w:w="1530" w:type="dxa"/>
            <w:noWrap/>
            <w:vAlign w:val="center"/>
            <w:hideMark/>
          </w:tcPr>
          <w:p w14:paraId="34D4D891"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40 µL</w:t>
            </w:r>
          </w:p>
        </w:tc>
        <w:tc>
          <w:tcPr>
            <w:tcW w:w="803" w:type="dxa"/>
            <w:noWrap/>
            <w:vAlign w:val="center"/>
            <w:hideMark/>
          </w:tcPr>
          <w:p w14:paraId="64850459"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 xml:space="preserve">  ♀</w:t>
            </w:r>
          </w:p>
        </w:tc>
        <w:tc>
          <w:tcPr>
            <w:tcW w:w="1106" w:type="dxa"/>
            <w:noWrap/>
            <w:vAlign w:val="center"/>
            <w:hideMark/>
          </w:tcPr>
          <w:p w14:paraId="5E04BAB9"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28°C</w:t>
            </w:r>
          </w:p>
        </w:tc>
        <w:tc>
          <w:tcPr>
            <w:tcW w:w="1523" w:type="dxa"/>
            <w:vAlign w:val="center"/>
          </w:tcPr>
          <w:p w14:paraId="767C36BA"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n-US"/>
              </w:rPr>
            </w:pPr>
            <w:r w:rsidRPr="009A5C0F">
              <w:rPr>
                <w:sz w:val="20"/>
                <w:szCs w:val="20"/>
                <w:lang w:val="es-419"/>
              </w:rPr>
              <w:t>Yes</w:t>
            </w:r>
          </w:p>
        </w:tc>
        <w:tc>
          <w:tcPr>
            <w:tcW w:w="1980" w:type="dxa"/>
            <w:noWrap/>
            <w:vAlign w:val="center"/>
            <w:hideMark/>
          </w:tcPr>
          <w:p w14:paraId="164C708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es-419" w:eastAsia="en-US"/>
              </w:rPr>
            </w:pPr>
            <w:r w:rsidRPr="009A5C0F">
              <w:rPr>
                <w:rFonts w:eastAsia="Times New Roman"/>
                <w:bCs/>
                <w:sz w:val="20"/>
                <w:szCs w:val="20"/>
                <w:lang w:val="es-419" w:eastAsia="en-US"/>
              </w:rPr>
              <w:t>(Araújo et al. 2019)</w:t>
            </w:r>
          </w:p>
        </w:tc>
      </w:tr>
      <w:tr w:rsidR="00416BE2" w:rsidRPr="009A5C0F" w14:paraId="70052551"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Merge/>
            <w:vAlign w:val="center"/>
            <w:hideMark/>
          </w:tcPr>
          <w:p w14:paraId="46CF046E" w14:textId="77777777" w:rsidR="00416BE2" w:rsidRPr="009A5C0F" w:rsidRDefault="00416BE2" w:rsidP="009C3BC8">
            <w:pPr>
              <w:spacing w:after="240" w:line="276" w:lineRule="auto"/>
              <w:jc w:val="both"/>
              <w:rPr>
                <w:rFonts w:eastAsia="Times New Roman"/>
                <w:i/>
                <w:sz w:val="20"/>
                <w:szCs w:val="20"/>
                <w:lang w:val="es-419" w:eastAsia="en-US"/>
              </w:rPr>
            </w:pPr>
          </w:p>
        </w:tc>
        <w:tc>
          <w:tcPr>
            <w:tcW w:w="1530" w:type="dxa"/>
            <w:noWrap/>
            <w:vAlign w:val="center"/>
            <w:hideMark/>
          </w:tcPr>
          <w:p w14:paraId="0EE9C05D"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80 µL</w:t>
            </w:r>
          </w:p>
        </w:tc>
        <w:tc>
          <w:tcPr>
            <w:tcW w:w="803" w:type="dxa"/>
            <w:noWrap/>
            <w:vAlign w:val="center"/>
            <w:hideMark/>
          </w:tcPr>
          <w:p w14:paraId="38855F71"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 xml:space="preserve">  ♀*</w:t>
            </w:r>
          </w:p>
        </w:tc>
        <w:tc>
          <w:tcPr>
            <w:tcW w:w="1106" w:type="dxa"/>
            <w:noWrap/>
            <w:vAlign w:val="center"/>
            <w:hideMark/>
          </w:tcPr>
          <w:p w14:paraId="6FAB399B"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rFonts w:eastAsia="Times New Roman"/>
                <w:sz w:val="20"/>
                <w:szCs w:val="20"/>
                <w:lang w:val="es-419" w:eastAsia="en-US"/>
              </w:rPr>
              <w:t>28°C</w:t>
            </w:r>
          </w:p>
        </w:tc>
        <w:tc>
          <w:tcPr>
            <w:tcW w:w="1523" w:type="dxa"/>
            <w:vAlign w:val="center"/>
          </w:tcPr>
          <w:p w14:paraId="16CDDB0F"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419" w:eastAsia="en-US"/>
              </w:rPr>
            </w:pPr>
            <w:r w:rsidRPr="009A5C0F">
              <w:rPr>
                <w:sz w:val="20"/>
                <w:szCs w:val="20"/>
                <w:lang w:val="es-419"/>
              </w:rPr>
              <w:t>Yes</w:t>
            </w:r>
          </w:p>
        </w:tc>
        <w:tc>
          <w:tcPr>
            <w:tcW w:w="1980" w:type="dxa"/>
            <w:noWrap/>
            <w:vAlign w:val="center"/>
            <w:hideMark/>
          </w:tcPr>
          <w:p w14:paraId="725989B7"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s-419"/>
              </w:rPr>
              <w:instrText>ADDIN CSL_CITATION {"citationItems":[{"id":"ITEM-1","itemData":{"DOI":"10.1016/j.chemosphere.2018.03.030","ISSN":"00456535","abstract":"Large-scale pesticide application poses a major threat to bee biodiversity by causing a decline in bee populations that, in turn, compromises ecosystem maintenance and agricultural productivity. Biopesticides are considered an alternative to synthetic pesticides with a focus on reducing potential detrimental effects to beneficial organisms such as bees. The production of healthy queen stingless bees is essential for the survival and reproduction of hives, although it remains unknown whether biopesticides influence stingless bee reproduction. In the present study, we investigated the effects of the biopesticide azadirachtin on the survival, behavior, morphology, development, and reproduction of queens of the stingless bee Partamona helleri (Friese, 1900). The neonicotinoid imidacloprid was used as a toxic reference standard. Queens were orally exposed in vitro to a contaminated diet (containing azadirachtin and imidacloprid) during development. Azadirachtin resulted in reduced survival, similarly to imidacloprid, altered development time, caused deformations, and reduced the size of the queens’ reproductive organs. All of these factors could potentially compromise colony survival. Results from the present study sh</w:instrText>
            </w:r>
            <w:r w:rsidRPr="009A5C0F">
              <w:rPr>
                <w:b/>
                <w:sz w:val="20"/>
                <w:szCs w:val="20"/>
                <w:lang w:val="en"/>
              </w:rPr>
              <w:instrText>owed azadirachtin posed a toxicological hazard to P. helleri queens.","author":[{"dropping-particle":"","family":"Bernardes","given":"Rodrigo Cupertino","non-dropping-particle":"","parse-names":false,"suffix":""},{"dropping-particle":"","family":"Barbosa","given":"Wagner Faria","non-dropping-particle":"","parse-names":false,"suffix":""},{"dropping-particle":"","family":"Martins","given":"Gustavo Ferreira","non-dropping-particle":"","parse-names":false,"suffix":""},{"dropping-particle":"","family":"Lima","given":"Maria Augusta Pereira","non-dropping-particle":"","parse-names":false,"suffix":""}],"container-title":"Chemosphere","id":"ITEM-1","issued":{"date-parts":[["2018"]]},"page":"550-556","title":"The reduced-risk insecticide azadirachtin poses a toxicological hazard to stingless bee &lt;i&gt;Partamona helleri&lt;/i&gt; (Friese, 1900) queens","type":"article-journal","volume":"201"},"uris":["http://www.mendeley.com/documents/?uuid=67aa4958-1379-4bbe-916c-16a72456f2f1"]}],"mendeley":{"formattedCitation":"(Bernardes et al., 2018)","plainTextFormattedCitation":"(Bernardes et al., 2018)","previouslyFormattedCitation":"(Bernardes et al., 2018)"},"properties":{"noteIndex":0},"schema":"https://github.com/citation-style-language/schema/raw/master/csl-citation.json"}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w:t>
            </w:r>
            <w:bookmarkStart w:id="2" w:name="_Hlk129768726"/>
            <w:r w:rsidRPr="009A5C0F">
              <w:rPr>
                <w:noProof/>
                <w:sz w:val="20"/>
                <w:szCs w:val="20"/>
                <w:lang w:val="en"/>
              </w:rPr>
              <w:t>Bernardes</w:t>
            </w:r>
            <w:bookmarkEnd w:id="2"/>
            <w:r w:rsidRPr="009A5C0F">
              <w:rPr>
                <w:noProof/>
                <w:sz w:val="20"/>
                <w:szCs w:val="20"/>
                <w:lang w:val="en"/>
              </w:rPr>
              <w:t xml:space="preserve"> et al. 2018)</w:t>
            </w:r>
            <w:r w:rsidRPr="009A5C0F">
              <w:rPr>
                <w:b/>
                <w:sz w:val="20"/>
                <w:szCs w:val="20"/>
                <w:lang w:val="en"/>
              </w:rPr>
              <w:fldChar w:fldCharType="end"/>
            </w:r>
          </w:p>
        </w:tc>
      </w:tr>
      <w:tr w:rsidR="00416BE2" w:rsidRPr="009A5C0F" w14:paraId="4EEDFA8E"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hideMark/>
          </w:tcPr>
          <w:p w14:paraId="10758DBD" w14:textId="77777777" w:rsidR="00416BE2" w:rsidRPr="009A5C0F" w:rsidRDefault="00416BE2" w:rsidP="009C3BC8">
            <w:pPr>
              <w:spacing w:after="240" w:line="276" w:lineRule="auto"/>
              <w:jc w:val="both"/>
              <w:rPr>
                <w:rFonts w:eastAsia="Times New Roman"/>
                <w:i/>
                <w:sz w:val="20"/>
                <w:szCs w:val="20"/>
                <w:lang w:val="pt-BR" w:eastAsia="en-US"/>
              </w:rPr>
            </w:pPr>
            <w:r w:rsidRPr="009A5C0F">
              <w:rPr>
                <w:rFonts w:eastAsia="Times New Roman"/>
                <w:i/>
                <w:sz w:val="20"/>
                <w:szCs w:val="20"/>
                <w:lang w:val="pt-BR" w:eastAsia="en-US"/>
              </w:rPr>
              <w:lastRenderedPageBreak/>
              <w:t>Melipona scutellaris</w:t>
            </w:r>
          </w:p>
        </w:tc>
        <w:tc>
          <w:tcPr>
            <w:tcW w:w="1530" w:type="dxa"/>
            <w:noWrap/>
            <w:vAlign w:val="center"/>
            <w:hideMark/>
          </w:tcPr>
          <w:p w14:paraId="08CB4223"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130 µL</w:t>
            </w:r>
          </w:p>
        </w:tc>
        <w:tc>
          <w:tcPr>
            <w:tcW w:w="803" w:type="dxa"/>
            <w:noWrap/>
            <w:vAlign w:val="center"/>
            <w:hideMark/>
          </w:tcPr>
          <w:p w14:paraId="78B4EE36"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hideMark/>
          </w:tcPr>
          <w:p w14:paraId="502381FB"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30°C</w:t>
            </w:r>
          </w:p>
        </w:tc>
        <w:tc>
          <w:tcPr>
            <w:tcW w:w="1523" w:type="dxa"/>
            <w:vAlign w:val="center"/>
          </w:tcPr>
          <w:p w14:paraId="7D3E5777"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noWrap/>
            <w:vAlign w:val="center"/>
            <w:hideMark/>
          </w:tcPr>
          <w:p w14:paraId="5BAE75E7"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{"citationItems":[{"id":"ITEM-1","itemData":{"DOI":"10.1371/journal.pone.0213109","ISSN":"1932-6203","abstract":"Brazil has the highest biodiversity of native stingless bees in the world. However, Brazilian regulations are based on protocols standardized by the Organization for Economic Cooperation and Development (OECD), which uses Apis mellifera as a model organism. The safety of the use of an exotic species as a substitute for a native species is a problem that concerns members of the academy and the government agencies responsible for studies of this nature in the neotropical regions where there are occurrences of stingless bee species. Regarding the exposure of larvae to pesticides, several indicators suggest that the same rearing method for A. mellifera cannot be applied to stingless bees, mainly because of their different feeding systems. Thus, it is necessary to establish an in vitro rearing method for native social bees. We developed a larval rearing method for the stingless bee species Melipona scutellaris and evaluated parameters such as the defecation rate, pupation, emergence, mortality and morphometry of the newly emerged workers. The control was represented by the morphometry of individuals that emerged from natural combs (in vivo). In addition, we determined the average lethal concentration (LC50) of the insecticide dimethoate, the standard active ingredient used for the validation of toxicity tests. Procedures conducted prior to the in vitro bioassays allowed us to obtain the actual dimensions of the rearing cells for making acrylic plates for use in establishing how much each larva consumes during its development, that is, determining how much larval food should be placed in every artificial cell. Tests performed with M. scutellaris indicated an average of 80.2% emergence of individuals relative to the larvae, 92.61% relative to the pupae and a mean of 7.42% larval mortality. The mean of the intertegular distance, head width and wing asymmetry parameters were not significantly different between individuals from the in vitro and in vivo rearing methods. The LC50 value determined was 27.48 ng dimethoate / μL diet. The method described for M. scutellaris showed development rates above OECD standards, which requires at least 75% emergence, and produced newly emerged workers with similar dimensions to those produced under natural conditions; thus these results enable their use as a rearing protocol for this species (or genus) and, consequently, their use in toxicity tests. The results produced with M. scutellaris are the first steps for a proposed tox…","author":[{"dropping-particle":"","family":"Dorigo","given":"Adna Suelen","non-dropping-particle":"","parse-names":false,"suffix":""},{"dropping-particle":"","family":"Souza Rosa-Fontana","given":"Annelise","non-dropping-particle":"de","parse-names":false,"suffix":""},{"dropping-particle":"","family":"Soares-Lima","given":"Hellen Maria","non-dropping-particle":"","parse-names":false,"suffix":""},{"dropping-particle":"","family":"Galaschi-Teixeira","given":"Juliana Stephanie","non-dropping-particle":"","parse-names":false,"suffix":""},{"dropping-particle":"","family":"Nocelli","given":"Roberta Cornélio Ferreira","non-dropping-particle":"","parse-names":false,"suffix":""},{"dropping-particle":"","family":"Malaspina","given":"Osmar","non-dropping-particle":"","parse-names":false,"suffix":""}],"container-title":"PloS one","id":"ITEM-1","issue":"3","issued":{"date-parts":[["2019"]]},"page":"e0213109-e0213109","publisher":"Public Library of Science","title":"&lt;i&gt;In vitro&lt;/i&gt; larval rearing protocol for the stingless bee species &lt;i&gt;Melipona scutellaris&lt;/i&gt; for toxicological studies","type":"article-journal","volume":"14"},"uris":["http://www.mendeley.com/documents/?uuid=4753b174-c3b7-46b2-88ae-a4ad659824fc"]}],"mendeley":{"formattedCitation":"(Dorigo et al., 2019)","plainTextFormattedCitation":"(Dorigo et al., 2019)","previouslyFormattedCitation":"(Dorigo et al., 2019)"},"properties":{"noteIndex":0},"schema":"https://github.com/citation-style-language/schema/raw/master/csl-citation.json"}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(Dorigo et al. 2019)</w:t>
            </w:r>
            <w:r w:rsidRPr="009A5C0F">
              <w:rPr>
                <w:b/>
                <w:sz w:val="20"/>
                <w:szCs w:val="20"/>
                <w:lang w:val="en"/>
              </w:rPr>
              <w:fldChar w:fldCharType="end"/>
            </w:r>
          </w:p>
        </w:tc>
      </w:tr>
      <w:tr w:rsidR="00416BE2" w:rsidRPr="009A5C0F" w14:paraId="3FB1A97A"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hideMark/>
          </w:tcPr>
          <w:p w14:paraId="1AB1F90C" w14:textId="77777777" w:rsidR="00416BE2" w:rsidRPr="009A5C0F" w:rsidRDefault="00416BE2" w:rsidP="009C3BC8">
            <w:pPr>
              <w:spacing w:after="240" w:line="276" w:lineRule="auto"/>
              <w:jc w:val="both"/>
              <w:rPr>
                <w:rFonts w:eastAsia="Times New Roman"/>
                <w:i/>
                <w:sz w:val="20"/>
                <w:szCs w:val="20"/>
                <w:lang w:val="pt-BR" w:eastAsia="en-US"/>
              </w:rPr>
            </w:pPr>
            <w:r w:rsidRPr="009A5C0F">
              <w:rPr>
                <w:rFonts w:eastAsia="Times New Roman"/>
                <w:i/>
                <w:sz w:val="20"/>
                <w:szCs w:val="20"/>
                <w:lang w:val="pt-BR" w:eastAsia="en-US"/>
              </w:rPr>
              <w:t xml:space="preserve">Scaptotrigona </w:t>
            </w:r>
            <w:proofErr w:type="spellStart"/>
            <w:r w:rsidRPr="009A5C0F">
              <w:rPr>
                <w:rFonts w:eastAsia="Times New Roman"/>
                <w:i/>
                <w:sz w:val="20"/>
                <w:szCs w:val="20"/>
                <w:lang w:val="pt-BR" w:eastAsia="en-US"/>
              </w:rPr>
              <w:t>postica</w:t>
            </w:r>
            <w:proofErr w:type="spellEnd"/>
            <w:r w:rsidRPr="009A5C0F">
              <w:rPr>
                <w:rFonts w:eastAsia="Times New Roman"/>
                <w:i/>
                <w:sz w:val="20"/>
                <w:szCs w:val="20"/>
                <w:lang w:val="pt-BR" w:eastAsia="en-US"/>
              </w:rPr>
              <w:t xml:space="preserve"> </w:t>
            </w:r>
            <w:r w:rsidRPr="009A5C0F">
              <w:rPr>
                <w:rFonts w:eastAsia="Times New Roman"/>
                <w:iCs/>
                <w:sz w:val="20"/>
                <w:szCs w:val="20"/>
                <w:lang w:val="pt-BR" w:eastAsia="en-US"/>
              </w:rPr>
              <w:t>(</w:t>
            </w:r>
            <w:proofErr w:type="spellStart"/>
            <w:r w:rsidRPr="009A5C0F">
              <w:rPr>
                <w:rFonts w:eastAsia="Times New Roman"/>
                <w:iCs/>
                <w:sz w:val="20"/>
                <w:szCs w:val="20"/>
                <w:lang w:val="pt-BR" w:eastAsia="en-US"/>
              </w:rPr>
              <w:t>Latreille</w:t>
            </w:r>
            <w:proofErr w:type="spellEnd"/>
            <w:r w:rsidRPr="009A5C0F">
              <w:rPr>
                <w:rFonts w:eastAsia="Times New Roman"/>
                <w:iCs/>
                <w:sz w:val="20"/>
                <w:szCs w:val="20"/>
                <w:lang w:val="pt-BR" w:eastAsia="en-US"/>
              </w:rPr>
              <w:t>, 1807)</w:t>
            </w:r>
          </w:p>
        </w:tc>
        <w:tc>
          <w:tcPr>
            <w:tcW w:w="1530" w:type="dxa"/>
            <w:noWrap/>
            <w:vAlign w:val="center"/>
            <w:hideMark/>
          </w:tcPr>
          <w:p w14:paraId="38AC0492"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25 µL</w:t>
            </w:r>
          </w:p>
        </w:tc>
        <w:tc>
          <w:tcPr>
            <w:tcW w:w="803" w:type="dxa"/>
            <w:noWrap/>
            <w:vAlign w:val="center"/>
            <w:hideMark/>
          </w:tcPr>
          <w:p w14:paraId="3A382C42"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hideMark/>
          </w:tcPr>
          <w:p w14:paraId="1806A3F0"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51CBFE5C"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noWrap/>
            <w:vAlign w:val="center"/>
            <w:hideMark/>
          </w:tcPr>
          <w:p w14:paraId="19E9F6E7"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{"citationItems":[{"id":"ITEM-1","itemData":{"DOI":"10.1016/J.ENVPOL.2020.114849","ISSN":"0269-7491","PMID":"32504976","abstract":"Currently, Brazil has a full framework for pesticide risk assessment established for Apis mellifera, based on the North American approach. However, the use of Apis mellifera as model-organism as a surrogate for Brazilian native species of stingless bees has been questioned. Assessments on other stages of development than adult individual are essential. Our study aimed to standardize in vitro larval rearing method for the stingless bee species Scaptotrigona postica and Tetragonisca angustula, comparing the results to those obtained for M. scutellaris (previously described), for proposing the most suitable one for using in toxicological larval tests. We used the most efficient method for determining the toxicity of dimethoate on S. postica larvae. We presented the first comparative approach of responses to in vitro larval rearing methods among native bee species from Neotropical region, for use in risk assessment. Our results showed that S. postica was the most suitable native species to be proposed as model-organism. In addition, our results are also very useful for a ring test to validate the method, in accordance to OECD.","author":[{"dropping-particle":"","family":"Rosa-Fontana","given":"Annelise","non-dropping-particle":"","parse-names":false,"suffix":""},{"dropping-particle":"","family":"Dorigo","given":"Adna Suelen","non-dropping-particle":"","parse-names":false,"suffix":""},{"dropping-particle":"","family":"Galaschi-Teixeira","given":"Juliana Stephanie","non-dropping-particle":"","parse-names":false,"suffix":""},{"dropping-particle":"","family":"Nocelli","given":"Roberta C.F.","non-dropping-particle":"","parse-names":false,"suffix":""},{"dropping-particle":"","family":"Malaspina","given":"Osmar","non-dropping-particle":"","parse-names":false,"suffix":""}],"container-title":"Environmental Pollution","id":"ITEM-1","issued":{"date-parts":[["2020","10","1"]]},"page":"114849","publisher":"Elsevier","title":"What is the most suitable native bee species from the Neotropical region to be proposed as model-organism for toxicity tests during the larval phase?","type":"article-journal","volume":"265"},"uris":["http://www.mendeley.com/documents/?uuid=7c87e60e-33ab-348c-baa3-56c31039dde8"]}],"mendeley":{"formattedCitation":"(Rosa-Fontana et al., 2020)","plainTextFormattedCitation":"(Rosa-Fontana et al., 2020)","previouslyFormattedCitation":"(Rosa-Fontana et al., 2020)"},"properties":{"noteIndex":0},"schema":"https://github.com/citation-style-language/schema/raw/master/csl-citation.json"}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(Rosa-Fontana et al. 2020)</w:t>
            </w:r>
            <w:r w:rsidRPr="009A5C0F">
              <w:rPr>
                <w:b/>
                <w:sz w:val="20"/>
                <w:szCs w:val="20"/>
                <w:lang w:val="en"/>
              </w:rPr>
              <w:fldChar w:fldCharType="end"/>
            </w:r>
          </w:p>
        </w:tc>
      </w:tr>
      <w:tr w:rsidR="00416BE2" w:rsidRPr="009A5C0F" w14:paraId="1E4D5EC5" w14:textId="77777777" w:rsidTr="009C3BC8">
        <w:trPr>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DBF7195" w14:textId="77777777" w:rsidR="00416BE2" w:rsidRPr="009A5C0F" w:rsidRDefault="00416BE2" w:rsidP="009C3BC8">
            <w:pPr>
              <w:spacing w:after="240" w:line="276" w:lineRule="auto"/>
              <w:jc w:val="both"/>
              <w:rPr>
                <w:rFonts w:eastAsia="Times New Roman"/>
                <w:i/>
                <w:sz w:val="20"/>
                <w:szCs w:val="20"/>
                <w:lang w:val="pt-BR" w:eastAsia="en-US"/>
              </w:rPr>
            </w:pPr>
            <w:proofErr w:type="spellStart"/>
            <w:r w:rsidRPr="009A5C0F">
              <w:rPr>
                <w:rFonts w:eastAsia="Times New Roman"/>
                <w:i/>
                <w:sz w:val="20"/>
                <w:szCs w:val="20"/>
                <w:lang w:val="pt-BR" w:eastAsia="en-US"/>
              </w:rPr>
              <w:t>Tetragonisca</w:t>
            </w:r>
            <w:proofErr w:type="spellEnd"/>
            <w:r w:rsidRPr="009A5C0F">
              <w:rPr>
                <w:rFonts w:eastAsia="Times New Roman"/>
                <w:i/>
                <w:sz w:val="20"/>
                <w:szCs w:val="20"/>
                <w:lang w:val="pt-BR" w:eastAsia="en-US"/>
              </w:rPr>
              <w:t xml:space="preserve"> angustula </w:t>
            </w:r>
            <w:r w:rsidRPr="009A5C0F">
              <w:rPr>
                <w:rFonts w:eastAsia="Times New Roman"/>
                <w:iCs/>
                <w:sz w:val="20"/>
                <w:szCs w:val="20"/>
                <w:lang w:val="pt-BR" w:eastAsia="en-US"/>
              </w:rPr>
              <w:t>(</w:t>
            </w:r>
            <w:proofErr w:type="spellStart"/>
            <w:r w:rsidRPr="009A5C0F">
              <w:rPr>
                <w:rFonts w:eastAsia="Times New Roman"/>
                <w:iCs/>
                <w:sz w:val="20"/>
                <w:szCs w:val="20"/>
                <w:lang w:val="pt-BR" w:eastAsia="en-US"/>
              </w:rPr>
              <w:t>Latreille</w:t>
            </w:r>
            <w:proofErr w:type="spellEnd"/>
            <w:r w:rsidRPr="009A5C0F">
              <w:rPr>
                <w:rFonts w:eastAsia="Times New Roman"/>
                <w:iCs/>
                <w:sz w:val="20"/>
                <w:szCs w:val="20"/>
                <w:lang w:val="pt-BR" w:eastAsia="en-US"/>
              </w:rPr>
              <w:t>, 1811)</w:t>
            </w:r>
          </w:p>
        </w:tc>
        <w:tc>
          <w:tcPr>
            <w:tcW w:w="1530" w:type="dxa"/>
            <w:noWrap/>
            <w:vAlign w:val="center"/>
          </w:tcPr>
          <w:p w14:paraId="547526D0"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6 µL</w:t>
            </w:r>
          </w:p>
        </w:tc>
        <w:tc>
          <w:tcPr>
            <w:tcW w:w="803" w:type="dxa"/>
            <w:noWrap/>
            <w:vAlign w:val="center"/>
          </w:tcPr>
          <w:p w14:paraId="2D5ED08E"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 xml:space="preserve">  ♀</w:t>
            </w:r>
          </w:p>
        </w:tc>
        <w:tc>
          <w:tcPr>
            <w:tcW w:w="1106" w:type="dxa"/>
            <w:noWrap/>
            <w:vAlign w:val="center"/>
          </w:tcPr>
          <w:p w14:paraId="2973AD02"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32°C</w:t>
            </w:r>
          </w:p>
        </w:tc>
        <w:tc>
          <w:tcPr>
            <w:tcW w:w="1523" w:type="dxa"/>
            <w:vAlign w:val="center"/>
          </w:tcPr>
          <w:p w14:paraId="55C0DBE6"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pt-BR" w:eastAsia="en-US"/>
              </w:rPr>
            </w:pPr>
            <w:r w:rsidRPr="009A5C0F">
              <w:rPr>
                <w:sz w:val="20"/>
                <w:szCs w:val="20"/>
                <w:lang w:val="en"/>
              </w:rPr>
              <w:t>Yes</w:t>
            </w:r>
          </w:p>
        </w:tc>
        <w:tc>
          <w:tcPr>
            <w:tcW w:w="1980" w:type="dxa"/>
            <w:noWrap/>
            <w:vAlign w:val="center"/>
          </w:tcPr>
          <w:p w14:paraId="62C0ECE8" w14:textId="77777777" w:rsidR="00416BE2" w:rsidRPr="009A5C0F" w:rsidRDefault="00416BE2" w:rsidP="009C3BC8">
            <w:pPr>
              <w:spacing w:after="240"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{"citationItems":[{"id":"ITEM-1","itemData":{"DOI":"10.1016/J.ENVPOL.2020.114849","ISSN":"0269-7491","PMID":"32504976","abstract":"Currently, Brazil has a full framework for pesticide risk assessment established for Apis mellifera, based on the North American approach. However, the use of Apis mellifera as model-organism as a surrogate for Brazilian native species of stingless bees has been questioned. Assessments on other stages of development than adult individual are essential. Our study aimed to standardize in vitro larval rearing method for the stingless bee species Scaptotrigona postica and Tetragonisca angustula, comparing the results to those obtained for M. scutellaris (previously described), for proposing the most suitable one for using in toxicological larval tests. We used the most efficient method for determining the toxicity of dimethoate on S. postica larvae. We presented the first comparative approach of responses to in vitro larval rearing methods among native bee species from Neotropical region, for use in risk assessment. Our results showed that S. postica was the most suitable native species to be proposed as model-organism. In addition, our results are also very useful for a ring test to validate the method, in accordance to OECD.","author":[{"dropping-particle":"","family":"Rosa-Fontana","given":"Annelise","non-dropping-particle":"","parse-names":false,"suffix":""},{"dropping-particle":"","family":"Dorigo","given":"Adna Suelen","non-dropping-particle":"","parse-names":false,"suffix":""},{"dropping-particle":"","family":"Galaschi-Teixeira","given":"Juliana Stephanie","non-dropping-particle":"","parse-names":false,"suffix":""},{"dropping-particle":"","family":"Nocelli","given":"Roberta C.F.","non-dropping-particle":"","parse-names":false,"suffix":""},{"dropping-particle":"","family":"Malaspina","given":"Osmar","non-dropping-particle":"","parse-names":false,"suffix":""}],"container-title":"Environmental Pollution","id":"ITEM-1","issued":{"date-parts":[["2020","10","1"]]},"page":"114849","publisher":"Elsevier","title":"What is the most suitable native bee species from the Neotropical region to be proposed as model-organism for toxicity tests during the larval phase?","type":"article-journal","volume":"265"},"uris":["http://www.mendeley.com/documents/?uuid=7c87e60e-33ab-348c-baa3-56c31039dde8"]}],"mendeley":{"formattedCitation":"(Rosa-Fontana et al., 2020)","plainTextFormattedCitation":"(Rosa-Fontana et al., 2020)","previouslyFormattedCitation":"(Rosa-Fontana et al., 2020)"},"properties":{"noteIndex":0},"schema":"https://github.com/citation-style-language/schema/raw/master/csl-citation.json"}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(Rosa-Fontana et al. 2020)</w:t>
            </w:r>
            <w:r w:rsidRPr="009A5C0F">
              <w:rPr>
                <w:b/>
                <w:sz w:val="20"/>
                <w:szCs w:val="20"/>
                <w:lang w:val="en"/>
              </w:rPr>
              <w:fldChar w:fldCharType="end"/>
            </w:r>
          </w:p>
        </w:tc>
      </w:tr>
      <w:tr w:rsidR="00416BE2" w:rsidRPr="009A5C0F" w14:paraId="6964042E" w14:textId="77777777" w:rsidTr="009C3B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88" w:type="dxa"/>
            <w:vAlign w:val="center"/>
            <w:hideMark/>
          </w:tcPr>
          <w:p w14:paraId="193960EB" w14:textId="77777777" w:rsidR="00416BE2" w:rsidRPr="009A5C0F" w:rsidRDefault="00416BE2" w:rsidP="009C3BC8">
            <w:pPr>
              <w:spacing w:after="240" w:line="276" w:lineRule="auto"/>
              <w:jc w:val="both"/>
              <w:rPr>
                <w:rFonts w:eastAsia="Times New Roman"/>
                <w:i/>
                <w:sz w:val="20"/>
                <w:szCs w:val="20"/>
                <w:lang w:val="pt-BR" w:eastAsia="en-US"/>
              </w:rPr>
            </w:pPr>
            <w:r w:rsidRPr="009A5C0F">
              <w:rPr>
                <w:rFonts w:eastAsia="Times New Roman"/>
                <w:i/>
                <w:sz w:val="20"/>
                <w:szCs w:val="20"/>
                <w:lang w:val="pt-BR" w:eastAsia="en-US"/>
              </w:rPr>
              <w:t xml:space="preserve">Scaptotrigona bipunctata </w:t>
            </w:r>
            <w:r w:rsidRPr="009A5C0F">
              <w:rPr>
                <w:rFonts w:eastAsia="Times New Roman"/>
                <w:iCs/>
                <w:sz w:val="20"/>
                <w:szCs w:val="20"/>
                <w:lang w:val="pt-BR" w:eastAsia="en-US"/>
              </w:rPr>
              <w:t>(</w:t>
            </w:r>
            <w:proofErr w:type="spellStart"/>
            <w:r w:rsidRPr="009A5C0F">
              <w:rPr>
                <w:rFonts w:eastAsia="Times New Roman"/>
                <w:iCs/>
                <w:sz w:val="20"/>
                <w:szCs w:val="20"/>
                <w:lang w:val="pt-BR" w:eastAsia="en-US"/>
              </w:rPr>
              <w:t>Lepeletier</w:t>
            </w:r>
            <w:proofErr w:type="spellEnd"/>
            <w:r w:rsidRPr="009A5C0F">
              <w:rPr>
                <w:rFonts w:eastAsia="Times New Roman"/>
                <w:iCs/>
                <w:sz w:val="20"/>
                <w:szCs w:val="20"/>
                <w:lang w:val="pt-BR" w:eastAsia="en-US"/>
              </w:rPr>
              <w:t>, 1836)</w:t>
            </w:r>
          </w:p>
        </w:tc>
        <w:tc>
          <w:tcPr>
            <w:tcW w:w="1530" w:type="dxa"/>
            <w:noWrap/>
            <w:vAlign w:val="center"/>
            <w:hideMark/>
          </w:tcPr>
          <w:p w14:paraId="4947D76F"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35 µL</w:t>
            </w:r>
          </w:p>
        </w:tc>
        <w:tc>
          <w:tcPr>
            <w:tcW w:w="803" w:type="dxa"/>
            <w:noWrap/>
            <w:vAlign w:val="center"/>
            <w:hideMark/>
          </w:tcPr>
          <w:p w14:paraId="6420A2C6"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w:t>
            </w:r>
          </w:p>
        </w:tc>
        <w:tc>
          <w:tcPr>
            <w:tcW w:w="1106" w:type="dxa"/>
            <w:noWrap/>
            <w:vAlign w:val="center"/>
            <w:hideMark/>
          </w:tcPr>
          <w:p w14:paraId="531183E2"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rFonts w:eastAsia="Times New Roman"/>
                <w:sz w:val="20"/>
                <w:szCs w:val="20"/>
                <w:lang w:val="pt-BR" w:eastAsia="en-US"/>
              </w:rPr>
              <w:t>28°C</w:t>
            </w:r>
          </w:p>
        </w:tc>
        <w:tc>
          <w:tcPr>
            <w:tcW w:w="1523" w:type="dxa"/>
            <w:vAlign w:val="center"/>
          </w:tcPr>
          <w:p w14:paraId="61FD5BE7"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sz w:val="20"/>
                <w:szCs w:val="20"/>
                <w:lang w:val="pt-BR" w:eastAsia="en-US"/>
              </w:rPr>
            </w:pPr>
            <w:r w:rsidRPr="009A5C0F">
              <w:rPr>
                <w:sz w:val="20"/>
                <w:szCs w:val="20"/>
                <w:lang w:val="en"/>
              </w:rPr>
              <w:t>Yes</w:t>
            </w:r>
          </w:p>
        </w:tc>
        <w:tc>
          <w:tcPr>
            <w:tcW w:w="1980" w:type="dxa"/>
            <w:noWrap/>
            <w:vAlign w:val="center"/>
            <w:hideMark/>
          </w:tcPr>
          <w:p w14:paraId="4FBB8ED9" w14:textId="77777777" w:rsidR="00416BE2" w:rsidRPr="009A5C0F" w:rsidRDefault="00416BE2" w:rsidP="009C3BC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pt-BR" w:eastAsia="en-US"/>
              </w:rPr>
            </w:pPr>
            <w:r w:rsidRPr="009A5C0F">
              <w:rPr>
                <w:b/>
                <w:sz w:val="20"/>
                <w:szCs w:val="20"/>
                <w:lang w:val="en"/>
              </w:rPr>
              <w:fldChar w:fldCharType="begin" w:fldLock="1"/>
            </w:r>
            <w:r w:rsidRPr="009A5C0F">
              <w:rPr>
                <w:b/>
                <w:sz w:val="20"/>
                <w:szCs w:val="20"/>
                <w:lang w:val="en"/>
              </w:rPr>
              <w:instrText>ADDIN CSL_CITATION {"citationItems":[{"id":"ITEM-1","itemData":{"PMID":"33445151","abstract":"Organophosphorus pesticides such as chlorpyrifos are often used in agriculture due to their broad spectrum of action. However, this insecticide and acaricide is considered highly toxic to the environment and can cause toxicity in nontarget insects such as bees. In addition to adult individuals, immature can also be exposed to residues of this insecticide by larval food. Thus, we investigated the effects of chlorpyrifos concentrations on the larval development of stingless bee Scaptotrigona bipunctata workers reared in vitro. We evaluated four different biomarkers: a) survival, b) development time, c) body mass and d) morphological characteristics (head width, intertegular distance, wing area and proportion of deformed bees). The exposure of the larvae to different doses of chlorpyrifos significantly reduced survival probability but did not cause changes in the development time. Regarding morphometric analysis, bees exposed to chlorpyrifos showed a reduction in body mass and size, and 28% of the emerged adults showed a reduction in wing area and deformations. Therefore, this work shows that S. bipunctata larvae exposed to the sublethal effects of chlorpyrifos are likely to have reduced chances of survival. However, if they emerge, they will be lighter, smaller and less able than equivalent but not exposed workers. These impaired attributes have the potential to compromise the future workforce in colonies exposed to this pesticide.","author":[{"dropping-particle":"","family":"Dorneles","given":"Andressa Linhares","non-dropping-particle":"","parse-names":false,"suffix":""},{"dropping-particle":"","family":"Rosa-Fontana","given":"Annelise de Souza","non-dropping-particle":"","parse-names":false,"suffix":""},{"dropping-particle":"","family":"Santos","given":"Charles Fernando","non-dropping-particle":"dos","parse-names":false,"suffix":""},{"dropping-particle":"","family":"Blochtein","given":"Betina","non-dropping-particle":"","parse-names":false,"suffix":""}],"container-title":"Environmental Pollution","id":"ITEM-1","issued":{"date-parts":[["2021","3","1"]]},"page":"116414","publisher":"Elsevier","title":"Larvae of stingless bee &lt;i&gt;Scaptotrigona bipunctata&lt;/i&gt; exposed to organophosphorus pesticide develop into lighter, smaller and deformed adult workers","type":"article-journal","volume":"272"},"uris":["http://www.mendeley.com/documents/?uuid=ba03b3c9-382a-40e3-bf22-b5687e3223bd"]}],"mendeley":{"formattedCitation":"(Dorneles et al., 2021)","plainTextFormattedCitation":"(Dorneles et al., 2021)","previouslyFormattedCitation":"(Dorneles et al., 2021)"},"properties":{"noteIndex":0},"schema":"https://github.com/citation-style-language/schema/raw/master/csl-citation.json"}</w:instrText>
            </w:r>
            <w:r w:rsidRPr="009A5C0F">
              <w:rPr>
                <w:b/>
                <w:sz w:val="20"/>
                <w:szCs w:val="20"/>
                <w:lang w:val="en"/>
              </w:rPr>
              <w:fldChar w:fldCharType="separate"/>
            </w:r>
            <w:r w:rsidRPr="009A5C0F">
              <w:rPr>
                <w:noProof/>
                <w:sz w:val="20"/>
                <w:szCs w:val="20"/>
                <w:lang w:val="en"/>
              </w:rPr>
              <w:t>(Dorneles et al. 2021)</w:t>
            </w:r>
            <w:r w:rsidRPr="009A5C0F">
              <w:rPr>
                <w:b/>
                <w:sz w:val="20"/>
                <w:szCs w:val="20"/>
                <w:lang w:val="en"/>
              </w:rPr>
              <w:fldChar w:fldCharType="end"/>
            </w:r>
          </w:p>
        </w:tc>
      </w:tr>
    </w:tbl>
    <w:p w14:paraId="3D014163" w14:textId="77777777" w:rsidR="00416BE2" w:rsidRPr="009A5C0F" w:rsidRDefault="00416BE2" w:rsidP="00416BE2">
      <w:pPr>
        <w:spacing w:after="240" w:line="276" w:lineRule="auto"/>
        <w:jc w:val="both"/>
        <w:rPr>
          <w:sz w:val="20"/>
          <w:szCs w:val="20"/>
          <w:lang w:val="pt-BR" w:eastAsia="en-US"/>
        </w:rPr>
      </w:pPr>
      <w:r w:rsidRPr="009A5C0F">
        <w:rPr>
          <w:sz w:val="20"/>
          <w:szCs w:val="20"/>
          <w:lang w:val="en"/>
        </w:rPr>
        <w:t>♀ Workers; ♀ * Queens</w:t>
      </w:r>
    </w:p>
    <w:p w14:paraId="0958EFE1" w14:textId="77777777" w:rsidR="00445B78" w:rsidRPr="009A5C0F" w:rsidRDefault="00445B78" w:rsidP="00445B78">
      <w:pPr>
        <w:pStyle w:val="Ttulo2"/>
        <w:spacing w:after="240" w:line="276" w:lineRule="auto"/>
        <w:jc w:val="both"/>
        <w:rPr>
          <w:rFonts w:ascii="Times New Roman" w:eastAsia="Yu Gothic Light" w:hAnsi="Times New Roman" w:cs="Times New Roman"/>
          <w:b/>
          <w:bCs/>
          <w:color w:val="auto"/>
          <w:sz w:val="20"/>
          <w:szCs w:val="20"/>
          <w:lang w:eastAsia="en-US"/>
        </w:rPr>
      </w:pPr>
      <w:bookmarkStart w:id="3" w:name="_Toc110344121"/>
      <w:r w:rsidRPr="009A5C0F">
        <w:rPr>
          <w:rFonts w:ascii="Times New Roman" w:eastAsia="Yu Gothic Light" w:hAnsi="Times New Roman" w:cs="Times New Roman"/>
          <w:b/>
          <w:bCs/>
          <w:color w:val="auto"/>
          <w:sz w:val="20"/>
          <w:szCs w:val="20"/>
          <w:lang w:eastAsia="en-US"/>
        </w:rPr>
        <w:t>Refer</w:t>
      </w:r>
      <w:bookmarkEnd w:id="3"/>
      <w:r w:rsidRPr="009A5C0F">
        <w:rPr>
          <w:rFonts w:ascii="Times New Roman" w:eastAsia="Yu Gothic Light" w:hAnsi="Times New Roman" w:cs="Times New Roman"/>
          <w:b/>
          <w:bCs/>
          <w:color w:val="auto"/>
          <w:sz w:val="20"/>
          <w:szCs w:val="20"/>
          <w:lang w:eastAsia="en-US"/>
        </w:rPr>
        <w:t>ences</w:t>
      </w:r>
    </w:p>
    <w:p w14:paraId="3D986396" w14:textId="6BBAF339" w:rsidR="00445B78" w:rsidRPr="009A5C0F" w:rsidRDefault="00445B78"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Araújo R dos S, Bernardes RC, Fernandes KM, Lima MAP, Martins GF and Tavares MG (2019) </w:t>
      </w:r>
      <w:r w:rsidRPr="009A5C0F">
        <w:rPr>
          <w:noProof/>
          <w:sz w:val="20"/>
          <w:szCs w:val="20"/>
          <w:lang w:val="en"/>
        </w:rPr>
        <w:t xml:space="preserve">Spinosad-mediated effects in the post-embryonic development of </w:t>
      </w:r>
      <w:r w:rsidRPr="009A5C0F">
        <w:rPr>
          <w:i/>
          <w:iCs/>
          <w:noProof/>
          <w:sz w:val="20"/>
          <w:szCs w:val="20"/>
          <w:lang w:val="en"/>
        </w:rPr>
        <w:t>Partamona helleri</w:t>
      </w:r>
      <w:r w:rsidRPr="009A5C0F">
        <w:rPr>
          <w:noProof/>
          <w:sz w:val="20"/>
          <w:szCs w:val="20"/>
          <w:lang w:val="en"/>
        </w:rPr>
        <w:t xml:space="preserve"> (Hymenoptera: Apidae: Meliponini). </w:t>
      </w:r>
      <w:r w:rsidRPr="009A5C0F">
        <w:rPr>
          <w:sz w:val="20"/>
          <w:szCs w:val="20"/>
          <w:lang w:val="en"/>
        </w:rPr>
        <w:t xml:space="preserve"> </w:t>
      </w:r>
      <w:r w:rsidRPr="009A5C0F">
        <w:rPr>
          <w:noProof/>
          <w:sz w:val="20"/>
          <w:szCs w:val="20"/>
          <w:lang w:val="en"/>
        </w:rPr>
        <w:t>Environ Pollut</w:t>
      </w:r>
      <w:r w:rsidRPr="009A5C0F">
        <w:rPr>
          <w:sz w:val="20"/>
          <w:szCs w:val="20"/>
          <w:lang w:val="en"/>
        </w:rPr>
        <w:t xml:space="preserve"> </w:t>
      </w:r>
      <w:r w:rsidRPr="009A5C0F">
        <w:rPr>
          <w:noProof/>
          <w:sz w:val="20"/>
          <w:szCs w:val="20"/>
          <w:lang w:val="en"/>
        </w:rPr>
        <w:t>253:11–18. https://doi.org/10.1016/j.envpol.2019.06.087</w:t>
      </w:r>
    </w:p>
    <w:p w14:paraId="6C2DEF0D" w14:textId="02A6E592" w:rsidR="009E24C3" w:rsidRPr="009A5C0F" w:rsidRDefault="009E24C3"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Barbosa WF, Tomé HVV, Bernardes RC, et al (2015) Biopesticide-induced behavioral and morphological alterations in the stingless bee </w:t>
      </w:r>
      <w:r w:rsidRPr="009A5C0F">
        <w:rPr>
          <w:i/>
          <w:iCs/>
          <w:noProof/>
          <w:sz w:val="20"/>
          <w:szCs w:val="20"/>
        </w:rPr>
        <w:t>Melipona quadrifasciata</w:t>
      </w:r>
      <w:r w:rsidRPr="009A5C0F">
        <w:rPr>
          <w:noProof/>
          <w:sz w:val="20"/>
          <w:szCs w:val="20"/>
        </w:rPr>
        <w:t>. Environ Toxicol Chem 34:2149–2158. https://doi.org/10.1002/etc.3053</w:t>
      </w:r>
    </w:p>
    <w:p w14:paraId="0CFE3A8C" w14:textId="1DC219DD" w:rsidR="009E24C3" w:rsidRDefault="009E24C3"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Baptistella AR, Souza C, Weyder C, et al (2012) Techniques for the </w:t>
      </w:r>
      <w:r w:rsidRPr="009A5C0F">
        <w:rPr>
          <w:i/>
          <w:iCs/>
          <w:noProof/>
          <w:sz w:val="20"/>
          <w:szCs w:val="20"/>
        </w:rPr>
        <w:t>In Vitro</w:t>
      </w:r>
      <w:r w:rsidRPr="009A5C0F">
        <w:rPr>
          <w:noProof/>
          <w:sz w:val="20"/>
          <w:szCs w:val="20"/>
        </w:rPr>
        <w:t xml:space="preserve"> production of queens in stingless bees (Apidae, Meliponini). Sociobiology 59:297–310. </w:t>
      </w:r>
      <w:r w:rsidR="001D25C4" w:rsidRPr="007B27DA">
        <w:rPr>
          <w:noProof/>
          <w:sz w:val="20"/>
          <w:szCs w:val="20"/>
        </w:rPr>
        <w:t>https://doi.org/10.13102/sociobiology.v59i1.685</w:t>
      </w:r>
    </w:p>
    <w:p w14:paraId="0D9ED566" w14:textId="1861FC02" w:rsidR="00445B78" w:rsidRDefault="00445B78"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Bernardes RC, Barbosa WF, Martins GF, Lima MAP (2018) The reduced-risk insecticide azadirachtin poses a toxicological hazard to stingless bee </w:t>
      </w:r>
      <w:r w:rsidRPr="009A5C0F">
        <w:rPr>
          <w:i/>
          <w:iCs/>
          <w:noProof/>
          <w:sz w:val="20"/>
          <w:szCs w:val="20"/>
        </w:rPr>
        <w:t>Partamona helleri</w:t>
      </w:r>
      <w:r w:rsidRPr="009A5C0F">
        <w:rPr>
          <w:noProof/>
          <w:sz w:val="20"/>
          <w:szCs w:val="20"/>
        </w:rPr>
        <w:t xml:space="preserve"> (Friese, 1900) queens. Chemosphere 201:550–556. </w:t>
      </w:r>
      <w:r w:rsidRPr="007B27DA">
        <w:rPr>
          <w:noProof/>
          <w:sz w:val="20"/>
          <w:szCs w:val="20"/>
        </w:rPr>
        <w:t>https://doi.org/10.1016/j.chemosphere.2018.03.030</w:t>
      </w:r>
    </w:p>
    <w:p w14:paraId="15FBC651" w14:textId="5C249FEF" w:rsidR="00445B78" w:rsidRDefault="00445B78"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Dorigo AS, de Souza Rosa-Fontana A, Soares-Lima HM, et al (2019) </w:t>
      </w:r>
      <w:r w:rsidRPr="009A5C0F">
        <w:rPr>
          <w:i/>
          <w:iCs/>
          <w:noProof/>
          <w:sz w:val="20"/>
          <w:szCs w:val="20"/>
        </w:rPr>
        <w:t>In vitro</w:t>
      </w:r>
      <w:r w:rsidRPr="009A5C0F">
        <w:rPr>
          <w:noProof/>
          <w:sz w:val="20"/>
          <w:szCs w:val="20"/>
        </w:rPr>
        <w:t xml:space="preserve"> larval rearing protocol for the stingless bee species </w:t>
      </w:r>
      <w:r w:rsidRPr="009A5C0F">
        <w:rPr>
          <w:i/>
          <w:iCs/>
          <w:noProof/>
          <w:sz w:val="20"/>
          <w:szCs w:val="20"/>
        </w:rPr>
        <w:t>Melipona scutellaris</w:t>
      </w:r>
      <w:r w:rsidRPr="009A5C0F">
        <w:rPr>
          <w:noProof/>
          <w:sz w:val="20"/>
          <w:szCs w:val="20"/>
        </w:rPr>
        <w:t xml:space="preserve"> for toxicological studies. PLoS One 14:e0213109–e0213109. </w:t>
      </w:r>
      <w:r w:rsidRPr="007B27DA">
        <w:rPr>
          <w:noProof/>
          <w:sz w:val="20"/>
          <w:szCs w:val="20"/>
        </w:rPr>
        <w:t>https://doi.org/10.1371/journal.pone.0213109</w:t>
      </w:r>
    </w:p>
    <w:p w14:paraId="142CE0F5" w14:textId="77777777" w:rsidR="00445B78" w:rsidRPr="009A5C0F" w:rsidRDefault="00445B78"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Dorneles AL, Rosa-Fontana A de S, dos Santos CF, Blochtein B (2021) Larvae of stingless bee </w:t>
      </w:r>
      <w:r w:rsidRPr="009A5C0F">
        <w:rPr>
          <w:i/>
          <w:iCs/>
          <w:noProof/>
          <w:sz w:val="20"/>
          <w:szCs w:val="20"/>
        </w:rPr>
        <w:t>Scaptotrigona bipunctata</w:t>
      </w:r>
      <w:r w:rsidRPr="009A5C0F">
        <w:rPr>
          <w:noProof/>
          <w:sz w:val="20"/>
          <w:szCs w:val="20"/>
        </w:rPr>
        <w:t xml:space="preserve"> exposed to organophosphorus pesticide develop into lighter, smaller and deformed adult workers. Environ Pollut 272:116414. </w:t>
      </w:r>
      <w:r w:rsidRPr="009A5C0F">
        <w:rPr>
          <w:noProof/>
          <w:sz w:val="20"/>
          <w:szCs w:val="20"/>
          <w:lang w:val="en"/>
        </w:rPr>
        <w:t>https://doi.org/10.1016/j.envpol.2020.116414</w:t>
      </w:r>
    </w:p>
    <w:p w14:paraId="145DDF20" w14:textId="77777777" w:rsidR="001D25C4" w:rsidRPr="009A5C0F" w:rsidRDefault="001D25C4"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Gutiérrez E, Ruiz D, Solís T, et al (2016) Does larval food affect cuticular profiles and recognition in eusocial bees? a test on </w:t>
      </w:r>
      <w:r w:rsidRPr="009A5C0F">
        <w:rPr>
          <w:i/>
          <w:iCs/>
          <w:noProof/>
          <w:sz w:val="20"/>
          <w:szCs w:val="20"/>
        </w:rPr>
        <w:t>Scaptotrigona</w:t>
      </w:r>
      <w:r w:rsidRPr="009A5C0F">
        <w:rPr>
          <w:noProof/>
          <w:sz w:val="20"/>
          <w:szCs w:val="20"/>
        </w:rPr>
        <w:t xml:space="preserve"> gynes (Hymenoptera: Meliponini). Behav Ecol Sociobiol 70:871–879. https://doi.org/10.1007/s00265-016-2109-z</w:t>
      </w:r>
    </w:p>
    <w:p w14:paraId="3BE4FDB9" w14:textId="38D7D410" w:rsidR="009E24C3" w:rsidRDefault="009E24C3"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Lima MAP, Pires CSS, Guedes RNC, et al (2011) Does Cry1Ac Bt-toxin impair development of worker larvae of Africanized honey bee? J Appl Entomol 135:415–422. </w:t>
      </w:r>
      <w:r w:rsidRPr="007B27DA">
        <w:rPr>
          <w:noProof/>
          <w:sz w:val="20"/>
          <w:szCs w:val="20"/>
        </w:rPr>
        <w:t>https://doi.org/10.1111/j.1439-0418.2010.01573.x</w:t>
      </w:r>
    </w:p>
    <w:p w14:paraId="098188AD" w14:textId="77777777" w:rsidR="001D25C4" w:rsidRPr="009A5C0F" w:rsidRDefault="001D25C4"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Menezes C, Vollet-Neto A, Fonseca VLI (2013) An advance in the </w:t>
      </w:r>
      <w:r w:rsidRPr="009A5C0F">
        <w:rPr>
          <w:i/>
          <w:iCs/>
          <w:noProof/>
          <w:sz w:val="20"/>
          <w:szCs w:val="20"/>
        </w:rPr>
        <w:t>In vitro</w:t>
      </w:r>
      <w:r w:rsidRPr="009A5C0F">
        <w:rPr>
          <w:noProof/>
          <w:sz w:val="20"/>
          <w:szCs w:val="20"/>
        </w:rPr>
        <w:t xml:space="preserve"> rearing of stingless bee queens. Apidologie 44:491–500. https://doi.org/10.1007/s13592-013-0197-6</w:t>
      </w:r>
    </w:p>
    <w:p w14:paraId="58802553" w14:textId="55E107E9" w:rsidR="001D25C4" w:rsidRDefault="001D25C4"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Rosa A de S, Teixeira JSG, Vollet-Neto A, et al (2016) Consumption of the neonicotinoid thiamethoxam during the larval stage affects the survival and development of the stingless bee, </w:t>
      </w:r>
      <w:r w:rsidRPr="009A5C0F">
        <w:rPr>
          <w:i/>
          <w:iCs/>
          <w:noProof/>
          <w:sz w:val="20"/>
          <w:szCs w:val="20"/>
        </w:rPr>
        <w:t>Scaptotrigona</w:t>
      </w:r>
      <w:r w:rsidRPr="009A5C0F">
        <w:rPr>
          <w:noProof/>
          <w:sz w:val="20"/>
          <w:szCs w:val="20"/>
        </w:rPr>
        <w:t xml:space="preserve"> aff. </w:t>
      </w:r>
      <w:r w:rsidRPr="009A5C0F">
        <w:rPr>
          <w:i/>
          <w:iCs/>
          <w:noProof/>
          <w:sz w:val="20"/>
          <w:szCs w:val="20"/>
        </w:rPr>
        <w:t>depilis</w:t>
      </w:r>
      <w:r w:rsidRPr="009A5C0F">
        <w:rPr>
          <w:noProof/>
          <w:sz w:val="20"/>
          <w:szCs w:val="20"/>
        </w:rPr>
        <w:t xml:space="preserve">. Apidologie 47:729–738. </w:t>
      </w:r>
      <w:r w:rsidR="00776A3A" w:rsidRPr="007B27DA">
        <w:rPr>
          <w:noProof/>
          <w:sz w:val="20"/>
          <w:szCs w:val="20"/>
        </w:rPr>
        <w:t>https://doi.org/10.1007/S13592-015-0424-4/TABLES/1</w:t>
      </w:r>
    </w:p>
    <w:p w14:paraId="5DFBC6B9" w14:textId="77777777" w:rsidR="00445B78" w:rsidRPr="009A5C0F" w:rsidRDefault="00445B78"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Rosa-Fontana A, Dorigo AS, Galaschi-Teixeira JS, et al (2020) What is the most suitable native bee species from the Neotropical region to be proposed as model-organism for toxicity tests during the larval phase? Environ Pollut 265:114849. https://doi.org/10.1016/J.ENVPOL.2020.114849</w:t>
      </w:r>
    </w:p>
    <w:p w14:paraId="71FA2ADA" w14:textId="77777777" w:rsidR="00776A3A" w:rsidRPr="00776A3A" w:rsidRDefault="00776A3A"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Santos CF, Acosta AL, Dorneles AL, et al (2016) Queens become workers: pesticides alter caste </w:t>
      </w:r>
      <w:r w:rsidRPr="009A5C0F">
        <w:rPr>
          <w:noProof/>
          <w:sz w:val="20"/>
          <w:szCs w:val="20"/>
        </w:rPr>
        <w:lastRenderedPageBreak/>
        <w:t xml:space="preserve">differentiation in bees. </w:t>
      </w:r>
      <w:r w:rsidRPr="00776A3A">
        <w:rPr>
          <w:noProof/>
          <w:sz w:val="20"/>
          <w:szCs w:val="20"/>
        </w:rPr>
        <w:t>Sci Rep 6:31605. https://doi.org/10.1038/srep31605</w:t>
      </w:r>
    </w:p>
    <w:p w14:paraId="1BC738B5" w14:textId="77777777" w:rsidR="001D25C4" w:rsidRPr="001D25C4" w:rsidRDefault="001D25C4"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Seide VE, Bernardes RC, Pereira EJG, Lima MAP (2018) Glyphosate is lethal and Cry toxins alter the development of the stingless bee </w:t>
      </w:r>
      <w:r w:rsidRPr="009A5C0F">
        <w:rPr>
          <w:i/>
          <w:iCs/>
          <w:noProof/>
          <w:sz w:val="20"/>
          <w:szCs w:val="20"/>
        </w:rPr>
        <w:t>Melipona quadrifasciata</w:t>
      </w:r>
      <w:r w:rsidRPr="009A5C0F">
        <w:rPr>
          <w:noProof/>
          <w:sz w:val="20"/>
          <w:szCs w:val="20"/>
        </w:rPr>
        <w:t xml:space="preserve">. </w:t>
      </w:r>
      <w:r w:rsidRPr="001D25C4">
        <w:rPr>
          <w:noProof/>
          <w:sz w:val="20"/>
          <w:szCs w:val="20"/>
        </w:rPr>
        <w:t>Environ Pollut 243:1854–1860. https://doi.org/10.1016/J.ENVPOL.2018.10.020</w:t>
      </w:r>
    </w:p>
    <w:p w14:paraId="4B628EED" w14:textId="267CB06E" w:rsidR="009E24C3" w:rsidRPr="009A5C0F" w:rsidRDefault="009E24C3" w:rsidP="002D21AF">
      <w:pPr>
        <w:widowControl w:val="0"/>
        <w:autoSpaceDE w:val="0"/>
        <w:autoSpaceDN w:val="0"/>
        <w:adjustRightInd w:val="0"/>
        <w:spacing w:line="276" w:lineRule="auto"/>
        <w:ind w:left="480" w:hanging="480"/>
        <w:jc w:val="both"/>
        <w:rPr>
          <w:noProof/>
          <w:sz w:val="20"/>
          <w:szCs w:val="20"/>
        </w:rPr>
      </w:pPr>
      <w:r w:rsidRPr="009A5C0F">
        <w:rPr>
          <w:noProof/>
          <w:sz w:val="20"/>
          <w:szCs w:val="20"/>
        </w:rPr>
        <w:t xml:space="preserve">Tomé HVV, Martins GF, Lima MAP, et al (2012) Imidacloprid-induced impairment of mushroom bodies and behavior of the native stingless bee </w:t>
      </w:r>
      <w:r w:rsidRPr="009A5C0F">
        <w:rPr>
          <w:i/>
          <w:iCs/>
          <w:noProof/>
          <w:sz w:val="20"/>
          <w:szCs w:val="20"/>
        </w:rPr>
        <w:t>Melipona quadrifasciata anthidioides</w:t>
      </w:r>
      <w:r w:rsidRPr="009A5C0F">
        <w:rPr>
          <w:noProof/>
          <w:sz w:val="20"/>
          <w:szCs w:val="20"/>
        </w:rPr>
        <w:t>. PLoS One 7:e38406</w:t>
      </w:r>
      <w:r w:rsidR="007B27DA">
        <w:rPr>
          <w:noProof/>
          <w:sz w:val="20"/>
          <w:szCs w:val="20"/>
        </w:rPr>
        <w:t xml:space="preserve">. </w:t>
      </w:r>
      <w:r w:rsidR="007B27DA" w:rsidRPr="007B27DA">
        <w:rPr>
          <w:noProof/>
          <w:sz w:val="20"/>
          <w:szCs w:val="20"/>
        </w:rPr>
        <w:t>https://doi.org/10.1371/journal.pone.0038406</w:t>
      </w:r>
      <w:r w:rsidR="007B27DA">
        <w:rPr>
          <w:noProof/>
          <w:sz w:val="20"/>
          <w:szCs w:val="20"/>
        </w:rPr>
        <w:t xml:space="preserve"> </w:t>
      </w:r>
    </w:p>
    <w:sectPr w:rsidR="009E24C3" w:rsidRPr="009A5C0F" w:rsidSect="003E21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2A09"/>
    <w:multiLevelType w:val="multilevel"/>
    <w:tmpl w:val="930C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03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E2"/>
    <w:rsid w:val="001843A9"/>
    <w:rsid w:val="001D25C4"/>
    <w:rsid w:val="0029589F"/>
    <w:rsid w:val="002D21AF"/>
    <w:rsid w:val="00305B27"/>
    <w:rsid w:val="003E211E"/>
    <w:rsid w:val="00416BE2"/>
    <w:rsid w:val="00445B78"/>
    <w:rsid w:val="0068692D"/>
    <w:rsid w:val="00776A3A"/>
    <w:rsid w:val="007B27DA"/>
    <w:rsid w:val="009303D3"/>
    <w:rsid w:val="009E24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D382"/>
  <w15:chartTrackingRefBased/>
  <w15:docId w15:val="{21412677-5675-47B5-B102-5F407E7C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BE2"/>
    <w:pPr>
      <w:spacing w:after="0" w:line="240" w:lineRule="auto"/>
    </w:pPr>
    <w:rPr>
      <w:rFonts w:ascii="Times New Roman" w:eastAsia="Calibri" w:hAnsi="Times New Roman" w:cs="Times New Roman"/>
      <w:kern w:val="0"/>
      <w:sz w:val="24"/>
      <w:szCs w:val="24"/>
      <w:lang w:val="en-US" w:eastAsia="es-ES_tradnl"/>
      <w14:ligatures w14:val="none"/>
    </w:rPr>
  </w:style>
  <w:style w:type="paragraph" w:styleId="Ttulo1">
    <w:name w:val="heading 1"/>
    <w:basedOn w:val="Normal"/>
    <w:next w:val="Normal"/>
    <w:link w:val="Ttulo1Char"/>
    <w:uiPriority w:val="9"/>
    <w:qFormat/>
    <w:rsid w:val="007B27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445B7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implesTabela21">
    <w:name w:val="Simples Tabela 21"/>
    <w:basedOn w:val="Tabelanormal"/>
    <w:next w:val="SimplesTabela2"/>
    <w:uiPriority w:val="42"/>
    <w:rsid w:val="00416BE2"/>
    <w:pPr>
      <w:spacing w:after="0" w:line="240" w:lineRule="auto"/>
    </w:pPr>
    <w:rPr>
      <w:kern w:val="0"/>
      <w:lang w:val="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implesTabela2">
    <w:name w:val="Plain Table 2"/>
    <w:basedOn w:val="Tabelanormal"/>
    <w:uiPriority w:val="42"/>
    <w:rsid w:val="00416B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epargpadro"/>
    <w:uiPriority w:val="99"/>
    <w:unhideWhenUsed/>
    <w:rsid w:val="009E24C3"/>
    <w:rPr>
      <w:color w:val="0563C1" w:themeColor="hyperlink"/>
      <w:u w:val="single"/>
    </w:rPr>
  </w:style>
  <w:style w:type="character" w:styleId="MenoPendente">
    <w:name w:val="Unresolved Mention"/>
    <w:basedOn w:val="Fontepargpadro"/>
    <w:uiPriority w:val="99"/>
    <w:semiHidden/>
    <w:unhideWhenUsed/>
    <w:rsid w:val="009E24C3"/>
    <w:rPr>
      <w:color w:val="605E5C"/>
      <w:shd w:val="clear" w:color="auto" w:fill="E1DFDD"/>
    </w:rPr>
  </w:style>
  <w:style w:type="character" w:customStyle="1" w:styleId="Ttulo2Char">
    <w:name w:val="Título 2 Char"/>
    <w:basedOn w:val="Fontepargpadro"/>
    <w:link w:val="Ttulo2"/>
    <w:uiPriority w:val="9"/>
    <w:rsid w:val="00445B78"/>
    <w:rPr>
      <w:rFonts w:asciiTheme="majorHAnsi" w:eastAsiaTheme="majorEastAsia" w:hAnsiTheme="majorHAnsi" w:cstheme="majorBidi"/>
      <w:color w:val="2F5496" w:themeColor="accent1" w:themeShade="BF"/>
      <w:kern w:val="0"/>
      <w:sz w:val="26"/>
      <w:szCs w:val="26"/>
      <w:lang w:val="en-US" w:eastAsia="es-ES_tradnl"/>
      <w14:ligatures w14:val="none"/>
    </w:rPr>
  </w:style>
  <w:style w:type="character" w:customStyle="1" w:styleId="Ttulo1Char">
    <w:name w:val="Título 1 Char"/>
    <w:basedOn w:val="Fontepargpadro"/>
    <w:link w:val="Ttulo1"/>
    <w:uiPriority w:val="9"/>
    <w:rsid w:val="007B27DA"/>
    <w:rPr>
      <w:rFonts w:asciiTheme="majorHAnsi" w:eastAsiaTheme="majorEastAsia" w:hAnsiTheme="majorHAnsi" w:cstheme="majorBidi"/>
      <w:color w:val="2F5496" w:themeColor="accent1" w:themeShade="BF"/>
      <w:kern w:val="0"/>
      <w:sz w:val="32"/>
      <w:szCs w:val="32"/>
      <w:lang w:val="en-US" w:eastAsia="es-ES_tradnl"/>
      <w14:ligatures w14:val="none"/>
    </w:rPr>
  </w:style>
  <w:style w:type="character" w:customStyle="1" w:styleId="normaltextrun">
    <w:name w:val="normaltextrun"/>
    <w:basedOn w:val="Fontepargpadro"/>
    <w:rsid w:val="0068692D"/>
  </w:style>
  <w:style w:type="character" w:styleId="Nmerodelinha">
    <w:name w:val="line number"/>
    <w:basedOn w:val="Fontepargpadro"/>
    <w:uiPriority w:val="99"/>
    <w:semiHidden/>
    <w:unhideWhenUsed/>
    <w:rsid w:val="00686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37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5cdbd8-0048-4b4e-be42-bac4581b5bed">
      <Terms xmlns="http://schemas.microsoft.com/office/infopath/2007/PartnerControls"/>
    </lcf76f155ced4ddcb4097134ff3c332f>
    <TaxCatchAll xmlns="408c85bd-cc57-4463-bb0a-6a810235736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531E286A7634B4F8AC2FF85E2C8D1D5" ma:contentTypeVersion="10" ma:contentTypeDescription="Crie um novo documento." ma:contentTypeScope="" ma:versionID="e71de4e82b9ff7943dee38382c3a1cd4">
  <xsd:schema xmlns:xsd="http://www.w3.org/2001/XMLSchema" xmlns:xs="http://www.w3.org/2001/XMLSchema" xmlns:p="http://schemas.microsoft.com/office/2006/metadata/properties" xmlns:ns2="685cdbd8-0048-4b4e-be42-bac4581b5bed" xmlns:ns3="408c85bd-cc57-4463-bb0a-6a810235736b" targetNamespace="http://schemas.microsoft.com/office/2006/metadata/properties" ma:root="true" ma:fieldsID="32986c11e5469de9cf0d96d60459a94a" ns2:_="" ns3:_="">
    <xsd:import namespace="685cdbd8-0048-4b4e-be42-bac4581b5bed"/>
    <xsd:import namespace="408c85bd-cc57-4463-bb0a-6a810235736b"/>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cdbd8-0048-4b4e-be42-bac4581b5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9ea1c287-08c3-460f-a7b5-ac3d04c7727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c85bd-cc57-4463-bb0a-6a810235736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e909d9-f8f3-473c-8b22-f8337e97190d}" ma:internalName="TaxCatchAll" ma:showField="CatchAllData" ma:web="408c85bd-cc57-4463-bb0a-6a8102357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6687D-6E37-49CF-BB1F-784A3DD5B302}">
  <ds:schemaRefs>
    <ds:schemaRef ds:uri="http://schemas.microsoft.com/office/2006/metadata/properties"/>
    <ds:schemaRef ds:uri="http://schemas.microsoft.com/office/infopath/2007/PartnerControls"/>
    <ds:schemaRef ds:uri="685cdbd8-0048-4b4e-be42-bac4581b5bed"/>
    <ds:schemaRef ds:uri="408c85bd-cc57-4463-bb0a-6a810235736b"/>
  </ds:schemaRefs>
</ds:datastoreItem>
</file>

<file path=customXml/itemProps2.xml><?xml version="1.0" encoding="utf-8"?>
<ds:datastoreItem xmlns:ds="http://schemas.openxmlformats.org/officeDocument/2006/customXml" ds:itemID="{30FD43FC-6A02-4133-9D4E-E21E151A3B00}">
  <ds:schemaRefs>
    <ds:schemaRef ds:uri="http://schemas.openxmlformats.org/officeDocument/2006/bibliography"/>
  </ds:schemaRefs>
</ds:datastoreItem>
</file>

<file path=customXml/itemProps3.xml><?xml version="1.0" encoding="utf-8"?>
<ds:datastoreItem xmlns:ds="http://schemas.openxmlformats.org/officeDocument/2006/customXml" ds:itemID="{D4252937-7381-4D77-8557-AF46C174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cdbd8-0048-4b4e-be42-bac4581b5bed"/>
    <ds:schemaRef ds:uri="408c85bd-cc57-4463-bb0a-6a8102357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FC43D4-55E7-4545-A58F-305502DC4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6329</Words>
  <Characters>39057</Characters>
  <Application>Microsoft Office Word</Application>
  <DocSecurity>0</DocSecurity>
  <Lines>600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Lisbetd Jojoa</dc:creator>
  <cp:keywords/>
  <dc:description/>
  <cp:lastModifiedBy>Lorena Lisbetd Jojoa</cp:lastModifiedBy>
  <cp:revision>2</cp:revision>
  <dcterms:created xsi:type="dcterms:W3CDTF">2023-10-16T14:34:00Z</dcterms:created>
  <dcterms:modified xsi:type="dcterms:W3CDTF">2023-10-16T14:34:00Z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0x0101007531E286A7634B4F8AC2FF85E2C8D1D5</vt:lpwstr>
  </property>
</Properties>
</file>