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294D1" w14:textId="595CDADD" w:rsidR="002538B5" w:rsidRPr="00DB3AF0" w:rsidRDefault="002538B5" w:rsidP="002538B5">
      <w:pPr>
        <w:jc w:val="both"/>
        <w:rPr>
          <w:b/>
          <w:bCs/>
          <w:sz w:val="36"/>
          <w:szCs w:val="36"/>
        </w:rPr>
      </w:pPr>
      <w:r w:rsidRPr="00DB3AF0">
        <w:rPr>
          <w:b/>
          <w:bCs/>
          <w:sz w:val="36"/>
          <w:szCs w:val="36"/>
        </w:rPr>
        <w:t>Supplement</w:t>
      </w:r>
      <w:r w:rsidR="00810343">
        <w:rPr>
          <w:b/>
          <w:bCs/>
          <w:sz w:val="36"/>
          <w:szCs w:val="36"/>
        </w:rPr>
        <w:t>ary Information</w:t>
      </w:r>
      <w:r w:rsidR="00810343">
        <w:rPr>
          <w:b/>
          <w:bCs/>
          <w:sz w:val="36"/>
          <w:szCs w:val="36"/>
        </w:rPr>
        <w:t xml:space="preserve"> </w:t>
      </w:r>
      <w:r w:rsidR="00810343">
        <w:rPr>
          <w:b/>
          <w:bCs/>
          <w:sz w:val="36"/>
          <w:szCs w:val="36"/>
        </w:rPr>
        <w:t>and Figures</w:t>
      </w:r>
    </w:p>
    <w:p w14:paraId="00E3FC0F" w14:textId="77777777" w:rsidR="002538B5" w:rsidRDefault="002538B5" w:rsidP="002538B5">
      <w:pPr>
        <w:jc w:val="both"/>
      </w:pPr>
    </w:p>
    <w:p w14:paraId="45496EAA" w14:textId="77777777" w:rsidR="002538B5" w:rsidRDefault="002538B5" w:rsidP="002538B5">
      <w:pPr>
        <w:jc w:val="both"/>
      </w:pPr>
    </w:p>
    <w:p w14:paraId="2D2757D6" w14:textId="77777777" w:rsidR="002538B5" w:rsidRDefault="002538B5" w:rsidP="002538B5">
      <w:pPr>
        <w:jc w:val="both"/>
        <w:rPr>
          <w:b/>
          <w:bCs/>
        </w:rPr>
      </w:pPr>
      <w:r w:rsidRPr="00496A59">
        <w:rPr>
          <w:b/>
          <w:bCs/>
        </w:rPr>
        <w:t>Assay design, validation, and performance</w:t>
      </w:r>
    </w:p>
    <w:p w14:paraId="59617725" w14:textId="77777777" w:rsidR="002538B5" w:rsidRDefault="002538B5" w:rsidP="002538B5">
      <w:pPr>
        <w:jc w:val="both"/>
        <w:rPr>
          <w:b/>
          <w:bCs/>
        </w:rPr>
      </w:pPr>
    </w:p>
    <w:p w14:paraId="0B24AE72" w14:textId="77777777" w:rsidR="002538B5" w:rsidRPr="0078112F" w:rsidRDefault="002538B5" w:rsidP="002538B5">
      <w:pPr>
        <w:jc w:val="both"/>
      </w:pPr>
      <w:r w:rsidRPr="0078112F">
        <w:t xml:space="preserve">Assay Design </w:t>
      </w:r>
    </w:p>
    <w:p w14:paraId="19450363" w14:textId="00DCC1D7" w:rsidR="002538B5" w:rsidRPr="0078112F" w:rsidRDefault="002538B5" w:rsidP="002538B5">
      <w:pPr>
        <w:jc w:val="both"/>
      </w:pPr>
      <w:r w:rsidRPr="0078112F">
        <w:t>The assay consists of 19 genes commonly mutated in CH: DNMT3A, TET2, ASXL1, TP53, PPM1D, SF3B1, SRSF2, IDH1, IDH2, JAK2, BCOR, MPL, U2AF1, U2AF2, ZRSR2, CBL, CHEK2, GNAS and GNB1</w:t>
      </w:r>
      <w:r w:rsidRPr="0078112F">
        <w:rPr>
          <w:rStyle w:val="FootnoteReference"/>
        </w:rPr>
        <w:fldChar w:fldCharType="begin" w:fldLock="1"/>
      </w:r>
      <w:r>
        <w:instrText>ADDIN CSL_CITATION {"citationItems":[{"id":"ITEM-1","itemData":{"DOI":"10.1056/NEJMoa1408617","ISSN":"0028-4793","PMID":"25426837","abstract":"Background The incidence of hematologic cancers increases with age. These cancers are associated with recurrent somatic mutations in specific genes. We hypothesized that such mutations would be detectable in the blood of some persons who are not known to have hematologic disorders. METHODS We analyzed whole-exome sequencing data from DNA in the peripheral-blood cells of 17, 182 persons who were unselected for hematologic phenotypes. We looked for somatic mutations by identifying previously characterized single-nucleotide variants and small insertions or deletions in 160 genes that are recurrently mutated in hematologic cancers. The presence of mutations was analyzed for an association with hematologic phenotypes, survival, and cardiovascular events. RESULTS Detectable somatic mutations were rare in persons younger than 40 years of age but rose appreciably in frequency with age. Among persons 70 to 79 years of age, 80 to 89 years of age, and 90 to 108 years of age, these clonal mutations were observed in 9.5% (219 of 2300 persons), 11.7% (37 of 317), and 18.4% (19 of 103), respectively. The majority of the variants occurred in three genes: DNMT3A, TET2, and ASXL1. The presence of a somatic mutation was associated with an increase in the risk of hematologic cancer (hazard ratio, 11.1; 95% confidence interval [CI], 3.9 to 32.6), an increase in all-cause mortality (hazard ratio, 1.4; 95% CI, 1.1 to 1.8), and increases in the risks of incident coronary heart disease (hazard ratio, 2.0; 95% CI, 1.2 to 3.4) and ischemic stroke (hazard ratio, 2.6; 95% CI, 1.4 to 4.8). CONCLUSIONS Age-related clonal hematopoiesis is a common condition that is associated with increases in the risk of hematologic cancer and in all-cause mortality, with the latter possibly due to an increased risk of cardiovascular disease.","author":[{"dropping-particle":"","family":"Jaiswal","given":"Siddhartha","non-dropping-particle":"","parse-names":false,"suffix":""},{"dropping-particle":"","family":"Fontanillas","given":"Pierre","non-dropping-particle":"","parse-names":false,"suffix":""},{"dropping-particle":"","family":"Flannick","given":"Jason","non-dropping-particle":"","parse-names":false,"suffix":""},{"dropping-particle":"","family":"Manning","given":"Alisa","non-dropping-particle":"","parse-names":false,"suffix":""},{"dropping-particle":"V.","family":"Grauman","given":"Peter","non-dropping-particle":"","parse-names":false,"suffix":""},{"dropping-particle":"","family":"Mar","given":"Brenton G.","non-dropping-particle":"","parse-names":false,"suffix":""},{"dropping-particle":"","family":"Lindsley","given":"R. Coleman","non-dropping-particle":"","parse-names":false,"suffix":""},{"dropping-particle":"","family":"Mermel","given":"Craig H.","non-dropping-particle":"","parse-names":false,"suffix":""},{"dropping-particle":"","family":"Burtt","given":"Noel","non-dropping-particle":"","parse-names":false,"suffix":""},{"dropping-particle":"","family":"Chavez","given":"Alejandro","non-dropping-particle":"","parse-names":false,"suffix":""},{"dropping-particle":"","family":"Higgins","given":"John M.","non-dropping-particle":"","parse-names":false,"suffix":""},{"dropping-particle":"","family":"Moltchanov","given":"Vladislav","non-dropping-particle":"","parse-names":false,"suffix":""},{"dropping-particle":"","family":"Kuo","given":"Frank C.","non-dropping-particle":"","parse-names":false,"suffix":""},{"dropping-particle":"","family":"Kluk","given":"Michael J.","non-dropping-particle":"","parse-names":false,"suffix":""},{"dropping-particle":"","family":"Henderson","given":"Brian","non-dropping-particle":"","parse-names":false,"suffix":""},{"dropping-particle":"","family":"Kinnunen","given":"Leena","non-dropping-particle":"","parse-names":false,"suffix":""},{"dropping-particle":"","family":"Koistinen","given":"Heikki A.","non-dropping-particle":"","parse-names":false,"suffix":""},{"dropping-particle":"","family":"Ladenvall","given":"Claes","non-dropping-particle":"","parse-names":false,"suffix":""},{"dropping-particle":"","family":"Getz","given":"Gad","non-dropping-particle":"","parse-names":false,"suffix":""},{"dropping-particle":"","family":"Correa","given":"Adolfo","non-dropping-particle":"","parse-names":false,"suffix":""},{"dropping-particle":"","family":"Banahan","given":"Benjamin F.","non-dropping-particle":"","parse-names":false,"suffix":""},{"dropping-particle":"","family":"Gabriel","given":"Stacey","non-dropping-particle":"","parse-names":false,"suffix":""},{"dropping-particle":"","family":"Kathiresan","given":"Sekar","non-dropping-particle":"","parse-names":false,"suffix":""},{"dropping-particle":"","family":"Stringham","given":"Heather M.","non-dropping-particle":"","parse-names":false,"suffix":""},{"dropping-particle":"","family":"McCarthy","given":"Mark I.","non-dropping-particle":"","parse-names":false,"suffix":""},{"dropping-particle":"","family":"Boehnke","given":"Michael","non-dropping-particle":"","parse-names":false,"suffix":""},{"dropping-particle":"","family":"Tuomilehto","given":"Jaakko","non-dropping-particle":"","parse-names":false,"suffix":""},{"dropping-particle":"","family":"Haiman","given":"Christopher","non-dropping-particle":"","parse-names":false,"suffix":""},{"dropping-particle":"","family":"Groop","given":"Leif","non-dropping-particle":"","parse-names":false,"suffix":""},{"dropping-particle":"","family":"Atzmon","given":"Gil","non-dropping-particle":"","parse-names":false,"suffix":""},{"dropping-particle":"","family":"Wilson","given":"James G.","non-dropping-particle":"","parse-names":false,"suffix":""},{"dropping-particle":"","family":"Neuberg","given":"Donna","non-dropping-particle":"","parse-names":false,"suffix":""},{"dropping-particle":"","family":"Altshuler","given":"David","non-dropping-particle":"","parse-names":false,"suffix":""},{"dropping-particle":"","family":"Ebert","given":"Benjamin L.","non-dropping-particle":"","parse-names":false,"suffix":""}],"container-title":"New England Journal of Medicine","id":"ITEM-1","issue":"26","issued":{"date-parts":[["2014","12","25"]]},"page":"2488-2498","publisher":"Massachussetts Medical Society","title":"Age-Related Clonal Hematopoiesis Associated with Adverse Outcomes","type":"article-journal","volume":"371"},"uris":["http://www.mendeley.com/documents/?uuid=3c13ec20-5ffd-4fe6-beaf-8ba1ee34d88b"]},{"id":"ITEM-2","itemData":{"DOI":"10.1056/NEJMoa1409405","ISSN":"0028-4793","abstract":"Background Cancers arise from multiple acquired mutations, which presumably occur over many years. Early stages in cancer development might be present years before cancers become clinically apparent. METHODS We analyzed data from whole-exome sequencing of DNA in peripheral-blood cells from 12, 380 persons, unselected for cancer or hematologic phenotypes. We identified somatic mutations on the basis of unusual allelic fractions. We used data from Swedish national patient registers to follow health outcomes for 2 to 7 years after DNA sampling. RESULTS Clonal hematopoiesis with somatic mutations was observed in 10% of persons older than 65 years of age but in only 1% of those younger than 50 years of age. Detectable clonal expansions most frequently involved somatic mutations in three genes (DNMT3A, ASXL1, and TET2) that have previously been implicated in hematologic cancers. Clonal hematopoiesis was a strong risk factor for subsequent hematologic cancer (hazard ratio, 12.9; 95% confidence interval, 5.8 to 28.7). Approximately 42% of hematologic cancers in this cohort arose in persons who had clonality at the time of DNA sampling, more than 6 months before a first diagnosis of cancer. Analysis of bone marrow-biopsy specimens obtained from two patients at the time of diagnosis of acute myeloid leukemia revealed that their cancers arose from the earlier clones. CONCLUSIONS Clonal hematopoiesis with somatic mutations is readily detected by means of DNA sequencing, is increasingly common as people age, and is associated with increased risks of hematologic cancer and death. A subset of the genes that are mutated in patients with myeloid cancers is frequently mutated in apparently healthy persons; these mutations may represent characteristic early events in the development of hematologic cancers.","author":[{"dropping-particle":"","family":"Genovese","given":"Giulio","non-dropping-particle":"","parse-names":false,"suffix":""},{"dropping-particle":"","family":"Kähler","given":"Anna K.","non-dropping-particle":"","parse-names":false,"suffix":""},{"dropping-particle":"","family":"Handsaker","given":"Robert E.","non-dropping-particle":"","parse-names":false,"suffix":""},{"dropping-particle":"","family":"Lindberg","given":"Johan","non-dropping-particle":"","parse-names":false,"suffix":""},{"dropping-particle":"","family":"Rose","given":"Samuel A.","non-dropping-particle":"","parse-names":false,"suffix":""},{"dropping-particle":"","family":"Bakhoum","given":"Samuel F.","non-dropping-particle":"","parse-names":false,"suffix":""},{"dropping-particle":"","family":"Chambert","given":"Kimberly","non-dropping-particle":"","parse-names":false,"suffix":""},{"dropping-particle":"","family":"Mick","given":"Eran","non-dropping-particle":"","parse-names":false,"suffix":""},{"dropping-particle":"","family":"Neale","given":"Benjamin M.","non-dropping-particle":"","parse-names":false,"suffix":""},{"dropping-particle":"","family":"Fromer","given":"Menachem","non-dropping-particle":"","parse-names":false,"suffix":""},{"dropping-particle":"","family":"Purcell","given":"Shaun M.","non-dropping-particle":"","parse-names":false,"suffix":""},{"dropping-particle":"","family":"Svantesson","given":"Oscar","non-dropping-particle":"","parse-names":false,"suffix":""},{"dropping-particle":"","family":"Landén","given":"Mikael","non-dropping-particle":"","parse-names":false,"suffix":""},{"dropping-particle":"","family":"Höglund","given":"Martin","non-dropping-particle":"","parse-names":false,"suffix":""},{"dropping-particle":"","family":"Lehmann","given":"Sören","non-dropping-particle":"","parse-names":false,"suffix":""},{"dropping-particle":"","family":"Gabriel","given":"Stacey B.","non-dropping-particle":"","parse-names":false,"suffix":""},{"dropping-particle":"","family":"Moran","given":"Jennifer L.","non-dropping-particle":"","parse-names":false,"suffix":""},{"dropping-particle":"","family":"Lander","given":"Eric S.","non-dropping-particle":"","parse-names":false,"suffix":""},{"dropping-particle":"","family":"Sullivan","given":"Patrick F.","non-dropping-particle":"","parse-names":false,"suffix":""},{"dropping-particle":"","family":"Sklar","given":"Pamela","non-dropping-particle":"","parse-names":false,"suffix":""},{"dropping-particle":"","family":"Grönberg","given":"Henrik","non-dropping-particle":"","parse-names":false,"suffix":""},{"dropping-particle":"","family":"Hultman","given":"Christina M.","non-dropping-particle":"","parse-names":false,"suffix":""},{"dropping-particle":"","family":"McCarroll","given":"Steven A.","non-dropping-particle":"","parse-names":false,"suffix":""}],"container-title":"New England Journal of Medicine","id":"ITEM-2","issue":"26","issued":{"date-parts":[["2014","12","25"]]},"page":"2477-2487","title":"Clonal Hematopoiesis and Blood-Cancer Risk Inferred from Blood DNA Sequence","type":"article-journal","volume":"371"},"uris":["http://www.mendeley.com/documents/?uuid=04f0d2b3-d559-3b5f-b6af-cadbfda7365e"]},{"id":"ITEM-3","itemData":{"DOI":"10.1101/2020.10.22.350140","abstract":"Mutations in genes that confer a selective advantage to hematopoietic stem cells (HSCs) in certain conditions drive clonal hematopoiesis (CH). While some CH drivers have been identified experimentally or through epidemiological studies, the compendium of all genes able to drive CH upon mutations in HSCs is far from complete. We propose that identifying signals of positive selection in blood somatic mutations may be an effective way to identify CH driver genes, similarly as done to identify cancer genes. Using a reverse somatic variant calling approach, we repurposed whole-genome and whole-exome blood/tumor paired samples of more than 12,000 donors from two large cancer genomics cohorts to identify blood somatic mutations. The application of IntOGen, a robust driver discovery pipeline, to blood somatic mutations across both cohorts, and more than 24,000 targeted sequenced samples yielded a list of close to 70 genes with signals of positive selection in CH, available at http://www.intogen.org/ch. This approach recovers all known CH genes, and discovers novel candidates. Generating this compendium is an essential step to understand the molecular mechanisms of CH and to accurately detect individuals with CH to ascertain their risk to develop related diseases.","author":[{"dropping-particle":"","family":"Pich","given":"Oriol","non-dropping-particle":"","parse-names":false,"suffix":""},{"dropping-particle":"","family":"Reyes-Salazar","given":"Iker","non-dropping-particle":"","parse-names":false,"suffix":""},{"dropping-particle":"","family":"Gonzalez-Perez","given":"Abel","non-dropping-particle":"","parse-names":false,"suffix":""},{"dropping-particle":"","family":"Lopez-Bigas","given":"Nuria","non-dropping-particle":"","parse-names":false,"suffix":""}],"container-title":"bioRxiv","id":"ITEM-3","issued":{"date-parts":[["2020","10","23"]]},"page":"2020.10.22.350140","publisher":"Cold Spring Harbor Laboratory","title":"Discovering the drivers of clonal hematopoiesis","type":"article-journal"},"uris":["http://www.mendeley.com/documents/?uuid=3bdfe112-a7c1-3198-8ca8-baf52fe7c3bc"]},{"id":"ITEM-4","itemData":{"DOI":"10.1016/j.stem.2017.07.010","ISSN":"18759777","abstract":"Clonal hematopoiesis (CH), as evidenced by recurrent somatic mutations in leukemia-associated genes, commonly occurs among aging human hematopoietic stem cells. We analyzed deep-coverage, targeted, next-generation sequencing (NGS) data of paired tumor and blood samples from 8,810 individuals to assess the frequency and clinical relevance of CH in patients with non-hematologic malignancies. We identified CH in 25% of cancer patients, with 4.5% harboring presumptive leukemia driver mutations (CH-PD). CH was associated with increased age, prior radiation therapy, and tobacco use. PPM1D and TP53 mutations were associated with prior exposure to chemotherapy. CH and CH-PD led to an increased incidence of subsequent hematologic cancers, and CH-PD was associated with shorter patient survival. These data suggest that CH occurs in an age-dependent manner and that specific perturbations can enhance fitness of clonal hematopoietic stem cells, which can impact outcome through progression to hematologic malignancies and through cell-non-autonomous effects on solid tumor biology. Coombs et al. examined a large cohort of solid tumor patients who underwent deep-coverage, paired tumor/blood sequencing and demonstrated that clonal hematopoiesis is common and associated with increasing age, tobacco use, and prior radiation therapy and that it predicts an increased risk of hematologic cancers and shorter survival.","author":[{"dropping-particle":"","family":"Coombs","given":"Catherine C.","non-dropping-particle":"","parse-names":false,"suffix":""},{"dropping-particle":"","family":"Zehir","given":"Ahmet","non-dropping-particle":"","parse-names":false,"suffix":""},{"dropping-particle":"","family":"Devlin","given":"Sean M.","non-dropping-particle":"","parse-names":false,"suffix":""},{"dropping-particle":"","family":"Kishtagari","given":"Ashwin","non-dropping-particle":"","parse-names":false,"suffix":""},{"dropping-particle":"","family":"Syed","given":"Aijazuddin","non-dropping-particle":"","parse-names":false,"suffix":""},{"dropping-particle":"","family":"Jonsson","given":"Philip","non-dropping-particle":"","parse-names":false,"suffix":""},{"dropping-particle":"","family":"Hyman","given":"David M.","non-dropping-particle":"","parse-names":false,"suffix":""},{"dropping-particle":"","family":"Solit","given":"David B.","non-dropping-particle":"","parse-names":false,"suffix":""},{"dropping-particle":"","family":"Robson","given":"Mark E.","non-dropping-particle":"","parse-names":false,"suffix":""},{"dropping-particle":"","family":"Baselga","given":"José","non-dropping-particle":"","parse-names":false,"suffix":""},{"dropping-particle":"","family":"Arcila","given":"Maria E.","non-dropping-particle":"","parse-names":false,"suffix":""},{"dropping-particle":"","family":"Ladanyi","given":"Marc","non-dropping-particle":"","parse-names":false,"suffix":""},{"dropping-particle":"","family":"Tallman","given":"Martin S.","non-dropping-particle":"","parse-names":false,"suffix":""},{"dropping-particle":"","family":"Levine","given":"Ross L.","non-dropping-particle":"","parse-names":false,"suffix":""},{"dropping-particle":"","family":"Berger","given":"Michael F.","non-dropping-particle":"","parse-names":false,"suffix":""}],"container-title":"Cell Stem Cell","id":"ITEM-4","issue":"3","issued":{"date-parts":[["2017","9","7"]]},"page":"374-382.e4","publisher":"Cell Press","title":"Therapy-Related Clonal Hematopoiesis in Patients with Non-hematologic Cancers Is Common and Associated with Adverse Clinical Outcomes","type":"article-journal","volume":"21"},"uris":["http://www.mendeley.com/documents/?uuid=3e4f4dea-6495-3ec0-ac0f-05ddc30ca4ff"]},{"id":"ITEM-5","itemData":{"DOI":"10.1001/jamaoncol.2018.2297","ISSN":"23742445","abstract":"IMPORTANCE: Although clonal hematopoiesis (CH) is well described in aging healthy populations, few studies have addressed the practical clinical implications of these alterations in solid-tumor sequencing. OBJECTIVE: To identify and quantify CH-related mutations in patients with solid tumors using matched tumor-blood sequencing, and to establish the proportion that would be misattributed to the tumor based on tumor-only sequencing (unmatched analysis). DESIGN, SETTING, AND PARTICIPANTS: Retrospective analysis of samples from 17 469 patients with solid cancers who underwent prospective clinical sequencing of DNA isolated from tumor tissue and matched peripheral blood using the MSK-IMPACT assay between January 2014 and August 2017. MAIN OUTCOMES AND MEASURES: We identified the presence of CH-related mutations in each patient's blood leukocytes and quantified the fraction of DNA molecules harboring the mutation in the corresponding matched tumor sample. RESULTS: The mean age of the 17 469 patients with cancer at sample collection was 59.2 years (range, 0.3-98.9 years); 53.6% were female. We identified 7608 CH-associated mutations in the blood of 4628 (26.5%) patients. A total of 1075 (14.1%) CH-associated mutations were also detectable in the matched tumor above established thresholds for calling somatic mutations. Overall, 912 (5.2%) patients would have had at least 1 CH-associated mutation erroneously called as tumor derived in the absence of matched blood sequencing. A total of 1061 (98.7%) of these mutations were absent from population scale databases of germline polymorphisms and therefore would have been challenging to filter informatically. Annotating variants with OncoKB classified 534 (49.7%) as oncogenic or likely oncogenic. CONCLUSIONS AND RELEVANCE: This study demonstrates how CH-derived mutations could lead to erroneous reporting and treatment recommendations when tumor-only sequencing is used.","author":[{"dropping-particle":"","family":"Ptashkin","given":"Ryan N.","non-dropping-particle":"","parse-names":false,"suffix":""},{"dropping-particle":"","family":"Mandelker","given":"Diana L.","non-dropping-particle":"","parse-names":false,"suffix":""},{"dropping-particle":"","family":"Coombs","given":"Catherine C.","non-dropping-particle":"","parse-names":false,"suffix":""},{"dropping-particle":"","family":"Bolton","given":"Kelly","non-dropping-particle":"","parse-names":false,"suffix":""},{"dropping-particle":"","family":"Yelskaya","given":"Zarina","non-dropping-particle":"","parse-names":false,"suffix":""},{"dropping-particle":"","family":"Hyman","given":"David M.","non-dropping-particle":"","parse-names":false,"suffix":""},{"dropping-particle":"","family":"Solit","given":"David B.","non-dropping-particle":"","parse-names":false,"suffix":""},{"dropping-particle":"","family":"Baselga","given":"José","non-dropping-particle":"","parse-names":false,"suffix":""},{"dropping-particle":"","family":"Arcila","given":"Maria E.","non-dropping-particle":"","parse-names":false,"suffix":""},{"dropping-particle":"","family":"Ladanyi","given":"Marc","non-dropping-particle":"","parse-names":false,"suffix":""},{"dropping-particle":"","family":"Zhang","given":"Liying","non-dropping-particle":"","parse-names":false,"suffix":""},{"dropping-particle":"","family":"Levine","given":"Ross L.","non-dropping-particle":"","parse-names":false,"suffix":""},{"dropping-particle":"","family":"Berger","given":"Michael F.","non-dropping-particle":"","parse-names":false,"suffix":""},{"dropping-particle":"","family":"Zehir","given":"Ahmet","non-dropping-particle":"","parse-names":false,"suffix":""}],"container-title":"JAMA Oncology","id":"ITEM-5","issue":"11","issued":{"date-parts":[["2018","11","1"]]},"page":"1589-1593","publisher":"American Medical Association","title":"Prevalence of clonal hematopoiesis mutations in tumor-only clinical genomic profiling of solid tumors","type":"paper-conference","volume":"4"},"uris":["http://www.mendeley.com/documents/?uuid=cd65900b-8b5c-3fe3-9a29-ddfd89ab4b6f"]}],"mendeley":{"formattedCitation":"&lt;sup&gt;1–5&lt;/sup&gt;","plainTextFormattedCitation":"1–5","previouslyFormattedCitation":"&lt;sup&gt;1–5&lt;/sup&gt;"},"properties":{"noteIndex":0},"schema":"https://github.com/citation-style-language/schema/raw/master/csl-citation.json"}</w:instrText>
      </w:r>
      <w:r w:rsidRPr="0078112F">
        <w:rPr>
          <w:rStyle w:val="FootnoteReference"/>
        </w:rPr>
        <w:fldChar w:fldCharType="separate"/>
      </w:r>
      <w:r w:rsidRPr="002538B5">
        <w:rPr>
          <w:noProof/>
          <w:vertAlign w:val="superscript"/>
        </w:rPr>
        <w:t>1–5</w:t>
      </w:r>
      <w:r w:rsidRPr="0078112F">
        <w:rPr>
          <w:rStyle w:val="FootnoteReference"/>
        </w:rPr>
        <w:fldChar w:fldCharType="end"/>
      </w:r>
      <w:r w:rsidRPr="0078112F">
        <w:t xml:space="preserve">. It includes the entire gene sequence for each gene and is ~60,000 bp in size. Unique molecular indexes (UMIs) were added to increase sensitivity and decrease error via collapsing when sequenced at high depths. The panel is sequenced at 1M reads (1000X) for standard depth and 15M reads (10,000X) for high depth for a collapsed coverage of ~3,500X using the UMIs. </w:t>
      </w:r>
      <w:r>
        <w:t xml:space="preserve">The assay was validated at both depths. </w:t>
      </w:r>
      <w:r w:rsidR="00670A1A" w:rsidRPr="0078112F">
        <w:t>We assessed the ability to detect mutations (SNVs and indels) in 117 replicates, across 208 variants</w:t>
      </w:r>
      <w:r w:rsidR="00670A1A">
        <w:t xml:space="preserve"> total. </w:t>
      </w:r>
    </w:p>
    <w:p w14:paraId="079FBABF" w14:textId="77777777" w:rsidR="002538B5" w:rsidRDefault="002538B5" w:rsidP="002538B5">
      <w:pPr>
        <w:jc w:val="both"/>
      </w:pPr>
    </w:p>
    <w:p w14:paraId="15CBD355" w14:textId="77777777" w:rsidR="002538B5" w:rsidRPr="0078112F" w:rsidRDefault="002538B5" w:rsidP="002538B5">
      <w:pPr>
        <w:jc w:val="both"/>
      </w:pPr>
      <w:r w:rsidRPr="0078112F">
        <w:t>Standard Depth – Limit of Blank</w:t>
      </w:r>
    </w:p>
    <w:p w14:paraId="47772238" w14:textId="77777777" w:rsidR="002538B5" w:rsidRPr="0078112F" w:rsidRDefault="002538B5" w:rsidP="002538B5">
      <w:pPr>
        <w:jc w:val="both"/>
      </w:pPr>
      <w:r w:rsidRPr="0078112F">
        <w:t xml:space="preserve">A total of 47 clinical samples were tested and 57 positive calls were observed, including 1 hotspot. </w:t>
      </w:r>
    </w:p>
    <w:p w14:paraId="40689CFA" w14:textId="77777777" w:rsidR="002538B5" w:rsidRPr="0078112F" w:rsidRDefault="002538B5" w:rsidP="002538B5">
      <w:pPr>
        <w:jc w:val="both"/>
      </w:pPr>
      <w:r w:rsidRPr="0078112F">
        <w:t xml:space="preserve">Mean Distinct Coverage was 992X. Specificity (NPA) was 99.998% for all variants and 99.996% for hotspot variants. </w:t>
      </w:r>
    </w:p>
    <w:p w14:paraId="085B0C79" w14:textId="77777777" w:rsidR="002538B5" w:rsidRPr="0078112F" w:rsidRDefault="002538B5" w:rsidP="002538B5">
      <w:pPr>
        <w:jc w:val="both"/>
      </w:pPr>
    </w:p>
    <w:p w14:paraId="27FA35C8" w14:textId="77777777" w:rsidR="002538B5" w:rsidRPr="0078112F" w:rsidRDefault="002538B5" w:rsidP="002538B5">
      <w:pPr>
        <w:jc w:val="both"/>
      </w:pPr>
      <w:r w:rsidRPr="0078112F">
        <w:t>Standard Depth – Theoretical Limit of Detection</w:t>
      </w:r>
    </w:p>
    <w:p w14:paraId="44EDF97F" w14:textId="77777777" w:rsidR="002538B5" w:rsidRPr="0078112F" w:rsidRDefault="002538B5" w:rsidP="002538B5">
      <w:pPr>
        <w:jc w:val="both"/>
      </w:pPr>
      <w:r w:rsidRPr="0078112F">
        <w:t xml:space="preserve">95% confidence levels for the </w:t>
      </w:r>
      <w:proofErr w:type="spellStart"/>
      <w:r w:rsidRPr="0078112F">
        <w:t>probit</w:t>
      </w:r>
      <w:proofErr w:type="spellEnd"/>
      <w:r w:rsidRPr="0078112F">
        <w:t xml:space="preserve"> fit were between 0.9-1.2% VAF, except for non-SBS changes which were 0.6% VAF. The </w:t>
      </w:r>
      <w:proofErr w:type="spellStart"/>
      <w:r w:rsidRPr="0078112F">
        <w:t>LoD</w:t>
      </w:r>
      <w:proofErr w:type="spellEnd"/>
      <w:r w:rsidRPr="0078112F">
        <w:t xml:space="preserve"> of each SBS category is represented in Table 1</w:t>
      </w:r>
      <w:r>
        <w:t>.</w:t>
      </w:r>
    </w:p>
    <w:p w14:paraId="78894DAE" w14:textId="77777777" w:rsidR="002538B5" w:rsidRPr="0078112F" w:rsidRDefault="002538B5" w:rsidP="002538B5">
      <w:pPr>
        <w:jc w:val="both"/>
      </w:pPr>
    </w:p>
    <w:p w14:paraId="46761687" w14:textId="77777777" w:rsidR="002538B5" w:rsidRPr="0078112F" w:rsidRDefault="002538B5" w:rsidP="002538B5">
      <w:pPr>
        <w:jc w:val="both"/>
      </w:pPr>
      <w:r w:rsidRPr="0078112F">
        <w:t>Standard Depth – Experimental Limit of Detection</w:t>
      </w:r>
    </w:p>
    <w:p w14:paraId="3B4B1EDF" w14:textId="77777777" w:rsidR="002538B5" w:rsidRPr="0078112F" w:rsidRDefault="002538B5" w:rsidP="002538B5">
      <w:pPr>
        <w:jc w:val="both"/>
      </w:pPr>
      <w:r w:rsidRPr="0078112F">
        <w:t xml:space="preserve">100% of variants were correctly called at the 1.85% VAF level, although these were detected at 0.6% VAF (Figure 1 A and C PPM1D Q5244*). This is slightly higher than was predicted using the </w:t>
      </w:r>
      <w:proofErr w:type="spellStart"/>
      <w:r w:rsidRPr="0078112F">
        <w:t>probit</w:t>
      </w:r>
      <w:proofErr w:type="spellEnd"/>
      <w:r w:rsidRPr="0078112F">
        <w:t xml:space="preserve"> estimate (Table 1), likely because of additional noise in this sample set, however variants were correctly called in 67% of cases down to 0.25% VAF. (Figure 1 C). </w:t>
      </w:r>
    </w:p>
    <w:p w14:paraId="4BEC2515" w14:textId="77777777" w:rsidR="002538B5" w:rsidRPr="0078112F" w:rsidRDefault="002538B5" w:rsidP="002538B5">
      <w:pPr>
        <w:jc w:val="both"/>
      </w:pPr>
    </w:p>
    <w:p w14:paraId="3D5768D3" w14:textId="77777777" w:rsidR="002538B5" w:rsidRPr="0078112F" w:rsidRDefault="002538B5" w:rsidP="002538B5">
      <w:pPr>
        <w:jc w:val="both"/>
      </w:pPr>
      <w:r w:rsidRPr="0078112F">
        <w:t>Standard Depth - Precision &amp; Reproducibility</w:t>
      </w:r>
    </w:p>
    <w:p w14:paraId="5D5D4A75" w14:textId="77777777" w:rsidR="002538B5" w:rsidRPr="0078112F" w:rsidRDefault="002538B5" w:rsidP="002538B5">
      <w:pPr>
        <w:jc w:val="both"/>
      </w:pPr>
      <w:r w:rsidRPr="0078112F">
        <w:t xml:space="preserve">A total of 61 individual variants were evaluated for the precision analysis and 136 were evaluated for reproducibility. In the precision study a success rate of 100% was achieved. Overall reproducibility was </w:t>
      </w:r>
      <w:r w:rsidRPr="0078112F">
        <w:rPr>
          <w:color w:val="000000"/>
        </w:rPr>
        <w:t>97.06%</w:t>
      </w:r>
      <w:r w:rsidRPr="0078112F">
        <w:t xml:space="preserve"> (95% CI: 94.21% - 99.91%) (Table 2). The variants not found were around the 1% VAF threshold of detection.  Tight standard deviations were observed for precision (0.21% - 2.42%). The standard deviations for reproducibility were 0.21% to 4.67% with one exception of 11.79%, due to an outlier that may have </w:t>
      </w:r>
      <w:r>
        <w:t>resulted from</w:t>
      </w:r>
      <w:r w:rsidRPr="0078112F">
        <w:t xml:space="preserve"> collect</w:t>
      </w:r>
      <w:r>
        <w:t>ing samples</w:t>
      </w:r>
      <w:r w:rsidRPr="0078112F">
        <w:t xml:space="preserve"> at separate timepoints from the same individual. </w:t>
      </w:r>
    </w:p>
    <w:p w14:paraId="5EFE423E" w14:textId="77777777" w:rsidR="002538B5" w:rsidRPr="0078112F" w:rsidRDefault="002538B5" w:rsidP="002538B5">
      <w:pPr>
        <w:jc w:val="both"/>
      </w:pPr>
    </w:p>
    <w:p w14:paraId="5B403943" w14:textId="77777777" w:rsidR="002538B5" w:rsidRPr="0078112F" w:rsidRDefault="002538B5" w:rsidP="002538B5">
      <w:pPr>
        <w:jc w:val="both"/>
      </w:pPr>
      <w:r w:rsidRPr="0078112F">
        <w:t xml:space="preserve">Standard Depth - Accuracy and Concordance with </w:t>
      </w:r>
      <w:r>
        <w:t>MSK-</w:t>
      </w:r>
      <w:r w:rsidRPr="0078112F">
        <w:t>IMPACT</w:t>
      </w:r>
    </w:p>
    <w:p w14:paraId="49E19907" w14:textId="0FAA255A" w:rsidR="002538B5" w:rsidRPr="0078112F" w:rsidRDefault="002538B5" w:rsidP="002538B5">
      <w:pPr>
        <w:jc w:val="both"/>
      </w:pPr>
      <w:r w:rsidRPr="0078112F">
        <w:t xml:space="preserve">62 clinical samples across 117 replicates were compared with </w:t>
      </w:r>
      <w:r>
        <w:t>MSK-</w:t>
      </w:r>
      <w:r w:rsidRPr="0078112F">
        <w:t>IMPACT</w:t>
      </w:r>
      <w:r w:rsidRPr="0078112F">
        <w:rPr>
          <w:rStyle w:val="FootnoteReference"/>
        </w:rPr>
        <w:fldChar w:fldCharType="begin" w:fldLock="1"/>
      </w:r>
      <w:r>
        <w:instrText>ADDIN CSL_CITATION {"citationItems":[{"id":"ITEM-1","itemData":{"DOI":"10.1038/nm.4333 http://www.nature.com/nm/journal/vaop/ncurrent/abs/nm.4333.html#supplementary-information","ISSN":"1546-170X","abstract":"Tumor molecular profiling is a fundamental component of precision oncology, enabling the identification of genomic alterations in genes and pathways that can be targeted therapeutically. The existence of recurrent targetable alterations across distinct histologically defined tumor types, coupled with an expanding portfolio of molecularly targeted therapies, demands flexible and comprehensive approaches to profile clinically relevant genes across the full spectrum of cancers. We established a large-scale, prospective clinical sequencing initiative using a comprehensive assay, MSK-IMPACT, through which we have compiled tumor and matched normal sequence data from a unique cohort of more than 10,000 patients with advanced cancer and available pathological and clinical annotations. Using these data, we identified clinically relevant somatic mutations, novel noncoding alterations, and mutational signatures that were shared by common and rare tumor types. Patients were enrolled on genomically matched clinical trials at a rate of 11%. To enable discovery of novel biomarkers and deeper investigation into rare alterations and tumor types, all results are publicly accessible.","author":[{"dropping-particle":"","family":"Zehir","given":"Ahmet","non-dropping-particle":"","parse-names":false,"suffix":""},{"dropping-particle":"","family":"Benayed","given":"Ryma","non-dropping-particle":"","parse-names":false,"suffix":""},{"dropping-particle":"","family":"Shah","given":"Ronak H","non-dropping-particle":"","parse-names":false,"suffix":""},{"dropping-particle":"","family":"Syed","given":"Aijazuddin","non-dropping-particle":"","parse-names":false,"suffix":""},{"dropping-particle":"","family":"Middha","given":"Sumit","non-dropping-particle":"","parse-names":false,"suffix":""},{"dropping-particle":"","family":"Kim","given":"Hyunjae R","non-dropping-particle":"","parse-names":false,"suffix":""},{"dropping-particle":"","family":"Srinivasan","given":"Preethi","non-dropping-particle":"","parse-names":false,"suffix":""},{"dropping-particle":"","family":"Gao","given":"Jianjiong","non-dropping-particle":"","parse-names":false,"suffix":""},{"dropping-particle":"","family":"Chakravarty","given":"Debyani","non-dropping-particle":"","parse-names":false,"suffix":""},{"dropping-particle":"","family":"Devlin","given":"Sean M","non-dropping-particle":"","parse-names":false,"suffix":""},{"dropping-particle":"","family":"Hellmann","given":"Matthew D","non-dropping-particle":"","parse-names":false,"suffix":""},{"dropping-particle":"","family":"Barron","given":"David A","non-dropping-particle":"","parse-names":false,"suffix":""},{"dropping-particle":"","family":"Schram","given":"Alison M","non-dropping-particle":"","parse-names":false,"suffix":""},{"dropping-particle":"","family":"Hameed","given":"Meera","non-dropping-particle":"","parse-names":false,"suffix":""},{"dropping-particle":"","family":"Dogan","given":"Snjezana","non-dropping-particle":"","parse-names":false,"suffix":""},{"dropping-particle":"","family":"Ross","given":"Dara S","non-dropping-particle":"","parse-names":false,"suffix":""},{"dropping-particle":"","family":"Hechtman","given":"Jaclyn F","non-dropping-particle":"","parse-names":false,"suffix":""},{"dropping-particle":"","family":"DeLair","given":"Deborah F","non-dropping-particle":"","parse-names":false,"suffix":""},{"dropping-particle":"","family":"Yao","given":"JinJuan","non-dropping-particle":"","parse-names":false,"suffix":""},{"dropping-particle":"","family":"Mandelker","given":"Diana L","non-dropping-particle":"","parse-names":false,"suffix":""},{"dropping-particle":"","family":"Cheng","given":"Donavan T","non-dropping-particle":"","parse-names":false,"suffix":""},{"dropping-particle":"","family":"Chandramohan","given":"Raghu","non-dropping-particle":"","parse-names":false,"suffix":""},{"dropping-particle":"","family":"Mohanty","given":"Abhinita S","non-dropping-particle":"","parse-names":false,"suffix":""},{"dropping-particle":"","family":"Ptashkin","given":"Ryan N","non-dropping-particle":"","parse-names":false,"suffix":""},{"dropping-particle":"","family":"Jayakumaran","given":"Gowtham","non-dropping-particle":"","parse-names":false,"suffix":""},{"dropping-particle":"","family":"Prasad","given":"Meera","non-dropping-particle":"","parse-names":false,"suffix":""},{"dropping-particle":"","family":"Syed","given":"Mustafa H","non-dropping-particle":"","parse-names":false,"suffix":""},{"dropping-particle":"","family":"Rema","given":"Anoop Balakrishnan","non-dropping-particle":"","parse-names":false,"suffix":""},{"dropping-particle":"","family":"Liu","given":"Zhen Y","non-dropping-particle":"","parse-names":false,"suffix":""},{"dropping-particle":"","family":"Nafa","given":"Khedoudja","non-dropping-particle":"","parse-names":false,"suffix":""},{"dropping-particle":"","family":"Borsu","given":"Laetitia","non-dropping-particle":"","parse-names":false,"suffix":""},{"dropping-particle":"","family":"Sadowska","given":"Justyna","non-dropping-particle":"","parse-names":false,"suffix":""},{"dropping-particle":"","family":"Casanova","given":"Jacklyn","non-dropping-particle":"","parse-names":false,"suffix":""},{"dropping-particle":"","family":"Bacares","given":"Ruben","non-dropping-particle":"","parse-names":false,"suffix":""},{"dropping-particle":"","family":"Kiecka","given":"Iwona J","non-dropping-particle":"","parse-names":false,"suffix":""},{"dropping-particle":"","family":"Razumova","given":"Anna","non-dropping-particle":"","parse-names":false,"suffix":""},{"dropping-particle":"","family":"Son","given":"Julie B","non-dropping-particle":"","parse-names":false,"suffix":""},{"dropping-particle":"","family":"Stewart","given":"Lisa","non-dropping-particle":"","parse-names":false,"suffix":""},{"dropping-particle":"","family":"Baldi","given":"Tessara","non-dropping-particle":"","parse-names":false,"suffix":""},{"dropping-particle":"","family":"Mullaney","given":"Kerry A","non-dropping-particle":"","parse-names":false,"suffix":""},{"dropping-particle":"","family":"Al-Ahmadie","given":"Hikmat","non-dropping-particle":"","parse-names":false,"suffix":""},{"dropping-particle":"","family":"Vakiani","given":"Efsevia","non-dropping-particle":"","parse-names":false,"suffix":""},{"dropping-particle":"","family":"Abeshouse","given":"Adam A","non-dropping-particle":"","parse-names":false,"suffix":""},{"dropping-particle":"V","family":"Penson","given":"Alexander","non-dropping-particle":"","parse-names":false,"suffix":""},{"dropping-particle":"","family":"Jonsson","given":"Philip","non-dropping-particle":"","parse-names":false,"suffix":""},{"dropping-particle":"","family":"Camacho","given":"Niedzica","non-dropping-particle":"","parse-names":false,"suffix":""},{"dropping-particle":"","family":"Chang","given":"Matthew T","non-dropping-particle":"","parse-names":false,"suffix":""},{"dropping-particle":"","family":"Won","given":"Helen H","non-dropping-particle":"","parse-names":false,"suffix":""},{"dropping-particle":"","family":"Gross","given":"Benjamin E","non-dropping-particle":"","parse-names":false,"suffix":""},{"dropping-particle":"","family":"Kundra","given":"Ritika","non-dropping-particle":"","parse-names":false,"suffix":""},{"dropping-particle":"","family":"Heins","given":"Zachary J","non-dropping-particle":"","parse-names":false,"suffix":""},{"dropping-particle":"","family":"Chen","given":"Hsiao-Wei","non-dropping-particle":"","parse-names":false,"suffix":""},{"dropping-particle":"","family":"Phillips","given":"Sarah","non-dropping-particle":"","parse-names":false,"suffix":""},{"dropping-particle":"","family":"Zhang","given":"Hongxin","non-dropping-particle":"","parse-names":false,"suffix":""},{"dropping-particle":"","family":"Wang","given":"Jiaojiao","non-dropping-particle":"","parse-names":false,"suffix":""},{"dropping-particle":"","family":"Ochoa","given":"Angelica","non-dropping-particle":"","parse-names":false,"suffix":""},{"dropping-particle":"","family":"Wills","given":"Jonathan","non-dropping-particle":"","parse-names":false,"suffix":""},{"dropping-particle":"","family":"Eubank","given":"Michael","non-dropping-particle":"","parse-names":false,"suffix":""},{"dropping-particle":"","family":"Thomas","given":"Stacy B","non-dropping-particle":"","parse-names":false,"suffix":""},{"dropping-particle":"","family":"Gardos","given":"Stuart M","non-dropping-particle":"","parse-names":false,"suffix":""},{"dropping-particle":"","family":"Reales","given":"Dalicia N","non-dropping-particle":"","parse-names":false,"suffix":""},{"dropping-particle":"","family":"Galle","given":"Jesse","non-dropping-particle":"","parse-names":false,"suffix":""},{"dropping-particle":"","family":"Durany","given":"Robert","non-dropping-particle":"","parse-names":false,"suffix":""},{"dropping-particle":"","family":"Cambria","given":"Roy","non-dropping-particle":"","parse-names":false,"suffix":""},{"dropping-particle":"","family":"Abida","given":"Wassim","non-dropping-particle":"","parse-names":false,"suffix":""},{"dropping-particle":"","family":"Cercek","given":"Andrea","non-dropping-particle":"","parse-names":false,"suffix":""},{"dropping-particle":"","family":"Feldman","given":"Darren R","non-dropping-particle":"","parse-names":false,"suffix":""},{"dropping-particle":"","family":"Gounder","given":"Mrinal M","non-dropping-particle":"","parse-names":false,"suffix":""},{"dropping-particle":"","family":"Hakimi","given":"A Ari","non-dropping-particle":"","parse-names":false,"suffix":""},{"dropping-particle":"","family":"Harding","given":"James J","non-dropping-particle":"","parse-names":false,"suffix":""},{"dropping-particle":"","family":"Iyer","given":"Gopa","non-dropping-particle":"","parse-names":false,"suffix":""},{"dropping-particle":"","family":"Janjigian","given":"Yelena Y","non-dropping-particle":"","parse-names":false,"suffix":""},{"dropping-particle":"","family":"Jordan","given":"Emmet J","non-dropping-particle":"","parse-names":false,"suffix":""},{"dropping-particle":"","family":"Kelly","given":"Ciara M","non-dropping-particle":"","parse-names":false,"suffix":""},{"dropping-particle":"","family":"Lowery","given":"Maeve A","non-dropping-particle":"","parse-names":false,"suffix":""},{"dropping-particle":"","family":"Morris","given":"Luc G T","non-dropping-particle":"","parse-names":false,"suffix":""},{"dropping-particle":"","family":"Omuro","given":"Antonio M","non-dropping-particle":"","parse-names":false,"suffix":""},{"dropping-particle":"","family":"Raj","given":"Nitya","non-dropping-particle":"","parse-names":false,"suffix":""},{"dropping-particle":"","family":"Razavi","given":"Pedram","non-dropping-particle":"","parse-names":false,"suffix":""},{"dropping-particle":"","family":"Shoushtari","given":"Alexander N","non-dropping-particle":"","parse-names":false,"suffix":""},{"dropping-particle":"","family":"Shukla","given":"Neerav","non-dropping-particle":"","parse-names":false,"suffix":""},{"dropping-particle":"","family":"Soumerai","given":"Tara E","non-dropping-particle":"","parse-names":false,"suffix":""},{"dropping-particle":"","family":"Varghese","given":"Anna M","non-dropping-particle":"","parse-names":false,"suffix":""},{"dropping-particle":"","family":"Yaeger","given":"Rona","non-dropping-particle":"","parse-names":false,"suffix":""},{"dropping-particle":"","family":"Coleman","given":"Jonathan","non-dropping-particle":"","parse-names":false,"suffix":""},{"dropping-particle":"","family":"Bochner","given":"Bernard","non-dropping-particle":"","parse-names":false,"suffix":""},{"dropping-particle":"","family":"Riely","given":"Gregory J","non-dropping-particle":"","parse-names":false,"suffix":""},{"dropping-particle":"","family":"Saltz","given":"Leonard B","non-dropping-particle":"","parse-names":false,"suffix":""},{"dropping-particle":"","family":"Scher","given":"Howard I","non-dropping-particle":"","parse-names":false,"suffix":""},{"dropping-particle":"","family":"Sabbatini","given":"Paul J","non-dropping-particle":"","parse-names":false,"suffix":""},{"dropping-particle":"","family":"Robson","given":"Mark E","non-dropping-particle":"","parse-names":false,"suffix":""},{"dropping-particle":"","family":"Klimstra","given":"David S","non-dropping-particle":"","parse-names":false,"suffix":""},{"dropping-particle":"","family":"Taylor","given":"Barry S","non-dropping-particle":"","parse-names":false,"suffix":""},{"dropping-particle":"","family":"Baselga","given":"Jose","non-dropping-particle":"","parse-names":false,"suffix":""},{"dropping-particle":"","family":"Schultz","given":"Nikolaus","non-dropping-particle":"","parse-names":false,"suffix":""},{"dropping-particle":"","family":"Hyman","given":"David M","non-dropping-particle":"","parse-names":false,"suffix":""},{"dropping-particle":"","family":"Arcila","given":"Maria E","non-dropping-particle":"","parse-names":false,"suffix":""},{"dropping-particle":"","family":"Solit","given":"David B","non-dropping-particle":"","parse-names":false,"suffix":""},{"dropping-particle":"","family":"Ladanyi","given":"Marc","non-dropping-particle":"","parse-names":false,"suffix":""},{"dropping-particle":"","family":"Berger","given":"Michael F","non-dropping-particle":"","parse-names":false,"suffix":""}],"container-title":"Nat Med","id":"ITEM-1","issued":{"date-parts":[["2017"]]},"page":"703-713","title":"Mutational landscape of metastatic cancer revealed from prospective clinical sequencing of 10,000 patients","type":"article-journal","volume":"23"},"uris":["http://www.mendeley.com/documents/?uuid=eb15391e-81a7-4765-8f83-de9b2b720a0a"]}],"mendeley":{"formattedCitation":"&lt;sup&gt;6&lt;/sup&gt;","plainTextFormattedCitation":"6","previouslyFormattedCitation":"&lt;sup&gt;6&lt;/sup&gt;"},"properties":{"noteIndex":0},"schema":"https://github.com/citation-style-language/schema/raw/master/csl-citation.json"}</w:instrText>
      </w:r>
      <w:r w:rsidRPr="0078112F">
        <w:rPr>
          <w:rStyle w:val="FootnoteReference"/>
        </w:rPr>
        <w:fldChar w:fldCharType="separate"/>
      </w:r>
      <w:r w:rsidRPr="002538B5">
        <w:rPr>
          <w:bCs/>
          <w:noProof/>
          <w:vertAlign w:val="superscript"/>
        </w:rPr>
        <w:t>6</w:t>
      </w:r>
      <w:r w:rsidRPr="0078112F">
        <w:rPr>
          <w:rStyle w:val="FootnoteReference"/>
        </w:rPr>
        <w:fldChar w:fldCharType="end"/>
      </w:r>
      <w:r w:rsidRPr="0078112F">
        <w:t xml:space="preserve"> blood sequencing results. Several months may have passed between the CH and IMAPCT blood draws (max. 12 months). 208 variants were analyzed, and 197 variants were correctly detected (94.71%). Concordance between the variant VAFs was high (</w:t>
      </w:r>
      <w:proofErr w:type="gramStart"/>
      <w:r w:rsidRPr="0078112F">
        <w:t>adj.R</w:t>
      </w:r>
      <w:proofErr w:type="gramEnd"/>
      <w:r w:rsidRPr="0078112F">
        <w:rPr>
          <w:vertAlign w:val="superscript"/>
        </w:rPr>
        <w:t>2</w:t>
      </w:r>
      <w:r w:rsidRPr="0078112F">
        <w:t xml:space="preserve"> = 0.891) and is shown in Figure 1 E. </w:t>
      </w:r>
    </w:p>
    <w:p w14:paraId="6EB88BA4" w14:textId="77777777" w:rsidR="002538B5" w:rsidRPr="0078112F" w:rsidRDefault="002538B5" w:rsidP="002538B5">
      <w:pPr>
        <w:jc w:val="both"/>
      </w:pPr>
    </w:p>
    <w:p w14:paraId="38D1F436" w14:textId="77777777" w:rsidR="002538B5" w:rsidRPr="0078112F" w:rsidRDefault="002538B5" w:rsidP="002538B5">
      <w:pPr>
        <w:jc w:val="both"/>
      </w:pPr>
      <w:r w:rsidRPr="0078112F">
        <w:t>High Depth – Limit of Blank</w:t>
      </w:r>
    </w:p>
    <w:p w14:paraId="6992892A" w14:textId="77777777" w:rsidR="002538B5" w:rsidRPr="0078112F" w:rsidRDefault="002538B5" w:rsidP="002538B5">
      <w:pPr>
        <w:jc w:val="both"/>
      </w:pPr>
      <w:r w:rsidRPr="0078112F">
        <w:lastRenderedPageBreak/>
        <w:t xml:space="preserve">A total of 23 clinical samples were tested and 63 positive calls were observed, including 3 hotspot calls. Mean Distinct Coverage was 3870X. Specificity (NPA) was 99.995% for all variants and 99.978% for hotspot variants. </w:t>
      </w:r>
    </w:p>
    <w:p w14:paraId="35A51063" w14:textId="77777777" w:rsidR="002538B5" w:rsidRPr="0078112F" w:rsidRDefault="002538B5" w:rsidP="002538B5">
      <w:pPr>
        <w:jc w:val="both"/>
      </w:pPr>
    </w:p>
    <w:p w14:paraId="187270AC" w14:textId="77777777" w:rsidR="002538B5" w:rsidRPr="0078112F" w:rsidRDefault="002538B5" w:rsidP="002538B5">
      <w:pPr>
        <w:jc w:val="both"/>
      </w:pPr>
      <w:r w:rsidRPr="0078112F">
        <w:t xml:space="preserve">High Depth – Theoretical Limit of Detection </w:t>
      </w:r>
    </w:p>
    <w:p w14:paraId="79592DA1" w14:textId="77777777" w:rsidR="002538B5" w:rsidRPr="0078112F" w:rsidRDefault="002538B5" w:rsidP="002538B5">
      <w:pPr>
        <w:jc w:val="both"/>
      </w:pPr>
      <w:r w:rsidRPr="0078112F">
        <w:t xml:space="preserve">The 95% confidence levels for the </w:t>
      </w:r>
      <w:proofErr w:type="spellStart"/>
      <w:r w:rsidRPr="0078112F">
        <w:t>probit</w:t>
      </w:r>
      <w:proofErr w:type="spellEnd"/>
      <w:r w:rsidRPr="0078112F">
        <w:t xml:space="preserve"> fit were between 0.3-0.6% VAF. The LOD of each single base substitution (SBS) category is represented in Table 1. </w:t>
      </w:r>
    </w:p>
    <w:p w14:paraId="6D386DB3" w14:textId="77777777" w:rsidR="002538B5" w:rsidRPr="0078112F" w:rsidRDefault="002538B5" w:rsidP="002538B5">
      <w:pPr>
        <w:jc w:val="both"/>
      </w:pPr>
    </w:p>
    <w:p w14:paraId="28D561BE" w14:textId="77777777" w:rsidR="002538B5" w:rsidRPr="0078112F" w:rsidRDefault="002538B5" w:rsidP="002538B5">
      <w:pPr>
        <w:jc w:val="both"/>
      </w:pPr>
      <w:r w:rsidRPr="0078112F">
        <w:t>High Depth – Experimental Limit of Detection</w:t>
      </w:r>
    </w:p>
    <w:p w14:paraId="1D13774A" w14:textId="77777777" w:rsidR="002538B5" w:rsidRPr="0078112F" w:rsidRDefault="002538B5" w:rsidP="002538B5">
      <w:pPr>
        <w:jc w:val="both"/>
      </w:pPr>
      <w:r w:rsidRPr="0078112F">
        <w:t xml:space="preserve">73% of variants were correctly called at 0.3% VAF and 100% were correctly called at 0.4% VAF. (Figure 1 B and D). Of the 4 missed at 0.3%, 2 were indels and 2 were G&gt;A substitutions. This finding is </w:t>
      </w:r>
      <w:proofErr w:type="gramStart"/>
      <w:r w:rsidRPr="0078112F">
        <w:t>similar to</w:t>
      </w:r>
      <w:proofErr w:type="gramEnd"/>
      <w:r w:rsidRPr="0078112F">
        <w:t xml:space="preserve"> the predicted LOD from the </w:t>
      </w:r>
      <w:proofErr w:type="spellStart"/>
      <w:r w:rsidRPr="0078112F">
        <w:t>probit</w:t>
      </w:r>
      <w:proofErr w:type="spellEnd"/>
      <w:r w:rsidRPr="0078112F">
        <w:t xml:space="preserve"> fit (Table 1). </w:t>
      </w:r>
    </w:p>
    <w:p w14:paraId="0ED40D61" w14:textId="77777777" w:rsidR="002538B5" w:rsidRPr="0078112F" w:rsidRDefault="002538B5" w:rsidP="002538B5">
      <w:pPr>
        <w:jc w:val="both"/>
      </w:pPr>
    </w:p>
    <w:p w14:paraId="7811FE41" w14:textId="77777777" w:rsidR="002538B5" w:rsidRPr="0078112F" w:rsidRDefault="002538B5" w:rsidP="002538B5">
      <w:pPr>
        <w:jc w:val="both"/>
      </w:pPr>
      <w:r w:rsidRPr="0078112F">
        <w:t>High Depth – Precision and Reproducibility</w:t>
      </w:r>
    </w:p>
    <w:p w14:paraId="6553F068" w14:textId="77777777" w:rsidR="002538B5" w:rsidRPr="0078112F" w:rsidRDefault="002538B5" w:rsidP="002538B5">
      <w:pPr>
        <w:jc w:val="both"/>
      </w:pPr>
      <w:r w:rsidRPr="0078112F">
        <w:t xml:space="preserve">A total of 14 individual variants were evaluated for the precision analysis and 16 were evaluated for reproducibility. In the precision study a success rate of 100% (14/14) was achieved. Overall reproducibility was 100% (16/16) (Table 2). Tight standard deviations were observed for precision and reproducibility, varying from 0.21% - 1.63% and 0% - 1.84%, respectively. </w:t>
      </w:r>
    </w:p>
    <w:p w14:paraId="603ABC17" w14:textId="77777777" w:rsidR="002538B5" w:rsidRPr="0078112F" w:rsidRDefault="002538B5" w:rsidP="002538B5">
      <w:pPr>
        <w:jc w:val="both"/>
      </w:pPr>
    </w:p>
    <w:p w14:paraId="484EB74A" w14:textId="77777777" w:rsidR="002538B5" w:rsidRPr="0078112F" w:rsidRDefault="002538B5" w:rsidP="002538B5">
      <w:pPr>
        <w:jc w:val="both"/>
      </w:pPr>
      <w:r w:rsidRPr="0078112F">
        <w:t xml:space="preserve">High Depth – Accuracy and Concordance with </w:t>
      </w:r>
      <w:r>
        <w:t>MSK-</w:t>
      </w:r>
      <w:r w:rsidRPr="0078112F">
        <w:t>IMPACT</w:t>
      </w:r>
    </w:p>
    <w:p w14:paraId="0EDA722B" w14:textId="77777777" w:rsidR="002538B5" w:rsidRPr="0078112F" w:rsidRDefault="002538B5" w:rsidP="002538B5">
      <w:pPr>
        <w:jc w:val="both"/>
      </w:pPr>
      <w:r w:rsidRPr="0078112F">
        <w:t xml:space="preserve">17 clinical samples were compared with </w:t>
      </w:r>
      <w:r>
        <w:t>MSK-</w:t>
      </w:r>
      <w:r w:rsidRPr="0078112F">
        <w:t>IMPACT blood sequencing results. Several months may have passed between the CH and IMAPCT blood draws (max. 12 months). 39 variants were analyzed, and all variants were correctly detected (100%). Concordance between the tests was high (</w:t>
      </w:r>
      <w:proofErr w:type="gramStart"/>
      <w:r w:rsidRPr="0078112F">
        <w:t>adj.R</w:t>
      </w:r>
      <w:proofErr w:type="gramEnd"/>
      <w:r w:rsidRPr="0078112F">
        <w:rPr>
          <w:vertAlign w:val="superscript"/>
        </w:rPr>
        <w:t>2</w:t>
      </w:r>
      <w:r w:rsidRPr="0078112F">
        <w:t xml:space="preserve"> = 0.929) and is shown in Figure 1 F. </w:t>
      </w:r>
    </w:p>
    <w:p w14:paraId="6D5A9EC1" w14:textId="77777777" w:rsidR="002538B5" w:rsidRPr="00496A59" w:rsidRDefault="002538B5" w:rsidP="002538B5">
      <w:pPr>
        <w:jc w:val="both"/>
        <w:rPr>
          <w:b/>
          <w:bCs/>
        </w:rPr>
      </w:pPr>
    </w:p>
    <w:p w14:paraId="488948B9" w14:textId="77777777" w:rsidR="002538B5" w:rsidRPr="00496A59" w:rsidRDefault="002538B5" w:rsidP="002538B5">
      <w:pPr>
        <w:jc w:val="both"/>
        <w:rPr>
          <w:b/>
          <w:bCs/>
        </w:rPr>
      </w:pPr>
    </w:p>
    <w:p w14:paraId="55B7CFBA" w14:textId="77777777" w:rsidR="002538B5" w:rsidRDefault="002538B5" w:rsidP="002538B5">
      <w:pPr>
        <w:jc w:val="both"/>
        <w:rPr>
          <w:b/>
          <w:bCs/>
        </w:rPr>
      </w:pPr>
      <w:r w:rsidRPr="00496A59">
        <w:rPr>
          <w:b/>
          <w:bCs/>
        </w:rPr>
        <w:t>Background error assessment and confidence score</w:t>
      </w:r>
    </w:p>
    <w:p w14:paraId="07A8E957" w14:textId="77777777" w:rsidR="002538B5" w:rsidRDefault="002538B5" w:rsidP="002538B5">
      <w:pPr>
        <w:jc w:val="both"/>
        <w:rPr>
          <w:b/>
          <w:bCs/>
        </w:rPr>
      </w:pPr>
    </w:p>
    <w:p w14:paraId="760C6F1E" w14:textId="3F1B0BDD" w:rsidR="002538B5" w:rsidRPr="0078112F" w:rsidRDefault="002538B5" w:rsidP="002538B5">
      <w:pPr>
        <w:jc w:val="both"/>
      </w:pPr>
      <w:r w:rsidRPr="0078112F">
        <w:t>Evaluating whole-blood clinical samples from normal controls, we identified a signature of low frequency background single base substitution (SBS) errors across samples that was present after consensus collapse of redundant paired-end sequences. These dominant SBS errors were consistent with previous reports of low frequency DNA noise signatures</w:t>
      </w:r>
      <w:r w:rsidRPr="0078112F">
        <w:rPr>
          <w:rStyle w:val="FootnoteReference"/>
        </w:rPr>
        <w:fldChar w:fldCharType="begin" w:fldLock="1"/>
      </w:r>
      <w:r>
        <w:instrText>ADDIN CSL_CITATION {"citationItems":[{"id":"ITEM-1","itemData":{"DOI":"10.1126/science.aai8690","ISSN":"10959203","abstract":"Mutations in somatic cells generate a heterogeneous genomic population and may result in serious medical conditions. Although cancer is typically associated with somatic variations, advances in DNA sequencing indicate that cell-specific variants affect a number of phenotypes and pathologies. Here, we show that mutagenic damage accounts for the majority of the erroneous identification of variants with low to moderate (1 to 5%) frequency. More important, we found signatures of damage in most sequencing data sets in widely used resources, including the 1000 Genomes Project and The Cancer Genome Atlas, establishing damage as a pervasive cause of sequencing errors. The extent of this damage directly confounds the determination of somatic variants in these data sets.","author":[{"dropping-particle":"","family":"Chen","given":"Lixin","non-dropping-particle":"","parse-names":false,"suffix":""},{"dropping-particle":"","family":"Liu","given":"Pingfang","non-dropping-particle":"","parse-names":false,"suffix":""},{"dropping-particle":"","family":"Evans","given":"Thomas C.","non-dropping-particle":"","parse-names":false,"suffix":""},{"dropping-particle":"","family":"Ettwiller","given":"Laurence M.","non-dropping-particle":"","parse-names":false,"suffix":""}],"container-title":"Science","id":"ITEM-1","issue":"6326","issued":{"date-parts":[["2017","2","17"]]},"page":"752-756","publisher":"American Association for the Advancement of Science","title":"DNA damage is a pervasive cause of sequencing errors, directly confounding variant identification","type":"article-journal","volume":"355"},"uris":["http://www.mendeley.com/documents/?uuid=f6b5a732-89c8-301c-9af2-940e1d357c29"]},{"id":"ITEM-2","itemData":{"DOI":"10.1038/nbt.3520","ISSN":"1087-0156","abstract":"High-throughput sequencing of circulating tumor DNA (ctDNA) promises to facilitate personalized cancer therapy. However, low quantities of cell-free DNA (cfDNA) in the blood and sequencing artifacts currently limit analytical sensitivity. To overcome these limitations, we introduce an approach for integrated digital error suppression (iDES). Our method combines in silico elimination of highly stereotypical background artifacts with a molecular barcoding strategy for the efficient recovery of cfDNA molecules. Individually, these two methods each improve the sensitivity of cancer personalized profiling by deep sequencing (CAPP-Seq) by about threefold, and synergize when combined to yield approximately 15-fold improvements. As a result, iDES-enhanced CAPP-Seq facilitates noninvasive variant detection across hundreds of kilobases. Applied to non-small cell lung cancer (NSCLC) patients, our method enabled biopsy-free profiling of EGFR kinase domain mutations with 92% sensitivity and &gt;99.99% specificity at the variant level, and with 90% sensitivity and 96% specificity at the patient level. In addition, our approach allowed monitoring of NSCLC ctDNA down to 4 in 10(5) cfDNA molecules. We anticipate that iDES will aid the noninvasive genotyping and detection of ctDNA in research and clinical settings.","author":[{"dropping-particle":"","family":"Newman","given":"A M","non-dropping-particle":"","parse-names":false,"suffix":""},{"dropping-particle":"","family":"Lovejoy","given":"A F","non-dropping-particle":"","parse-names":false,"suffix":""},{"dropping-particle":"","family":"Klass","given":"D M","non-dropping-particle":"","parse-names":false,"suffix":""},{"dropping-particle":"","family":"Kurtz","given":"D M","non-dropping-particle":"","parse-names":false,"suffix":""},{"dropping-particle":"","family":"Chabon","given":"J J","non-dropping-particle":"","parse-names":false,"suffix":""},{"dropping-particle":"","family":"Scherer","given":"F","non-dropping-particle":"","parse-names":false,"suffix":""},{"dropping-particle":"","family":"Stehr","given":"H","non-dropping-particle":"","parse-names":false,"suffix":""},{"dropping-particle":"","family":"Liu","given":"C L","non-dropping-particle":"","parse-names":false,"suffix":""},{"dropping-particle":"V","family":"Bratman","given":"S","non-dropping-particle":"","parse-names":false,"suffix":""},{"dropping-particle":"","family":"Say","given":"C","non-dropping-particle":"","parse-names":false,"suffix":""},{"dropping-particle":"","family":"Zhou","given":"L","non-dropping-particle":"","parse-names":false,"suffix":""},{"dropping-particle":"","family":"Carter","given":"J N","non-dropping-particle":"","parse-names":false,"suffix":""},{"dropping-particle":"","family":"West","given":"R B","non-dropping-particle":"","parse-names":false,"suffix":""},{"dropping-particle":"","family":"Sledge","given":"G W","non-dropping-particle":"","parse-names":false,"suffix":""},{"dropping-particle":"","family":"Shrager","given":"J B","non-dropping-particle":"","parse-names":false,"suffix":""},{"dropping-particle":"","family":"Loo  Jr.","given":"B W","non-dropping-particle":"","parse-names":false,"suffix":""},{"dropping-particle":"","family":"Neal","given":"J W","non-dropping-particle":"","parse-names":false,"suffix":""},{"dropping-particle":"","family":"Wakelee","given":"H A","non-dropping-particle":"","parse-names":false,"suffix":""},{"dropping-particle":"","family":"Diehn","given":"M","non-dropping-particle":"","parse-names":false,"suffix":""},{"dropping-particle":"","family":"Alizadeh","given":"A A","non-dropping-particle":"","parse-names":false,"suffix":""}],"container-title":"Nat Biotechnol","edition":"2016/03/29","id":"ITEM-2","issue":"5","issued":{"date-parts":[["2016"]]},"language":"eng","note":"1546-1696\nNewman, Aaron M\nLovejoy, Alexander F\nKlass, Daniel M\nKurtz, David M\nChabon, Jacob J\nScherer, Florian\nStehr, Henning\nLiu, Chih Long\nBratman, Scott V\nSay, Carmen\nZhou, Li\nCarter, Justin N\nWest, Robert B\nSledge, George W\nShrager, Joseph B\nLoo, Billy W Jr\nNeal, Joel W\nWakelee, Heather A\nDiehn, Maximilian\nAlizadeh, Ash A\nDP2 CA186569/CA/NCI NIH HHS/United States\nT32 CA009302/CA/NCI NIH HHS/United States\nCI-71-14/Damon Runyon Cancer Research Foundation/United States\nU01 CA194389/CA/NCI NIH HHS/United States\nU01 CA152662/CA/NCI NIH HHS/United States\nK99 CA187192/CA/NCI NIH HHS/United States\nU01 CA196405/CA/NCI NIH HHS/United States\nR01 CA188298/CA/NCI NIH HHS/United States\nJournal Article\nUnited States\nNat Biotechnol. 2016 May;34(5):547-555. doi: 10.1038/nbt.3520. Epub 2016 Mar 28.","page":"547-555","publisher-place":"Institute for Stem Cell Biology and Regenerative Medicine, Stanford University, Stanford, California, USA. Division of Oncology, Department of Medicine, Stanford Cancer Institute, Stanford University, Stanford, California, USA. Department of Radiation Onc","title":"Integrated digital error suppression for improved detection of circulating tumor DNA","type":"article-journal","volume":"34"},"uris":["http://www.mendeley.com/documents/?uuid=373a1718-5938-422e-bccc-2918026d025b"]}],"mendeley":{"formattedCitation":"&lt;sup&gt;7,8&lt;/sup&gt;","plainTextFormattedCitation":"7,8","previouslyFormattedCitation":"&lt;sup&gt;7,8&lt;/sup&gt;"},"properties":{"noteIndex":0},"schema":"https://github.com/citation-style-language/schema/raw/master/csl-citation.json"}</w:instrText>
      </w:r>
      <w:r w:rsidRPr="0078112F">
        <w:rPr>
          <w:rStyle w:val="FootnoteReference"/>
        </w:rPr>
        <w:fldChar w:fldCharType="separate"/>
      </w:r>
      <w:r w:rsidRPr="002538B5">
        <w:rPr>
          <w:bCs/>
          <w:noProof/>
          <w:vertAlign w:val="superscript"/>
        </w:rPr>
        <w:t>7,8</w:t>
      </w:r>
      <w:r w:rsidRPr="0078112F">
        <w:rPr>
          <w:rStyle w:val="FootnoteReference"/>
        </w:rPr>
        <w:fldChar w:fldCharType="end"/>
      </w:r>
      <w:r w:rsidRPr="0078112F">
        <w:t xml:space="preserve">, and thus we sought to develop a methodology for </w:t>
      </w:r>
      <w:r w:rsidRPr="0078112F">
        <w:rPr>
          <w:i/>
          <w:iCs/>
        </w:rPr>
        <w:t xml:space="preserve">in silico </w:t>
      </w:r>
      <w:r w:rsidRPr="0078112F">
        <w:t>filtering of these errors. Aggregating low frequency SBS errors into a sample-wide background score and adjusting for total distinct coverage, we found that this score sufficiently captured the variation observed in error signatures. We next developed a logistic regression model that adjusts for background score and individual variant characteristics including mutation type (SBS specific change or indel status), variant depth and mutant allele fraction to generate a variant specific confidence score for the likelihood that a mutation is reproducible above background levels.</w:t>
      </w:r>
    </w:p>
    <w:p w14:paraId="560FBACC" w14:textId="77777777" w:rsidR="002538B5" w:rsidRPr="00496A59" w:rsidRDefault="002538B5" w:rsidP="002538B5">
      <w:pPr>
        <w:jc w:val="both"/>
        <w:rPr>
          <w:b/>
          <w:bCs/>
        </w:rPr>
      </w:pPr>
    </w:p>
    <w:p w14:paraId="347E0957" w14:textId="77777777" w:rsidR="002538B5" w:rsidRPr="00496A59" w:rsidRDefault="002538B5" w:rsidP="002538B5">
      <w:pPr>
        <w:jc w:val="both"/>
        <w:rPr>
          <w:b/>
          <w:bCs/>
        </w:rPr>
      </w:pPr>
    </w:p>
    <w:p w14:paraId="6239114A" w14:textId="334FAABB" w:rsidR="002538B5" w:rsidRDefault="002538B5" w:rsidP="002538B5">
      <w:pPr>
        <w:jc w:val="both"/>
        <w:rPr>
          <w:b/>
          <w:bCs/>
        </w:rPr>
      </w:pPr>
      <w:r w:rsidRPr="00496A59">
        <w:rPr>
          <w:b/>
          <w:bCs/>
        </w:rPr>
        <w:t>Performance on two different sequencing platforms</w:t>
      </w:r>
    </w:p>
    <w:p w14:paraId="4259370C" w14:textId="77777777" w:rsidR="002538B5" w:rsidRDefault="002538B5" w:rsidP="002538B5">
      <w:pPr>
        <w:jc w:val="both"/>
        <w:rPr>
          <w:b/>
          <w:bCs/>
        </w:rPr>
      </w:pPr>
    </w:p>
    <w:p w14:paraId="73A1A82A" w14:textId="3DCE803D" w:rsidR="002538B5" w:rsidRDefault="002538B5" w:rsidP="002538B5">
      <w:pPr>
        <w:jc w:val="both"/>
      </w:pPr>
      <w:r w:rsidRPr="0078112F">
        <w:t xml:space="preserve">18 CH sample libraries were sequenced by both Illumina and Complete Genomics. 44 mutations were identified in the Illumina run and 39 were identified in the Complete Genomics run. 77.3% of the mutations found by Illumina sequencing were recapitulated in the Complete Genomics </w:t>
      </w:r>
      <w:r w:rsidRPr="0078112F">
        <w:lastRenderedPageBreak/>
        <w:t>results (34 mutations total). The missing mutations were of low VAF (Figure 2 A), likely the relatively low mean distinct coverage (495.4X and 313.0X in Complete Genomics and Illumina, respectively) lead to unreliable variant calling at these levels. Despite this discrepancy, the correlation between methods was high (</w:t>
      </w:r>
      <w:proofErr w:type="gramStart"/>
      <w:r w:rsidRPr="0078112F">
        <w:t>adj.R</w:t>
      </w:r>
      <w:proofErr w:type="gramEnd"/>
      <w:r w:rsidRPr="0078112F">
        <w:rPr>
          <w:vertAlign w:val="superscript"/>
        </w:rPr>
        <w:t>2</w:t>
      </w:r>
      <w:r w:rsidRPr="0078112F">
        <w:t xml:space="preserve"> = 0.95, p &lt; 2.2e-16) (Figure 2 A)</w:t>
      </w:r>
      <w:r>
        <w:t xml:space="preserve"> leading us to conclude that </w:t>
      </w:r>
      <w:r w:rsidRPr="0078112F">
        <w:t xml:space="preserve">Complete Genomics is equivalent to Illumina </w:t>
      </w:r>
      <w:r>
        <w:t xml:space="preserve">in terms of calling variants. </w:t>
      </w:r>
    </w:p>
    <w:p w14:paraId="1BBD472D" w14:textId="77777777" w:rsidR="002538B5" w:rsidRDefault="002538B5" w:rsidP="002538B5">
      <w:pPr>
        <w:jc w:val="both"/>
      </w:pPr>
    </w:p>
    <w:p w14:paraId="56179900" w14:textId="5C3F7318" w:rsidR="009E46C0" w:rsidRPr="008932E2" w:rsidRDefault="002538B5" w:rsidP="002538B5">
      <w:pPr>
        <w:jc w:val="both"/>
      </w:pPr>
      <w:r w:rsidRPr="0078112F">
        <w:t>Using our background error score, Complete Genomics had 2X higher error score levels than the same libraries sequenced on the Illumina platform (Figure 2 B). The correlation between methods was reasonably high (</w:t>
      </w:r>
      <w:proofErr w:type="gramStart"/>
      <w:r w:rsidRPr="0078112F">
        <w:t>adj.R</w:t>
      </w:r>
      <w:proofErr w:type="gramEnd"/>
      <w:r w:rsidRPr="0078112F">
        <w:rPr>
          <w:vertAlign w:val="superscript"/>
        </w:rPr>
        <w:t>2</w:t>
      </w:r>
      <w:r w:rsidRPr="0078112F">
        <w:t xml:space="preserve"> = 0.81), indicating a portion of the error, the portion observed across both platforms, was likely the result of sample processing through extraction, library generation, PCR or other upstream processes prior to sequencing. The </w:t>
      </w:r>
      <w:proofErr w:type="spellStart"/>
      <w:r w:rsidRPr="0078112F">
        <w:t>Phred</w:t>
      </w:r>
      <w:proofErr w:type="spellEnd"/>
      <w:r w:rsidRPr="0078112F">
        <w:t xml:space="preserve"> Quality scores, an indicator of the quality of the sequence data, were high in both sequencing types. Though the Illumina </w:t>
      </w:r>
      <w:proofErr w:type="spellStart"/>
      <w:r w:rsidRPr="0078112F">
        <w:t>Phred</w:t>
      </w:r>
      <w:proofErr w:type="spellEnd"/>
      <w:r w:rsidRPr="0078112F">
        <w:t xml:space="preserve"> Quality scores were higher than Complete Genomics, although Complete Genomics appeared to be more stable than Illumina (Figure 2 C). To further investigate the differences in error between sequencing types, we assessed the error rates from by each SBS type. 64,853 genomic positions were evaluated, and the mean distinct coverage was 181X. In all SBS types, except A&gt;G and T&gt;C, Complete Genomics had significantly higher error rates than Illumina (Figure 2 D)</w:t>
      </w:r>
      <w:r>
        <w:t xml:space="preserve">. Libraries were prepared for Illumina sequencing, then adapted for Complete Genomics through additional steps including adapter ligation and PCR, which is the likely cause for the differences in error rates observed here. </w:t>
      </w:r>
      <w:r w:rsidRPr="0078112F">
        <w:t xml:space="preserve">This </w:t>
      </w:r>
      <w:r>
        <w:t xml:space="preserve">difference in error profiles </w:t>
      </w:r>
      <w:r w:rsidRPr="0078112F">
        <w:t xml:space="preserve">was not affected by the difference in the depth of coverage (Supplementary Figure 1). </w:t>
      </w:r>
    </w:p>
    <w:p w14:paraId="439BCA59" w14:textId="77777777" w:rsidR="002538B5" w:rsidRPr="00496A59" w:rsidRDefault="002538B5" w:rsidP="002538B5">
      <w:pPr>
        <w:jc w:val="both"/>
        <w:rPr>
          <w:b/>
          <w:bCs/>
        </w:rPr>
      </w:pPr>
    </w:p>
    <w:p w14:paraId="4AAE9BE9" w14:textId="77777777" w:rsidR="002538B5" w:rsidRPr="0078112F" w:rsidRDefault="002538B5" w:rsidP="002538B5">
      <w:pPr>
        <w:rPr>
          <w:b/>
          <w:bCs/>
        </w:rPr>
      </w:pPr>
      <w:r w:rsidRPr="0078112F">
        <w:rPr>
          <w:b/>
          <w:bCs/>
        </w:rPr>
        <w:t>Supplementary Figures</w:t>
      </w:r>
    </w:p>
    <w:p w14:paraId="27A022D8" w14:textId="77777777" w:rsidR="002538B5" w:rsidRPr="0078112F" w:rsidRDefault="002538B5" w:rsidP="002538B5">
      <w:pPr>
        <w:rPr>
          <w:b/>
          <w:bCs/>
        </w:rPr>
      </w:pPr>
    </w:p>
    <w:p w14:paraId="0BC24103" w14:textId="0BEE4E48" w:rsidR="001607E0" w:rsidRPr="0078112F" w:rsidRDefault="001607E0" w:rsidP="001607E0">
      <w:pPr>
        <w:rPr>
          <w:b/>
          <w:bCs/>
        </w:rPr>
      </w:pPr>
      <w:r w:rsidRPr="0078112F">
        <w:rPr>
          <w:b/>
          <w:bCs/>
        </w:rPr>
        <w:t xml:space="preserve">Figure </w:t>
      </w:r>
      <w:r>
        <w:rPr>
          <w:b/>
          <w:bCs/>
        </w:rPr>
        <w:t>S</w:t>
      </w:r>
      <w:r w:rsidRPr="0078112F">
        <w:rPr>
          <w:b/>
          <w:bCs/>
        </w:rPr>
        <w:t>1. Limits of detection (</w:t>
      </w:r>
      <w:proofErr w:type="spellStart"/>
      <w:r w:rsidRPr="0078112F">
        <w:rPr>
          <w:b/>
          <w:bCs/>
        </w:rPr>
        <w:t>LoD</w:t>
      </w:r>
      <w:proofErr w:type="spellEnd"/>
      <w:r w:rsidRPr="0078112F">
        <w:rPr>
          <w:b/>
          <w:bCs/>
        </w:rPr>
        <w:t>) and accuracy at standard and high depth sequencing</w:t>
      </w:r>
    </w:p>
    <w:p w14:paraId="3644C4B1" w14:textId="77777777" w:rsidR="001607E0" w:rsidRPr="0078112F" w:rsidRDefault="001607E0" w:rsidP="001607E0">
      <w:r w:rsidRPr="0078112F">
        <w:rPr>
          <w:b/>
          <w:bCs/>
        </w:rPr>
        <w:t>(A)</w:t>
      </w:r>
      <w:r w:rsidRPr="0078112F">
        <w:t xml:space="preserve"> </w:t>
      </w:r>
      <w:proofErr w:type="spellStart"/>
      <w:r w:rsidRPr="0078112F">
        <w:t>LoD</w:t>
      </w:r>
      <w:proofErr w:type="spellEnd"/>
      <w:r w:rsidRPr="0078112F">
        <w:t xml:space="preserve"> for standard depth and </w:t>
      </w:r>
      <w:r w:rsidRPr="0078112F">
        <w:rPr>
          <w:b/>
          <w:bCs/>
        </w:rPr>
        <w:t>(B)</w:t>
      </w:r>
      <w:r w:rsidRPr="0078112F">
        <w:t xml:space="preserve"> high depth sequencing. </w:t>
      </w:r>
      <w:r w:rsidRPr="0078112F">
        <w:rPr>
          <w:b/>
          <w:bCs/>
        </w:rPr>
        <w:t>(C)</w:t>
      </w:r>
      <w:r w:rsidRPr="0078112F">
        <w:t xml:space="preserve"> Standard depth and</w:t>
      </w:r>
    </w:p>
    <w:p w14:paraId="073A8169" w14:textId="77777777" w:rsidR="001607E0" w:rsidRPr="0078112F" w:rsidRDefault="001607E0" w:rsidP="001607E0">
      <w:r w:rsidRPr="0078112F">
        <w:rPr>
          <w:b/>
          <w:bCs/>
        </w:rPr>
        <w:t>(D)</w:t>
      </w:r>
      <w:r w:rsidRPr="0078112F">
        <w:t xml:space="preserve"> High depth LOD limit of detection tests. Heatmaps depicting presence and absence of mutations in each run. Each box represents one sample. </w:t>
      </w:r>
      <w:r w:rsidRPr="0078112F">
        <w:rPr>
          <w:i/>
          <w:iCs/>
        </w:rPr>
        <w:t>Expected – expected VAF.</w:t>
      </w:r>
      <w:r w:rsidRPr="0078112F">
        <w:t xml:space="preserve">  </w:t>
      </w:r>
      <w:r w:rsidRPr="0078112F">
        <w:rPr>
          <w:b/>
          <w:bCs/>
        </w:rPr>
        <w:t>(E)</w:t>
      </w:r>
      <w:r w:rsidRPr="0078112F">
        <w:t xml:space="preserve"> Standard depth and </w:t>
      </w:r>
      <w:r w:rsidRPr="0078112F">
        <w:rPr>
          <w:b/>
          <w:bCs/>
        </w:rPr>
        <w:t>(F)</w:t>
      </w:r>
      <w:r w:rsidRPr="0078112F">
        <w:t xml:space="preserve"> High depth scatter plots showing high accuracy between MSK-IMPACT and CH Panel VAFs. </w:t>
      </w:r>
    </w:p>
    <w:p w14:paraId="6A835B14" w14:textId="77777777" w:rsidR="001607E0" w:rsidRPr="0078112F" w:rsidRDefault="001607E0" w:rsidP="001607E0"/>
    <w:p w14:paraId="4C4A0879" w14:textId="234606B4" w:rsidR="001607E0" w:rsidRPr="0078112F" w:rsidRDefault="001607E0" w:rsidP="001607E0">
      <w:pPr>
        <w:rPr>
          <w:b/>
          <w:bCs/>
        </w:rPr>
      </w:pPr>
      <w:r w:rsidRPr="0078112F">
        <w:rPr>
          <w:b/>
          <w:bCs/>
        </w:rPr>
        <w:t xml:space="preserve">Figure </w:t>
      </w:r>
      <w:r>
        <w:rPr>
          <w:b/>
          <w:bCs/>
        </w:rPr>
        <w:t>S</w:t>
      </w:r>
      <w:r w:rsidRPr="0078112F">
        <w:rPr>
          <w:b/>
          <w:bCs/>
        </w:rPr>
        <w:t>2: Concordance and error rates between sequencing with Illumina and Complete Genomics sequencing platforms</w:t>
      </w:r>
    </w:p>
    <w:p w14:paraId="4F33ED9C" w14:textId="77777777" w:rsidR="001607E0" w:rsidRPr="0078112F" w:rsidRDefault="001607E0" w:rsidP="001607E0">
      <w:r w:rsidRPr="0078112F">
        <w:rPr>
          <w:b/>
          <w:bCs/>
        </w:rPr>
        <w:t>(A)</w:t>
      </w:r>
      <w:r w:rsidRPr="0078112F">
        <w:t xml:space="preserve"> Accuracy between Illumina and Complete Genomics. </w:t>
      </w:r>
      <w:r w:rsidRPr="0078112F">
        <w:rPr>
          <w:b/>
          <w:bCs/>
        </w:rPr>
        <w:t>(B)</w:t>
      </w:r>
      <w:r w:rsidRPr="0078112F">
        <w:t xml:space="preserve"> Error Scores between Illumina and Complete Genomics. </w:t>
      </w:r>
      <w:r w:rsidRPr="0078112F">
        <w:rPr>
          <w:b/>
          <w:bCs/>
        </w:rPr>
        <w:t>(C)</w:t>
      </w:r>
      <w:r w:rsidRPr="0078112F">
        <w:t xml:space="preserve"> </w:t>
      </w:r>
      <w:proofErr w:type="spellStart"/>
      <w:r w:rsidRPr="0078112F">
        <w:t>Phred</w:t>
      </w:r>
      <w:proofErr w:type="spellEnd"/>
      <w:r w:rsidRPr="0078112F">
        <w:t xml:space="preserve"> Quality scores. </w:t>
      </w:r>
      <w:r w:rsidRPr="0078112F">
        <w:rPr>
          <w:b/>
          <w:bCs/>
        </w:rPr>
        <w:t>(D)</w:t>
      </w:r>
      <w:r w:rsidRPr="0078112F">
        <w:t xml:space="preserve"> SBS error profiles for Complete Genomics compared to Illumina. </w:t>
      </w:r>
    </w:p>
    <w:p w14:paraId="1DC78EE9" w14:textId="77777777" w:rsidR="001607E0" w:rsidRDefault="001607E0" w:rsidP="002538B5"/>
    <w:p w14:paraId="45659335" w14:textId="290865B6" w:rsidR="002538B5" w:rsidRPr="008932E2" w:rsidRDefault="002538B5" w:rsidP="002538B5">
      <w:pPr>
        <w:rPr>
          <w:b/>
          <w:bCs/>
        </w:rPr>
      </w:pPr>
      <w:r w:rsidRPr="008932E2">
        <w:rPr>
          <w:b/>
          <w:bCs/>
        </w:rPr>
        <w:t>Figure S</w:t>
      </w:r>
      <w:r w:rsidR="001607E0" w:rsidRPr="008932E2">
        <w:rPr>
          <w:b/>
          <w:bCs/>
        </w:rPr>
        <w:t>3</w:t>
      </w:r>
      <w:r w:rsidRPr="008932E2">
        <w:rPr>
          <w:b/>
          <w:bCs/>
        </w:rPr>
        <w:t xml:space="preserve">: Estimated error rate vs mean distinct coverage of Complete Genomics Sequencing compared to Illumina by single base substitution type shows no influence of sequencing depth on </w:t>
      </w:r>
      <w:proofErr w:type="gramStart"/>
      <w:r w:rsidRPr="008932E2">
        <w:rPr>
          <w:b/>
          <w:bCs/>
        </w:rPr>
        <w:t>error</w:t>
      </w:r>
      <w:proofErr w:type="gramEnd"/>
    </w:p>
    <w:p w14:paraId="64CD30D1" w14:textId="77777777" w:rsidR="002538B5" w:rsidRPr="0078112F" w:rsidRDefault="002538B5" w:rsidP="002538B5"/>
    <w:p w14:paraId="2ED6B697" w14:textId="31D7C091" w:rsidR="002538B5" w:rsidRPr="008932E2" w:rsidRDefault="002538B5" w:rsidP="002538B5">
      <w:pPr>
        <w:rPr>
          <w:b/>
          <w:bCs/>
        </w:rPr>
      </w:pPr>
      <w:r w:rsidRPr="008932E2">
        <w:rPr>
          <w:b/>
          <w:bCs/>
        </w:rPr>
        <w:t xml:space="preserve">Figure </w:t>
      </w:r>
      <w:r w:rsidR="001607E0" w:rsidRPr="008932E2">
        <w:rPr>
          <w:b/>
          <w:bCs/>
        </w:rPr>
        <w:t>S4</w:t>
      </w:r>
      <w:r w:rsidRPr="008932E2">
        <w:rPr>
          <w:b/>
          <w:bCs/>
        </w:rPr>
        <w:t xml:space="preserve">: MDS has lower input cfDNA than </w:t>
      </w:r>
      <w:proofErr w:type="gramStart"/>
      <w:r w:rsidRPr="008932E2">
        <w:rPr>
          <w:b/>
          <w:bCs/>
        </w:rPr>
        <w:t>AML</w:t>
      </w:r>
      <w:proofErr w:type="gramEnd"/>
    </w:p>
    <w:p w14:paraId="3013F89E" w14:textId="77777777" w:rsidR="001607E0" w:rsidRDefault="001607E0" w:rsidP="001607E0">
      <w:pPr>
        <w:rPr>
          <w:b/>
          <w:bCs/>
        </w:rPr>
      </w:pPr>
    </w:p>
    <w:p w14:paraId="2FA4694E" w14:textId="4F9E8306" w:rsidR="001607E0" w:rsidRPr="0078112F" w:rsidRDefault="001607E0" w:rsidP="001607E0">
      <w:pPr>
        <w:rPr>
          <w:b/>
          <w:bCs/>
        </w:rPr>
      </w:pPr>
      <w:r w:rsidRPr="0078112F">
        <w:rPr>
          <w:b/>
          <w:bCs/>
        </w:rPr>
        <w:t xml:space="preserve">Figure </w:t>
      </w:r>
      <w:r>
        <w:rPr>
          <w:b/>
          <w:bCs/>
        </w:rPr>
        <w:t>S</w:t>
      </w:r>
      <w:r w:rsidRPr="0078112F">
        <w:rPr>
          <w:b/>
          <w:bCs/>
        </w:rPr>
        <w:t xml:space="preserve">5: Higher sensitivity and confidence of low VAF calls is possible when using multiple </w:t>
      </w:r>
      <w:proofErr w:type="gramStart"/>
      <w:r w:rsidRPr="0078112F">
        <w:rPr>
          <w:b/>
          <w:bCs/>
        </w:rPr>
        <w:t>biospecimens</w:t>
      </w:r>
      <w:proofErr w:type="gramEnd"/>
    </w:p>
    <w:p w14:paraId="5168AD9A" w14:textId="77777777" w:rsidR="001607E0" w:rsidRDefault="001607E0" w:rsidP="001607E0">
      <w:r w:rsidRPr="0078112F">
        <w:rPr>
          <w:b/>
          <w:bCs/>
        </w:rPr>
        <w:lastRenderedPageBreak/>
        <w:t>(A)</w:t>
      </w:r>
      <w:r w:rsidRPr="0078112F">
        <w:t xml:space="preserve"> Simulated sensitivity when incorporating one (single – yellow), two (duo – green) or three (trio – blue) biospecimens to establish a mutation call. </w:t>
      </w:r>
      <w:r w:rsidRPr="0078112F">
        <w:rPr>
          <w:b/>
          <w:bCs/>
        </w:rPr>
        <w:t>(B)</w:t>
      </w:r>
      <w:r w:rsidRPr="0078112F">
        <w:t xml:space="preserve"> Observed sensitivity when incorporating multiple biospecimens (whole blood, saliva and cfDNA). </w:t>
      </w:r>
      <w:r w:rsidRPr="0078112F">
        <w:rPr>
          <w:b/>
          <w:bCs/>
        </w:rPr>
        <w:t>(C)</w:t>
      </w:r>
      <w:r w:rsidRPr="0078112F">
        <w:t xml:space="preserve"> Specificity for each model of mutation calling</w:t>
      </w:r>
      <w:r>
        <w:t>.</w:t>
      </w:r>
    </w:p>
    <w:p w14:paraId="7E279193" w14:textId="77777777" w:rsidR="002538B5" w:rsidRPr="0078112F" w:rsidRDefault="002538B5" w:rsidP="002538B5"/>
    <w:p w14:paraId="4F08A29F" w14:textId="77777777" w:rsidR="002538B5" w:rsidRPr="0078112F" w:rsidRDefault="002538B5" w:rsidP="002538B5">
      <w:pPr>
        <w:rPr>
          <w:b/>
          <w:bCs/>
        </w:rPr>
      </w:pPr>
      <w:r w:rsidRPr="0078112F">
        <w:rPr>
          <w:b/>
          <w:bCs/>
        </w:rPr>
        <w:t>Supplementary Tables</w:t>
      </w:r>
    </w:p>
    <w:p w14:paraId="19538F19" w14:textId="77777777" w:rsidR="002538B5" w:rsidRPr="0078112F" w:rsidRDefault="002538B5" w:rsidP="002538B5"/>
    <w:p w14:paraId="2BB2E690" w14:textId="77777777" w:rsidR="001607E0" w:rsidRPr="0078112F" w:rsidRDefault="001607E0" w:rsidP="001607E0"/>
    <w:p w14:paraId="0943DFAF" w14:textId="1AB02836" w:rsidR="001607E0" w:rsidRPr="0078112F" w:rsidRDefault="001607E0" w:rsidP="001607E0">
      <w:pPr>
        <w:rPr>
          <w:b/>
          <w:bCs/>
        </w:rPr>
      </w:pPr>
      <w:r w:rsidRPr="0078112F">
        <w:rPr>
          <w:b/>
          <w:bCs/>
        </w:rPr>
        <w:t xml:space="preserve">Table </w:t>
      </w:r>
      <w:r>
        <w:rPr>
          <w:b/>
          <w:bCs/>
        </w:rPr>
        <w:t>S</w:t>
      </w:r>
      <w:r w:rsidRPr="0078112F">
        <w:rPr>
          <w:b/>
          <w:bCs/>
        </w:rPr>
        <w:t xml:space="preserve">1: Limit of detection according to </w:t>
      </w:r>
      <w:proofErr w:type="spellStart"/>
      <w:r w:rsidRPr="0078112F">
        <w:rPr>
          <w:b/>
          <w:bCs/>
        </w:rPr>
        <w:t>probit</w:t>
      </w:r>
      <w:proofErr w:type="spellEnd"/>
      <w:r w:rsidRPr="0078112F">
        <w:rPr>
          <w:b/>
          <w:bCs/>
        </w:rPr>
        <w:t xml:space="preserve"> </w:t>
      </w:r>
      <w:proofErr w:type="gramStart"/>
      <w:r w:rsidRPr="0078112F">
        <w:rPr>
          <w:b/>
          <w:bCs/>
        </w:rPr>
        <w:t>fit</w:t>
      </w:r>
      <w:proofErr w:type="gramEnd"/>
    </w:p>
    <w:p w14:paraId="0BE8E6FD" w14:textId="77777777" w:rsidR="001607E0" w:rsidRPr="0078112F" w:rsidRDefault="001607E0" w:rsidP="001607E0">
      <w:proofErr w:type="spellStart"/>
      <w:r w:rsidRPr="0078112F">
        <w:t>Probit</w:t>
      </w:r>
      <w:proofErr w:type="spellEnd"/>
      <w:r w:rsidRPr="0078112F">
        <w:t xml:space="preserve"> estimated (Est.) 95% confidence (C95) limit of detection (</w:t>
      </w:r>
      <w:proofErr w:type="spellStart"/>
      <w:r w:rsidRPr="0078112F">
        <w:t>LoD</w:t>
      </w:r>
      <w:proofErr w:type="spellEnd"/>
      <w:r w:rsidRPr="0078112F">
        <w:t>) including a background score of 0.5, a confidence score &gt;25 and a minimum variant depth of 5.</w:t>
      </w:r>
    </w:p>
    <w:p w14:paraId="00F2240C" w14:textId="77777777" w:rsidR="001607E0" w:rsidRPr="0078112F" w:rsidRDefault="001607E0" w:rsidP="001607E0">
      <w:proofErr w:type="spellStart"/>
      <w:r w:rsidRPr="0078112F">
        <w:t>nonSBS</w:t>
      </w:r>
      <w:proofErr w:type="spellEnd"/>
      <w:r w:rsidRPr="0078112F">
        <w:t xml:space="preserve"> – non-single base substitution, such as insertions or deletions. </w:t>
      </w:r>
    </w:p>
    <w:p w14:paraId="645D934F" w14:textId="77777777" w:rsidR="001607E0" w:rsidRPr="0078112F" w:rsidRDefault="001607E0" w:rsidP="001607E0"/>
    <w:p w14:paraId="74E92B51" w14:textId="7E0C410C" w:rsidR="001607E0" w:rsidRDefault="001607E0" w:rsidP="001607E0">
      <w:pPr>
        <w:rPr>
          <w:b/>
          <w:bCs/>
        </w:rPr>
      </w:pPr>
      <w:r w:rsidRPr="0078112F">
        <w:rPr>
          <w:b/>
          <w:bCs/>
        </w:rPr>
        <w:t xml:space="preserve">Table </w:t>
      </w:r>
      <w:r>
        <w:rPr>
          <w:b/>
          <w:bCs/>
        </w:rPr>
        <w:t>S</w:t>
      </w:r>
      <w:r w:rsidRPr="0078112F">
        <w:rPr>
          <w:b/>
          <w:bCs/>
        </w:rPr>
        <w:t>2: Accuracy, precision, and reproducibility data at standard and high depth</w:t>
      </w:r>
    </w:p>
    <w:p w14:paraId="71C4F333" w14:textId="77777777" w:rsidR="001607E0" w:rsidRDefault="001607E0" w:rsidP="002538B5"/>
    <w:p w14:paraId="35A563AF" w14:textId="73036286" w:rsidR="002538B5" w:rsidRPr="008932E2" w:rsidRDefault="002538B5" w:rsidP="002538B5">
      <w:pPr>
        <w:rPr>
          <w:b/>
          <w:bCs/>
        </w:rPr>
      </w:pPr>
      <w:r w:rsidRPr="008932E2">
        <w:rPr>
          <w:b/>
          <w:bCs/>
        </w:rPr>
        <w:t>Table S</w:t>
      </w:r>
      <w:r w:rsidR="001607E0">
        <w:rPr>
          <w:b/>
          <w:bCs/>
        </w:rPr>
        <w:t>3</w:t>
      </w:r>
      <w:r w:rsidRPr="008932E2">
        <w:rPr>
          <w:b/>
          <w:bCs/>
        </w:rPr>
        <w:t xml:space="preserve">: Blast data for AML and MDS patients </w:t>
      </w:r>
    </w:p>
    <w:p w14:paraId="24EE13DB" w14:textId="77777777" w:rsidR="002538B5" w:rsidRPr="0078112F" w:rsidRDefault="002538B5" w:rsidP="002538B5">
      <w:r w:rsidRPr="0078112F">
        <w:t>BMT = bone marrow transplant</w:t>
      </w:r>
    </w:p>
    <w:p w14:paraId="5C7C85E2" w14:textId="77777777" w:rsidR="002538B5" w:rsidRDefault="002538B5" w:rsidP="002538B5">
      <w:r w:rsidRPr="0078112F">
        <w:t>MEC = Mitoxantrone, Etoposide, and Cytarabine</w:t>
      </w:r>
    </w:p>
    <w:p w14:paraId="30291A53" w14:textId="77777777" w:rsidR="002538B5" w:rsidRDefault="002538B5" w:rsidP="002538B5"/>
    <w:p w14:paraId="33E3B938" w14:textId="63E7B6BF" w:rsidR="002538B5" w:rsidRPr="008932E2" w:rsidRDefault="002538B5" w:rsidP="002538B5">
      <w:pPr>
        <w:rPr>
          <w:b/>
          <w:bCs/>
        </w:rPr>
      </w:pPr>
      <w:r w:rsidRPr="008932E2">
        <w:rPr>
          <w:b/>
          <w:bCs/>
        </w:rPr>
        <w:t>Table S</w:t>
      </w:r>
      <w:r w:rsidR="001607E0">
        <w:rPr>
          <w:b/>
          <w:bCs/>
        </w:rPr>
        <w:t>4</w:t>
      </w:r>
      <w:r w:rsidRPr="008932E2">
        <w:rPr>
          <w:b/>
          <w:bCs/>
        </w:rPr>
        <w:t xml:space="preserve">: Mean distinct coverage for disease type </w:t>
      </w:r>
      <w:proofErr w:type="gramStart"/>
      <w:r w:rsidRPr="008932E2">
        <w:rPr>
          <w:b/>
          <w:bCs/>
        </w:rPr>
        <w:t>comparisons</w:t>
      </w:r>
      <w:proofErr w:type="gramEnd"/>
    </w:p>
    <w:p w14:paraId="424575BB" w14:textId="77777777" w:rsidR="002538B5" w:rsidRDefault="002538B5" w:rsidP="002538B5">
      <w:r w:rsidRPr="00D91BED">
        <w:t>MDS has lower mean distinct coverage for plasma cfDNA than buffy coat</w:t>
      </w:r>
    </w:p>
    <w:p w14:paraId="102087D2" w14:textId="77777777" w:rsidR="002538B5" w:rsidRDefault="002538B5" w:rsidP="002538B5"/>
    <w:p w14:paraId="0556E6CB" w14:textId="60A316FA" w:rsidR="006A03C2" w:rsidRDefault="006A03C2">
      <w:r>
        <w:br w:type="page"/>
      </w:r>
    </w:p>
    <w:p w14:paraId="3CC7A3A3" w14:textId="797CFE89" w:rsidR="006A03C2" w:rsidRDefault="006A03C2" w:rsidP="002538B5">
      <w:pPr>
        <w:widowControl w:val="0"/>
        <w:autoSpaceDE w:val="0"/>
        <w:autoSpaceDN w:val="0"/>
        <w:adjustRightInd w:val="0"/>
        <w:ind w:left="640" w:hanging="640"/>
      </w:pPr>
      <w:r>
        <w:rPr>
          <w:noProof/>
        </w:rPr>
        <w:lastRenderedPageBreak/>
        <w:drawing>
          <wp:anchor distT="0" distB="0" distL="114300" distR="114300" simplePos="0" relativeHeight="251659264" behindDoc="0" locked="0" layoutInCell="1" allowOverlap="1" wp14:anchorId="4B3DD803" wp14:editId="24D27738">
            <wp:simplePos x="0" y="0"/>
            <wp:positionH relativeFrom="margin">
              <wp:posOffset>-495300</wp:posOffset>
            </wp:positionH>
            <wp:positionV relativeFrom="margin">
              <wp:posOffset>-444500</wp:posOffset>
            </wp:positionV>
            <wp:extent cx="6908800" cy="9211310"/>
            <wp:effectExtent l="0" t="0" r="0" b="0"/>
            <wp:wrapSquare wrapText="bothSides"/>
            <wp:docPr id="1046242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242688" name="Picture 1046242688"/>
                    <pic:cNvPicPr/>
                  </pic:nvPicPr>
                  <pic:blipFill>
                    <a:blip r:embed="rId7">
                      <a:extLst>
                        <a:ext uri="{28A0092B-C50C-407E-A947-70E740481C1C}">
                          <a14:useLocalDpi xmlns:a14="http://schemas.microsoft.com/office/drawing/2010/main" val="0"/>
                        </a:ext>
                      </a:extLst>
                    </a:blip>
                    <a:stretch>
                      <a:fillRect/>
                    </a:stretch>
                  </pic:blipFill>
                  <pic:spPr>
                    <a:xfrm>
                      <a:off x="0" y="0"/>
                      <a:ext cx="6908800" cy="9211310"/>
                    </a:xfrm>
                    <a:prstGeom prst="rect">
                      <a:avLst/>
                    </a:prstGeom>
                  </pic:spPr>
                </pic:pic>
              </a:graphicData>
            </a:graphic>
            <wp14:sizeRelH relativeFrom="page">
              <wp14:pctWidth>0</wp14:pctWidth>
            </wp14:sizeRelH>
            <wp14:sizeRelV relativeFrom="page">
              <wp14:pctHeight>0</wp14:pctHeight>
            </wp14:sizeRelV>
          </wp:anchor>
        </w:drawing>
      </w:r>
    </w:p>
    <w:p w14:paraId="6BB56091" w14:textId="53430C8A" w:rsidR="004A5FF1" w:rsidRDefault="006A03C2" w:rsidP="002538B5">
      <w:pPr>
        <w:widowControl w:val="0"/>
        <w:autoSpaceDE w:val="0"/>
        <w:autoSpaceDN w:val="0"/>
        <w:adjustRightInd w:val="0"/>
        <w:ind w:left="640" w:hanging="640"/>
      </w:pPr>
      <w:r>
        <w:rPr>
          <w:noProof/>
        </w:rPr>
        <w:lastRenderedPageBreak/>
        <w:drawing>
          <wp:anchor distT="0" distB="0" distL="114300" distR="114300" simplePos="0" relativeHeight="251660288" behindDoc="0" locked="0" layoutInCell="1" allowOverlap="1" wp14:anchorId="4E44E03A" wp14:editId="0A2A3E3B">
            <wp:simplePos x="0" y="0"/>
            <wp:positionH relativeFrom="margin">
              <wp:posOffset>-406400</wp:posOffset>
            </wp:positionH>
            <wp:positionV relativeFrom="margin">
              <wp:posOffset>-368300</wp:posOffset>
            </wp:positionV>
            <wp:extent cx="6762750" cy="9017000"/>
            <wp:effectExtent l="0" t="0" r="6350" b="0"/>
            <wp:wrapSquare wrapText="bothSides"/>
            <wp:docPr id="21114437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443768" name="Picture 2111443768"/>
                    <pic:cNvPicPr/>
                  </pic:nvPicPr>
                  <pic:blipFill>
                    <a:blip r:embed="rId8">
                      <a:extLst>
                        <a:ext uri="{28A0092B-C50C-407E-A947-70E740481C1C}">
                          <a14:useLocalDpi xmlns:a14="http://schemas.microsoft.com/office/drawing/2010/main" val="0"/>
                        </a:ext>
                      </a:extLst>
                    </a:blip>
                    <a:stretch>
                      <a:fillRect/>
                    </a:stretch>
                  </pic:blipFill>
                  <pic:spPr>
                    <a:xfrm>
                      <a:off x="0" y="0"/>
                      <a:ext cx="6762750" cy="9017000"/>
                    </a:xfrm>
                    <a:prstGeom prst="rect">
                      <a:avLst/>
                    </a:prstGeom>
                  </pic:spPr>
                </pic:pic>
              </a:graphicData>
            </a:graphic>
            <wp14:sizeRelH relativeFrom="margin">
              <wp14:pctWidth>0</wp14:pctWidth>
            </wp14:sizeRelH>
            <wp14:sizeRelV relativeFrom="margin">
              <wp14:pctHeight>0</wp14:pctHeight>
            </wp14:sizeRelV>
          </wp:anchor>
        </w:drawing>
      </w:r>
    </w:p>
    <w:p w14:paraId="1FD1248B" w14:textId="1D27CECE" w:rsidR="006A03C2" w:rsidRDefault="006A03C2" w:rsidP="002538B5">
      <w:pPr>
        <w:widowControl w:val="0"/>
        <w:autoSpaceDE w:val="0"/>
        <w:autoSpaceDN w:val="0"/>
        <w:adjustRightInd w:val="0"/>
        <w:ind w:left="640" w:hanging="640"/>
      </w:pPr>
      <w:r>
        <w:rPr>
          <w:noProof/>
        </w:rPr>
        <w:lastRenderedPageBreak/>
        <w:drawing>
          <wp:anchor distT="0" distB="0" distL="114300" distR="114300" simplePos="0" relativeHeight="251661312" behindDoc="0" locked="0" layoutInCell="1" allowOverlap="1" wp14:anchorId="1B357727" wp14:editId="140A49DC">
            <wp:simplePos x="0" y="0"/>
            <wp:positionH relativeFrom="margin">
              <wp:posOffset>-508000</wp:posOffset>
            </wp:positionH>
            <wp:positionV relativeFrom="margin">
              <wp:posOffset>-406400</wp:posOffset>
            </wp:positionV>
            <wp:extent cx="6819900" cy="9093200"/>
            <wp:effectExtent l="0" t="0" r="0" b="0"/>
            <wp:wrapSquare wrapText="bothSides"/>
            <wp:docPr id="11490368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036876" name="Picture 1149036876"/>
                    <pic:cNvPicPr/>
                  </pic:nvPicPr>
                  <pic:blipFill>
                    <a:blip r:embed="rId9">
                      <a:extLst>
                        <a:ext uri="{28A0092B-C50C-407E-A947-70E740481C1C}">
                          <a14:useLocalDpi xmlns:a14="http://schemas.microsoft.com/office/drawing/2010/main" val="0"/>
                        </a:ext>
                      </a:extLst>
                    </a:blip>
                    <a:stretch>
                      <a:fillRect/>
                    </a:stretch>
                  </pic:blipFill>
                  <pic:spPr>
                    <a:xfrm>
                      <a:off x="0" y="0"/>
                      <a:ext cx="6819900" cy="9093200"/>
                    </a:xfrm>
                    <a:prstGeom prst="rect">
                      <a:avLst/>
                    </a:prstGeom>
                  </pic:spPr>
                </pic:pic>
              </a:graphicData>
            </a:graphic>
            <wp14:sizeRelH relativeFrom="margin">
              <wp14:pctWidth>0</wp14:pctWidth>
            </wp14:sizeRelH>
            <wp14:sizeRelV relativeFrom="margin">
              <wp14:pctHeight>0</wp14:pctHeight>
            </wp14:sizeRelV>
          </wp:anchor>
        </w:drawing>
      </w:r>
    </w:p>
    <w:p w14:paraId="3446B84B" w14:textId="31E692CC" w:rsidR="006A03C2" w:rsidRDefault="006A03C2" w:rsidP="002538B5">
      <w:pPr>
        <w:widowControl w:val="0"/>
        <w:autoSpaceDE w:val="0"/>
        <w:autoSpaceDN w:val="0"/>
        <w:adjustRightInd w:val="0"/>
        <w:ind w:left="640" w:hanging="640"/>
      </w:pPr>
      <w:r>
        <w:rPr>
          <w:noProof/>
        </w:rPr>
        <w:lastRenderedPageBreak/>
        <w:drawing>
          <wp:anchor distT="0" distB="0" distL="114300" distR="114300" simplePos="0" relativeHeight="251662336" behindDoc="0" locked="0" layoutInCell="1" allowOverlap="1" wp14:anchorId="759A5D85" wp14:editId="5CD010C7">
            <wp:simplePos x="0" y="0"/>
            <wp:positionH relativeFrom="margin">
              <wp:posOffset>-457200</wp:posOffset>
            </wp:positionH>
            <wp:positionV relativeFrom="margin">
              <wp:posOffset>-482600</wp:posOffset>
            </wp:positionV>
            <wp:extent cx="6905625" cy="9207500"/>
            <wp:effectExtent l="0" t="0" r="3175" b="0"/>
            <wp:wrapSquare wrapText="bothSides"/>
            <wp:docPr id="12739801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80107" name="Picture 1273980107"/>
                    <pic:cNvPicPr/>
                  </pic:nvPicPr>
                  <pic:blipFill>
                    <a:blip r:embed="rId10">
                      <a:extLst>
                        <a:ext uri="{28A0092B-C50C-407E-A947-70E740481C1C}">
                          <a14:useLocalDpi xmlns:a14="http://schemas.microsoft.com/office/drawing/2010/main" val="0"/>
                        </a:ext>
                      </a:extLst>
                    </a:blip>
                    <a:stretch>
                      <a:fillRect/>
                    </a:stretch>
                  </pic:blipFill>
                  <pic:spPr>
                    <a:xfrm>
                      <a:off x="0" y="0"/>
                      <a:ext cx="6905625" cy="9207500"/>
                    </a:xfrm>
                    <a:prstGeom prst="rect">
                      <a:avLst/>
                    </a:prstGeom>
                  </pic:spPr>
                </pic:pic>
              </a:graphicData>
            </a:graphic>
            <wp14:sizeRelH relativeFrom="margin">
              <wp14:pctWidth>0</wp14:pctWidth>
            </wp14:sizeRelH>
            <wp14:sizeRelV relativeFrom="margin">
              <wp14:pctHeight>0</wp14:pctHeight>
            </wp14:sizeRelV>
          </wp:anchor>
        </w:drawing>
      </w:r>
    </w:p>
    <w:p w14:paraId="0E376093" w14:textId="3D17CE3C" w:rsidR="006A03C2" w:rsidRDefault="006A03C2" w:rsidP="002538B5">
      <w:pPr>
        <w:widowControl w:val="0"/>
        <w:autoSpaceDE w:val="0"/>
        <w:autoSpaceDN w:val="0"/>
        <w:adjustRightInd w:val="0"/>
        <w:ind w:left="640" w:hanging="640"/>
      </w:pPr>
      <w:r>
        <w:rPr>
          <w:noProof/>
        </w:rPr>
        <w:lastRenderedPageBreak/>
        <w:drawing>
          <wp:anchor distT="0" distB="0" distL="114300" distR="114300" simplePos="0" relativeHeight="251663360" behindDoc="0" locked="0" layoutInCell="1" allowOverlap="1" wp14:anchorId="30E5709D" wp14:editId="47071BCD">
            <wp:simplePos x="0" y="0"/>
            <wp:positionH relativeFrom="margin">
              <wp:posOffset>-622300</wp:posOffset>
            </wp:positionH>
            <wp:positionV relativeFrom="margin">
              <wp:posOffset>-610235</wp:posOffset>
            </wp:positionV>
            <wp:extent cx="7175500" cy="9566910"/>
            <wp:effectExtent l="0" t="0" r="0" b="0"/>
            <wp:wrapSquare wrapText="bothSides"/>
            <wp:docPr id="7324074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407432" name="Picture 732407432"/>
                    <pic:cNvPicPr/>
                  </pic:nvPicPr>
                  <pic:blipFill>
                    <a:blip r:embed="rId11">
                      <a:extLst>
                        <a:ext uri="{28A0092B-C50C-407E-A947-70E740481C1C}">
                          <a14:useLocalDpi xmlns:a14="http://schemas.microsoft.com/office/drawing/2010/main" val="0"/>
                        </a:ext>
                      </a:extLst>
                    </a:blip>
                    <a:stretch>
                      <a:fillRect/>
                    </a:stretch>
                  </pic:blipFill>
                  <pic:spPr>
                    <a:xfrm>
                      <a:off x="0" y="0"/>
                      <a:ext cx="7175500" cy="9566910"/>
                    </a:xfrm>
                    <a:prstGeom prst="rect">
                      <a:avLst/>
                    </a:prstGeom>
                  </pic:spPr>
                </pic:pic>
              </a:graphicData>
            </a:graphic>
            <wp14:sizeRelH relativeFrom="margin">
              <wp14:pctWidth>0</wp14:pctWidth>
            </wp14:sizeRelH>
            <wp14:sizeRelV relativeFrom="margin">
              <wp14:pctHeight>0</wp14:pctHeight>
            </wp14:sizeRelV>
          </wp:anchor>
        </w:drawing>
      </w:r>
    </w:p>
    <w:p w14:paraId="1404198E" w14:textId="4D0E331C" w:rsidR="006A03C2" w:rsidRDefault="006A03C2">
      <w:r>
        <w:rPr>
          <w:noProof/>
        </w:rPr>
        <w:lastRenderedPageBreak/>
        <w:drawing>
          <wp:anchor distT="0" distB="0" distL="114300" distR="114300" simplePos="0" relativeHeight="251664384" behindDoc="0" locked="0" layoutInCell="1" allowOverlap="1" wp14:anchorId="34CB8BF8" wp14:editId="227D6544">
            <wp:simplePos x="0" y="0"/>
            <wp:positionH relativeFrom="margin">
              <wp:posOffset>-520700</wp:posOffset>
            </wp:positionH>
            <wp:positionV relativeFrom="margin">
              <wp:posOffset>-559435</wp:posOffset>
            </wp:positionV>
            <wp:extent cx="7035800" cy="9380855"/>
            <wp:effectExtent l="0" t="0" r="0" b="4445"/>
            <wp:wrapSquare wrapText="bothSides"/>
            <wp:docPr id="7837704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770483" name="Picture 783770483"/>
                    <pic:cNvPicPr/>
                  </pic:nvPicPr>
                  <pic:blipFill>
                    <a:blip r:embed="rId12">
                      <a:extLst>
                        <a:ext uri="{28A0092B-C50C-407E-A947-70E740481C1C}">
                          <a14:useLocalDpi xmlns:a14="http://schemas.microsoft.com/office/drawing/2010/main" val="0"/>
                        </a:ext>
                      </a:extLst>
                    </a:blip>
                    <a:stretch>
                      <a:fillRect/>
                    </a:stretch>
                  </pic:blipFill>
                  <pic:spPr>
                    <a:xfrm>
                      <a:off x="0" y="0"/>
                      <a:ext cx="7035800" cy="9380855"/>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2CC08419" w14:textId="3817528C" w:rsidR="006A03C2" w:rsidRDefault="006A03C2">
      <w:r>
        <w:rPr>
          <w:noProof/>
        </w:rPr>
        <w:lastRenderedPageBreak/>
        <w:drawing>
          <wp:anchor distT="0" distB="0" distL="114300" distR="114300" simplePos="0" relativeHeight="251665408" behindDoc="0" locked="0" layoutInCell="1" allowOverlap="1" wp14:anchorId="71C689B7" wp14:editId="5D7370F0">
            <wp:simplePos x="0" y="0"/>
            <wp:positionH relativeFrom="margin">
              <wp:posOffset>-596900</wp:posOffset>
            </wp:positionH>
            <wp:positionV relativeFrom="margin">
              <wp:posOffset>-622935</wp:posOffset>
            </wp:positionV>
            <wp:extent cx="6985000" cy="9312910"/>
            <wp:effectExtent l="0" t="0" r="0" b="0"/>
            <wp:wrapSquare wrapText="bothSides"/>
            <wp:docPr id="4398817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881724" name="Picture 439881724"/>
                    <pic:cNvPicPr/>
                  </pic:nvPicPr>
                  <pic:blipFill>
                    <a:blip r:embed="rId13">
                      <a:extLst>
                        <a:ext uri="{28A0092B-C50C-407E-A947-70E740481C1C}">
                          <a14:useLocalDpi xmlns:a14="http://schemas.microsoft.com/office/drawing/2010/main" val="0"/>
                        </a:ext>
                      </a:extLst>
                    </a:blip>
                    <a:stretch>
                      <a:fillRect/>
                    </a:stretch>
                  </pic:blipFill>
                  <pic:spPr>
                    <a:xfrm>
                      <a:off x="0" y="0"/>
                      <a:ext cx="6985000" cy="931291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5E70CE07" w14:textId="1996A55C" w:rsidR="006A03C2" w:rsidRDefault="006A03C2">
      <w:r>
        <w:rPr>
          <w:noProof/>
        </w:rPr>
        <w:lastRenderedPageBreak/>
        <w:drawing>
          <wp:anchor distT="0" distB="0" distL="114300" distR="114300" simplePos="0" relativeHeight="251666432" behindDoc="0" locked="0" layoutInCell="1" allowOverlap="1" wp14:anchorId="435269ED" wp14:editId="6EB8CC4B">
            <wp:simplePos x="0" y="0"/>
            <wp:positionH relativeFrom="margin">
              <wp:posOffset>-495300</wp:posOffset>
            </wp:positionH>
            <wp:positionV relativeFrom="margin">
              <wp:posOffset>-558800</wp:posOffset>
            </wp:positionV>
            <wp:extent cx="6972300" cy="9296400"/>
            <wp:effectExtent l="0" t="0" r="0" b="0"/>
            <wp:wrapSquare wrapText="bothSides"/>
            <wp:docPr id="17706753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675340" name="Picture 1770675340"/>
                    <pic:cNvPicPr/>
                  </pic:nvPicPr>
                  <pic:blipFill>
                    <a:blip r:embed="rId14">
                      <a:extLst>
                        <a:ext uri="{28A0092B-C50C-407E-A947-70E740481C1C}">
                          <a14:useLocalDpi xmlns:a14="http://schemas.microsoft.com/office/drawing/2010/main" val="0"/>
                        </a:ext>
                      </a:extLst>
                    </a:blip>
                    <a:stretch>
                      <a:fillRect/>
                    </a:stretch>
                  </pic:blipFill>
                  <pic:spPr>
                    <a:xfrm>
                      <a:off x="0" y="0"/>
                      <a:ext cx="6972300" cy="929640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6C5CAFB8" w14:textId="1B98A737" w:rsidR="006A03C2" w:rsidRDefault="006A03C2" w:rsidP="006A03C2">
      <w:r>
        <w:rPr>
          <w:noProof/>
        </w:rPr>
        <w:lastRenderedPageBreak/>
        <w:drawing>
          <wp:anchor distT="0" distB="0" distL="114300" distR="114300" simplePos="0" relativeHeight="251667456" behindDoc="0" locked="0" layoutInCell="1" allowOverlap="1" wp14:anchorId="76ADB37C" wp14:editId="4C417971">
            <wp:simplePos x="0" y="0"/>
            <wp:positionH relativeFrom="margin">
              <wp:posOffset>-431800</wp:posOffset>
            </wp:positionH>
            <wp:positionV relativeFrom="margin">
              <wp:posOffset>-508635</wp:posOffset>
            </wp:positionV>
            <wp:extent cx="6921500" cy="9228455"/>
            <wp:effectExtent l="0" t="0" r="0" b="4445"/>
            <wp:wrapSquare wrapText="bothSides"/>
            <wp:docPr id="14602589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258939" name="Picture 1460258939"/>
                    <pic:cNvPicPr/>
                  </pic:nvPicPr>
                  <pic:blipFill>
                    <a:blip r:embed="rId15">
                      <a:extLst>
                        <a:ext uri="{28A0092B-C50C-407E-A947-70E740481C1C}">
                          <a14:useLocalDpi xmlns:a14="http://schemas.microsoft.com/office/drawing/2010/main" val="0"/>
                        </a:ext>
                      </a:extLst>
                    </a:blip>
                    <a:stretch>
                      <a:fillRect/>
                    </a:stretch>
                  </pic:blipFill>
                  <pic:spPr>
                    <a:xfrm>
                      <a:off x="0" y="0"/>
                      <a:ext cx="6921500" cy="9228455"/>
                    </a:xfrm>
                    <a:prstGeom prst="rect">
                      <a:avLst/>
                    </a:prstGeom>
                  </pic:spPr>
                </pic:pic>
              </a:graphicData>
            </a:graphic>
            <wp14:sizeRelH relativeFrom="margin">
              <wp14:pctWidth>0</wp14:pctWidth>
            </wp14:sizeRelH>
            <wp14:sizeRelV relativeFrom="margin">
              <wp14:pctHeight>0</wp14:pctHeight>
            </wp14:sizeRelV>
          </wp:anchor>
        </w:drawing>
      </w:r>
    </w:p>
    <w:sectPr w:rsidR="006A03C2" w:rsidSect="00B014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EF0EC" w14:textId="77777777" w:rsidR="00AE0146" w:rsidRDefault="00AE0146">
      <w:r>
        <w:separator/>
      </w:r>
    </w:p>
  </w:endnote>
  <w:endnote w:type="continuationSeparator" w:id="0">
    <w:p w14:paraId="070ED1FD" w14:textId="77777777" w:rsidR="00AE0146" w:rsidRDefault="00AE0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EC1D6" w14:textId="77777777" w:rsidR="00AE0146" w:rsidRDefault="00AE0146">
      <w:r>
        <w:separator/>
      </w:r>
    </w:p>
  </w:footnote>
  <w:footnote w:type="continuationSeparator" w:id="0">
    <w:p w14:paraId="796BE45D" w14:textId="77777777" w:rsidR="00AE0146" w:rsidRDefault="00AE01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8B5"/>
    <w:rsid w:val="001607E0"/>
    <w:rsid w:val="002538B5"/>
    <w:rsid w:val="00474EEC"/>
    <w:rsid w:val="004A5FF1"/>
    <w:rsid w:val="0057550E"/>
    <w:rsid w:val="00670A1A"/>
    <w:rsid w:val="006A03C2"/>
    <w:rsid w:val="00810343"/>
    <w:rsid w:val="008932E2"/>
    <w:rsid w:val="009E46C0"/>
    <w:rsid w:val="00AC21D4"/>
    <w:rsid w:val="00AE0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25AC95"/>
  <w15:chartTrackingRefBased/>
  <w15:docId w15:val="{A0840E96-FE27-9D4F-B8C6-EA10A588D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8B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538B5"/>
    <w:pPr>
      <w:spacing w:before="120"/>
      <w:ind w:firstLine="720"/>
    </w:pPr>
  </w:style>
  <w:style w:type="character" w:styleId="FootnoteReference">
    <w:name w:val="footnote reference"/>
    <w:basedOn w:val="DefaultParagraphFont"/>
    <w:uiPriority w:val="99"/>
    <w:semiHidden/>
    <w:unhideWhenUsed/>
    <w:rsid w:val="002538B5"/>
    <w:rPr>
      <w:vertAlign w:val="superscript"/>
    </w:rPr>
  </w:style>
  <w:style w:type="paragraph" w:styleId="Revision">
    <w:name w:val="Revision"/>
    <w:hidden/>
    <w:uiPriority w:val="99"/>
    <w:semiHidden/>
    <w:rsid w:val="001607E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D4EFA-99D0-CD4A-8AF1-7B25501BE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13</Pages>
  <Words>7883</Words>
  <Characters>44936</Characters>
  <Application>Microsoft Office Word</Application>
  <DocSecurity>0</DocSecurity>
  <Lines>374</Lines>
  <Paragraphs>105</Paragraphs>
  <ScaleCrop>false</ScaleCrop>
  <Company/>
  <LinksUpToDate>false</LinksUpToDate>
  <CharactersWithSpaces>52714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Stewart</dc:creator>
  <cp:keywords/>
  <dc:description/>
  <cp:lastModifiedBy>Caitlin Stewart</cp:lastModifiedBy>
  <cp:revision>9</cp:revision>
  <dcterms:created xsi:type="dcterms:W3CDTF">2023-08-17T15:42:00Z</dcterms:created>
  <dcterms:modified xsi:type="dcterms:W3CDTF">2023-10-06T22:18:00Z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75eefeaf-6455-3557-8021-9c7761649e2f</vt:lpwstr>
  </property>
  <property fmtid="{D5CDD505-2E9C-101B-9397-08002B2CF9AE}" pid="24" name="Mendeley Citation Style_1">
    <vt:lpwstr>http://www.zotero.org/styles/nature</vt:lpwstr>
  </property>
</Properties>
</file>