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A62F80B" w:rsidR="00DA5071" w:rsidRPr="00D800F0" w:rsidRDefault="00000000" w:rsidP="006864F3">
      <w:pPr>
        <w:pStyle w:val="Title"/>
        <w:jc w:val="center"/>
        <w:rPr>
          <w:rFonts w:ascii="Arial" w:hAnsi="Arial" w:cs="Arial"/>
        </w:rPr>
      </w:pPr>
      <w:bookmarkStart w:id="0" w:name="_heading=h.gjdgxs" w:colFirst="0" w:colLast="0"/>
      <w:bookmarkEnd w:id="0"/>
      <w:r w:rsidRPr="00D800F0">
        <w:rPr>
          <w:rFonts w:ascii="Arial" w:hAnsi="Arial" w:cs="Arial"/>
        </w:rPr>
        <w:t xml:space="preserve">Implications of the Inflation Reduction Act on </w:t>
      </w:r>
      <w:r w:rsidR="00C02B34" w:rsidRPr="00D800F0">
        <w:rPr>
          <w:rFonts w:ascii="Arial" w:hAnsi="Arial" w:cs="Arial"/>
        </w:rPr>
        <w:t xml:space="preserve">the </w:t>
      </w:r>
      <w:r w:rsidRPr="00D800F0">
        <w:rPr>
          <w:rFonts w:ascii="Arial" w:hAnsi="Arial" w:cs="Arial"/>
        </w:rPr>
        <w:t>Deployment of Low-Carbon Ammonia Technologies</w:t>
      </w:r>
    </w:p>
    <w:p w14:paraId="00000002" w14:textId="02778D20" w:rsidR="00DA5071" w:rsidRPr="00D800F0" w:rsidRDefault="007256C3" w:rsidP="006864F3">
      <w:pPr>
        <w:pStyle w:val="Subtitle"/>
        <w:rPr>
          <w:rFonts w:ascii="Arial" w:hAnsi="Arial" w:cs="Arial"/>
        </w:rPr>
      </w:pPr>
      <w:bookmarkStart w:id="1" w:name="_heading=h.d7wwo0lf9y6k" w:colFirst="0" w:colLast="0"/>
      <w:bookmarkStart w:id="2" w:name="_Hlk148296273"/>
      <w:bookmarkEnd w:id="1"/>
      <w:r w:rsidRPr="00D800F0">
        <w:rPr>
          <w:rFonts w:ascii="Arial" w:hAnsi="Arial" w:cs="Arial"/>
        </w:rPr>
        <w:t>Chi Kong Chyong</w:t>
      </w:r>
      <w:r w:rsidR="006864F3" w:rsidRPr="00D800F0">
        <w:rPr>
          <w:rFonts w:ascii="Arial" w:hAnsi="Arial" w:cs="Arial"/>
          <w:vertAlign w:val="superscript"/>
        </w:rPr>
        <w:t>a</w:t>
      </w:r>
      <w:r w:rsidRPr="00D800F0">
        <w:rPr>
          <w:rFonts w:ascii="Arial" w:hAnsi="Arial" w:cs="Arial"/>
        </w:rPr>
        <w:t>, Eduardo Italiani</w:t>
      </w:r>
      <w:r w:rsidR="006864F3" w:rsidRPr="00D800F0">
        <w:rPr>
          <w:rFonts w:ascii="Arial" w:hAnsi="Arial" w:cs="Arial"/>
          <w:vertAlign w:val="superscript"/>
        </w:rPr>
        <w:t>a</w:t>
      </w:r>
      <w:r w:rsidRPr="00D800F0">
        <w:rPr>
          <w:rFonts w:ascii="Arial" w:hAnsi="Arial" w:cs="Arial"/>
        </w:rPr>
        <w:t>, Nikolaos Kazantzis</w:t>
      </w:r>
      <w:r w:rsidR="006864F3" w:rsidRPr="00D800F0">
        <w:rPr>
          <w:rFonts w:ascii="Arial" w:hAnsi="Arial" w:cs="Arial"/>
          <w:vertAlign w:val="superscript"/>
        </w:rPr>
        <w:t>b</w:t>
      </w:r>
      <w:r w:rsidRPr="00D800F0">
        <w:rPr>
          <w:rFonts w:ascii="Arial" w:hAnsi="Arial" w:cs="Arial"/>
        </w:rPr>
        <w:t>.</w:t>
      </w:r>
    </w:p>
    <w:p w14:paraId="00000003" w14:textId="4B744FDA" w:rsidR="00DA5071" w:rsidRPr="00D800F0" w:rsidRDefault="00000000" w:rsidP="006864F3">
      <w:pPr>
        <w:pStyle w:val="Subtitle"/>
        <w:rPr>
          <w:rFonts w:ascii="Arial" w:hAnsi="Arial" w:cs="Arial"/>
          <w:i/>
          <w:iCs w:val="0"/>
          <w:sz w:val="22"/>
          <w:szCs w:val="22"/>
          <w:vertAlign w:val="superscript"/>
        </w:rPr>
      </w:pPr>
      <w:r w:rsidRPr="00D800F0">
        <w:rPr>
          <w:rFonts w:ascii="Arial" w:hAnsi="Arial" w:cs="Arial"/>
          <w:i/>
          <w:iCs w:val="0"/>
          <w:sz w:val="22"/>
          <w:szCs w:val="22"/>
          <w:vertAlign w:val="superscript"/>
        </w:rPr>
        <w:t xml:space="preserve">a </w:t>
      </w:r>
      <w:r w:rsidRPr="00D800F0">
        <w:rPr>
          <w:rFonts w:ascii="Arial" w:hAnsi="Arial" w:cs="Arial"/>
          <w:i/>
          <w:iCs w:val="0"/>
          <w:sz w:val="22"/>
          <w:szCs w:val="22"/>
        </w:rPr>
        <w:t>Center on Global Energy Policy, School of International and Public Affairs, Columbia University</w:t>
      </w:r>
      <w:r w:rsidR="00C02B34" w:rsidRPr="00D800F0">
        <w:rPr>
          <w:rFonts w:ascii="Arial" w:hAnsi="Arial" w:cs="Arial"/>
          <w:i/>
          <w:iCs w:val="0"/>
          <w:sz w:val="22"/>
          <w:szCs w:val="22"/>
        </w:rPr>
        <w:t>, New York, NY 10027</w:t>
      </w:r>
    </w:p>
    <w:p w14:paraId="00000004" w14:textId="482849A4" w:rsidR="00DA5071" w:rsidRPr="00D800F0" w:rsidRDefault="00C02B34" w:rsidP="006864F3">
      <w:pPr>
        <w:pStyle w:val="Subtitle"/>
        <w:rPr>
          <w:rFonts w:ascii="Arial" w:hAnsi="Arial" w:cs="Arial"/>
          <w:i/>
          <w:iCs w:val="0"/>
          <w:sz w:val="22"/>
          <w:szCs w:val="22"/>
        </w:rPr>
      </w:pPr>
      <w:r w:rsidRPr="00D800F0">
        <w:rPr>
          <w:rFonts w:ascii="Arial" w:hAnsi="Arial" w:cs="Arial"/>
          <w:i/>
          <w:iCs w:val="0"/>
          <w:sz w:val="22"/>
          <w:szCs w:val="22"/>
          <w:vertAlign w:val="superscript"/>
        </w:rPr>
        <w:t xml:space="preserve">b </w:t>
      </w:r>
      <w:r w:rsidRPr="00D800F0">
        <w:rPr>
          <w:rFonts w:ascii="Arial" w:hAnsi="Arial" w:cs="Arial"/>
          <w:i/>
          <w:iCs w:val="0"/>
          <w:sz w:val="22"/>
          <w:szCs w:val="22"/>
        </w:rPr>
        <w:t>Department of Chemical Engineering, Worcester Polytechnic Institute, Worcester, MA 01609</w:t>
      </w:r>
    </w:p>
    <w:p w14:paraId="00000006" w14:textId="1745DD8A" w:rsidR="00DA5071" w:rsidRPr="00D800F0" w:rsidRDefault="00000000" w:rsidP="006864F3">
      <w:pPr>
        <w:pStyle w:val="Subtitle"/>
        <w:rPr>
          <w:rFonts w:ascii="Arial" w:hAnsi="Arial" w:cs="Arial"/>
          <w:i/>
          <w:iCs w:val="0"/>
          <w:color w:val="0000FF"/>
          <w:sz w:val="22"/>
          <w:szCs w:val="22"/>
          <w:u w:val="single"/>
        </w:rPr>
      </w:pPr>
      <w:r w:rsidRPr="00D800F0">
        <w:rPr>
          <w:rFonts w:ascii="Arial" w:hAnsi="Arial" w:cs="Arial"/>
          <w:i/>
          <w:iCs w:val="0"/>
          <w:sz w:val="22"/>
          <w:szCs w:val="22"/>
        </w:rPr>
        <w:t xml:space="preserve">Corresponding author: </w:t>
      </w:r>
      <w:hyperlink r:id="rId9">
        <w:r w:rsidRPr="00D800F0">
          <w:rPr>
            <w:rFonts w:ascii="Arial" w:hAnsi="Arial" w:cs="Arial"/>
            <w:i/>
            <w:iCs w:val="0"/>
            <w:color w:val="0000FF"/>
            <w:sz w:val="22"/>
            <w:szCs w:val="22"/>
            <w:u w:val="single"/>
          </w:rPr>
          <w:t>kc3634@columbia.edu</w:t>
        </w:r>
      </w:hyperlink>
    </w:p>
    <w:bookmarkEnd w:id="2"/>
    <w:p w14:paraId="6C730CEF" w14:textId="77777777" w:rsidR="006864F3" w:rsidRPr="00D800F0" w:rsidRDefault="006864F3" w:rsidP="006864F3">
      <w:pPr>
        <w:pStyle w:val="Heading1"/>
        <w:rPr>
          <w:rFonts w:ascii="Arial" w:hAnsi="Arial" w:cs="Arial"/>
        </w:rPr>
      </w:pPr>
    </w:p>
    <w:p w14:paraId="08AB03C3" w14:textId="23BC00EC" w:rsidR="006864F3" w:rsidRPr="00D800F0" w:rsidRDefault="00000000" w:rsidP="006864F3">
      <w:pPr>
        <w:pStyle w:val="Heading1"/>
        <w:rPr>
          <w:rFonts w:ascii="Arial" w:hAnsi="Arial" w:cs="Arial"/>
        </w:rPr>
      </w:pPr>
      <w:bookmarkStart w:id="3" w:name="_Toc148296612"/>
      <w:r w:rsidRPr="00D800F0">
        <w:rPr>
          <w:rFonts w:ascii="Arial" w:hAnsi="Arial" w:cs="Arial"/>
        </w:rPr>
        <w:t>Supplementary Information</w:t>
      </w:r>
      <w:bookmarkEnd w:id="3"/>
    </w:p>
    <w:p w14:paraId="6FF48621" w14:textId="77777777" w:rsidR="00D800F0" w:rsidRPr="00D800F0" w:rsidRDefault="00D800F0" w:rsidP="00D800F0">
      <w:pPr>
        <w:rPr>
          <w:rFonts w:ascii="Arial" w:hAnsi="Arial" w:cs="Arial"/>
          <w:lang w:eastAsia="en-GB"/>
        </w:rPr>
      </w:pPr>
    </w:p>
    <w:sdt>
      <w:sdtPr>
        <w:rPr>
          <w:rFonts w:ascii="Arial" w:eastAsia="Calibri" w:hAnsi="Arial" w:cs="Arial"/>
          <w:color w:val="auto"/>
          <w:sz w:val="22"/>
          <w:szCs w:val="22"/>
        </w:rPr>
        <w:id w:val="-2118361468"/>
        <w:docPartObj>
          <w:docPartGallery w:val="Table of Contents"/>
          <w:docPartUnique/>
        </w:docPartObj>
      </w:sdtPr>
      <w:sdtEndPr>
        <w:rPr>
          <w:b/>
          <w:bCs/>
          <w:noProof/>
        </w:rPr>
      </w:sdtEndPr>
      <w:sdtContent>
        <w:p w14:paraId="08E9F4FC" w14:textId="5EA43834" w:rsidR="00D800F0" w:rsidRPr="00D800F0" w:rsidRDefault="00D800F0">
          <w:pPr>
            <w:pStyle w:val="TOCHeading"/>
            <w:rPr>
              <w:rFonts w:ascii="Arial" w:hAnsi="Arial" w:cs="Arial"/>
            </w:rPr>
          </w:pPr>
          <w:r w:rsidRPr="00D800F0">
            <w:rPr>
              <w:rFonts w:ascii="Arial" w:hAnsi="Arial" w:cs="Arial"/>
            </w:rPr>
            <w:t>Table of Contents</w:t>
          </w:r>
        </w:p>
        <w:p w14:paraId="1930FB6A" w14:textId="264542A8" w:rsidR="000514CF" w:rsidRDefault="00D800F0">
          <w:pPr>
            <w:pStyle w:val="TOC1"/>
            <w:tabs>
              <w:tab w:val="right" w:leader="dot" w:pos="9350"/>
            </w:tabs>
            <w:rPr>
              <w:rFonts w:asciiTheme="minorHAnsi" w:eastAsiaTheme="minorEastAsia" w:hAnsiTheme="minorHAnsi" w:cstheme="minorBidi"/>
              <w:noProof/>
              <w:kern w:val="2"/>
              <w14:ligatures w14:val="standardContextual"/>
            </w:rPr>
          </w:pPr>
          <w:r w:rsidRPr="00D800F0">
            <w:rPr>
              <w:rFonts w:ascii="Arial" w:hAnsi="Arial" w:cs="Arial"/>
            </w:rPr>
            <w:fldChar w:fldCharType="begin"/>
          </w:r>
          <w:r w:rsidRPr="00D800F0">
            <w:rPr>
              <w:rFonts w:ascii="Arial" w:hAnsi="Arial" w:cs="Arial"/>
            </w:rPr>
            <w:instrText xml:space="preserve"> TOC \o "1-3" \h \z \u </w:instrText>
          </w:r>
          <w:r w:rsidRPr="00D800F0">
            <w:rPr>
              <w:rFonts w:ascii="Arial" w:hAnsi="Arial" w:cs="Arial"/>
            </w:rPr>
            <w:fldChar w:fldCharType="separate"/>
          </w:r>
          <w:hyperlink w:anchor="_Toc148296612" w:history="1">
            <w:r w:rsidR="000514CF" w:rsidRPr="003C04AA">
              <w:rPr>
                <w:rStyle w:val="Hyperlink"/>
                <w:rFonts w:ascii="Arial" w:hAnsi="Arial" w:cs="Arial"/>
                <w:noProof/>
              </w:rPr>
              <w:t>Supplementary Information</w:t>
            </w:r>
            <w:r w:rsidR="000514CF">
              <w:rPr>
                <w:noProof/>
                <w:webHidden/>
              </w:rPr>
              <w:tab/>
            </w:r>
            <w:r w:rsidR="000514CF">
              <w:rPr>
                <w:noProof/>
                <w:webHidden/>
              </w:rPr>
              <w:fldChar w:fldCharType="begin"/>
            </w:r>
            <w:r w:rsidR="000514CF">
              <w:rPr>
                <w:noProof/>
                <w:webHidden/>
              </w:rPr>
              <w:instrText xml:space="preserve"> PAGEREF _Toc148296612 \h </w:instrText>
            </w:r>
            <w:r w:rsidR="000514CF">
              <w:rPr>
                <w:noProof/>
                <w:webHidden/>
              </w:rPr>
            </w:r>
            <w:r w:rsidR="000514CF">
              <w:rPr>
                <w:noProof/>
                <w:webHidden/>
              </w:rPr>
              <w:fldChar w:fldCharType="separate"/>
            </w:r>
            <w:r w:rsidR="000514CF">
              <w:rPr>
                <w:noProof/>
                <w:webHidden/>
              </w:rPr>
              <w:t>1</w:t>
            </w:r>
            <w:r w:rsidR="000514CF">
              <w:rPr>
                <w:noProof/>
                <w:webHidden/>
              </w:rPr>
              <w:fldChar w:fldCharType="end"/>
            </w:r>
          </w:hyperlink>
        </w:p>
        <w:p w14:paraId="0729D1CD" w14:textId="7EC1752D" w:rsidR="000514CF" w:rsidRDefault="000514CF">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48296613" w:history="1">
            <w:r w:rsidRPr="003C04AA">
              <w:rPr>
                <w:rStyle w:val="Hyperlink"/>
                <w:rFonts w:ascii="Arial" w:hAnsi="Arial" w:cs="Arial"/>
                <w:noProof/>
              </w:rPr>
              <w:t>A.</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Technical Foundation of the Techno-Economic Analysis</w:t>
            </w:r>
            <w:r>
              <w:rPr>
                <w:noProof/>
                <w:webHidden/>
              </w:rPr>
              <w:tab/>
            </w:r>
            <w:r>
              <w:rPr>
                <w:noProof/>
                <w:webHidden/>
              </w:rPr>
              <w:fldChar w:fldCharType="begin"/>
            </w:r>
            <w:r>
              <w:rPr>
                <w:noProof/>
                <w:webHidden/>
              </w:rPr>
              <w:instrText xml:space="preserve"> PAGEREF _Toc148296613 \h </w:instrText>
            </w:r>
            <w:r>
              <w:rPr>
                <w:noProof/>
                <w:webHidden/>
              </w:rPr>
            </w:r>
            <w:r>
              <w:rPr>
                <w:noProof/>
                <w:webHidden/>
              </w:rPr>
              <w:fldChar w:fldCharType="separate"/>
            </w:r>
            <w:r>
              <w:rPr>
                <w:noProof/>
                <w:webHidden/>
              </w:rPr>
              <w:t>3</w:t>
            </w:r>
            <w:r>
              <w:rPr>
                <w:noProof/>
                <w:webHidden/>
              </w:rPr>
              <w:fldChar w:fldCharType="end"/>
            </w:r>
          </w:hyperlink>
        </w:p>
        <w:p w14:paraId="6A62531A" w14:textId="4B6B2595"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14" w:history="1">
            <w:r w:rsidRPr="003C04AA">
              <w:rPr>
                <w:rStyle w:val="Hyperlink"/>
                <w:rFonts w:ascii="Arial" w:hAnsi="Arial" w:cs="Arial"/>
                <w:noProof/>
              </w:rPr>
              <w:t>A.1.</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AP SMR and AP CCS</w:t>
            </w:r>
            <w:r>
              <w:rPr>
                <w:noProof/>
                <w:webHidden/>
              </w:rPr>
              <w:tab/>
            </w:r>
            <w:r>
              <w:rPr>
                <w:noProof/>
                <w:webHidden/>
              </w:rPr>
              <w:fldChar w:fldCharType="begin"/>
            </w:r>
            <w:r>
              <w:rPr>
                <w:noProof/>
                <w:webHidden/>
              </w:rPr>
              <w:instrText xml:space="preserve"> PAGEREF _Toc148296614 \h </w:instrText>
            </w:r>
            <w:r>
              <w:rPr>
                <w:noProof/>
                <w:webHidden/>
              </w:rPr>
            </w:r>
            <w:r>
              <w:rPr>
                <w:noProof/>
                <w:webHidden/>
              </w:rPr>
              <w:fldChar w:fldCharType="separate"/>
            </w:r>
            <w:r>
              <w:rPr>
                <w:noProof/>
                <w:webHidden/>
              </w:rPr>
              <w:t>4</w:t>
            </w:r>
            <w:r>
              <w:rPr>
                <w:noProof/>
                <w:webHidden/>
              </w:rPr>
              <w:fldChar w:fldCharType="end"/>
            </w:r>
          </w:hyperlink>
        </w:p>
        <w:p w14:paraId="591AFE09" w14:textId="2EE27333"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15" w:history="1">
            <w:r w:rsidRPr="003C04AA">
              <w:rPr>
                <w:rStyle w:val="Hyperlink"/>
                <w:rFonts w:ascii="Arial" w:hAnsi="Arial" w:cs="Arial"/>
                <w:noProof/>
              </w:rPr>
              <w:t>A.2.</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AP BH2S</w:t>
            </w:r>
            <w:r>
              <w:rPr>
                <w:noProof/>
                <w:webHidden/>
              </w:rPr>
              <w:tab/>
            </w:r>
            <w:r>
              <w:rPr>
                <w:noProof/>
                <w:webHidden/>
              </w:rPr>
              <w:fldChar w:fldCharType="begin"/>
            </w:r>
            <w:r>
              <w:rPr>
                <w:noProof/>
                <w:webHidden/>
              </w:rPr>
              <w:instrText xml:space="preserve"> PAGEREF _Toc148296615 \h </w:instrText>
            </w:r>
            <w:r>
              <w:rPr>
                <w:noProof/>
                <w:webHidden/>
              </w:rPr>
            </w:r>
            <w:r>
              <w:rPr>
                <w:noProof/>
                <w:webHidden/>
              </w:rPr>
              <w:fldChar w:fldCharType="separate"/>
            </w:r>
            <w:r>
              <w:rPr>
                <w:noProof/>
                <w:webHidden/>
              </w:rPr>
              <w:t>5</w:t>
            </w:r>
            <w:r>
              <w:rPr>
                <w:noProof/>
                <w:webHidden/>
              </w:rPr>
              <w:fldChar w:fldCharType="end"/>
            </w:r>
          </w:hyperlink>
        </w:p>
        <w:p w14:paraId="7B908731" w14:textId="4CD2E897"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16" w:history="1">
            <w:r w:rsidRPr="003C04AA">
              <w:rPr>
                <w:rStyle w:val="Hyperlink"/>
                <w:rFonts w:ascii="Arial" w:hAnsi="Arial" w:cs="Arial"/>
                <w:noProof/>
              </w:rPr>
              <w:t>A.3.</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AP AEC</w:t>
            </w:r>
            <w:r>
              <w:rPr>
                <w:noProof/>
                <w:webHidden/>
              </w:rPr>
              <w:tab/>
            </w:r>
            <w:r>
              <w:rPr>
                <w:noProof/>
                <w:webHidden/>
              </w:rPr>
              <w:fldChar w:fldCharType="begin"/>
            </w:r>
            <w:r>
              <w:rPr>
                <w:noProof/>
                <w:webHidden/>
              </w:rPr>
              <w:instrText xml:space="preserve"> PAGEREF _Toc148296616 \h </w:instrText>
            </w:r>
            <w:r>
              <w:rPr>
                <w:noProof/>
                <w:webHidden/>
              </w:rPr>
            </w:r>
            <w:r>
              <w:rPr>
                <w:noProof/>
                <w:webHidden/>
              </w:rPr>
              <w:fldChar w:fldCharType="separate"/>
            </w:r>
            <w:r>
              <w:rPr>
                <w:noProof/>
                <w:webHidden/>
              </w:rPr>
              <w:t>6</w:t>
            </w:r>
            <w:r>
              <w:rPr>
                <w:noProof/>
                <w:webHidden/>
              </w:rPr>
              <w:fldChar w:fldCharType="end"/>
            </w:r>
          </w:hyperlink>
        </w:p>
        <w:p w14:paraId="729F6087" w14:textId="6E568A30"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17" w:history="1">
            <w:r w:rsidRPr="003C04AA">
              <w:rPr>
                <w:rStyle w:val="Hyperlink"/>
                <w:rFonts w:ascii="Arial" w:hAnsi="Arial" w:cs="Arial"/>
                <w:noProof/>
              </w:rPr>
              <w:t>A.4.</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Utility, feedstock, and product flowrates and miscellaneous technical variables.</w:t>
            </w:r>
            <w:r>
              <w:rPr>
                <w:noProof/>
                <w:webHidden/>
              </w:rPr>
              <w:tab/>
            </w:r>
            <w:r>
              <w:rPr>
                <w:noProof/>
                <w:webHidden/>
              </w:rPr>
              <w:fldChar w:fldCharType="begin"/>
            </w:r>
            <w:r>
              <w:rPr>
                <w:noProof/>
                <w:webHidden/>
              </w:rPr>
              <w:instrText xml:space="preserve"> PAGEREF _Toc148296617 \h </w:instrText>
            </w:r>
            <w:r>
              <w:rPr>
                <w:noProof/>
                <w:webHidden/>
              </w:rPr>
            </w:r>
            <w:r>
              <w:rPr>
                <w:noProof/>
                <w:webHidden/>
              </w:rPr>
              <w:fldChar w:fldCharType="separate"/>
            </w:r>
            <w:r>
              <w:rPr>
                <w:noProof/>
                <w:webHidden/>
              </w:rPr>
              <w:t>7</w:t>
            </w:r>
            <w:r>
              <w:rPr>
                <w:noProof/>
                <w:webHidden/>
              </w:rPr>
              <w:fldChar w:fldCharType="end"/>
            </w:r>
          </w:hyperlink>
        </w:p>
        <w:p w14:paraId="67471373" w14:textId="75DB8364" w:rsidR="000514CF" w:rsidRDefault="000514CF">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48296618" w:history="1">
            <w:r w:rsidRPr="003C04AA">
              <w:rPr>
                <w:rStyle w:val="Hyperlink"/>
                <w:rFonts w:ascii="Arial" w:hAnsi="Arial" w:cs="Arial"/>
                <w:noProof/>
              </w:rPr>
              <w:t>B.</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Techno-Economic Quantities of the Technical Process System Model</w:t>
            </w:r>
            <w:r>
              <w:rPr>
                <w:noProof/>
                <w:webHidden/>
              </w:rPr>
              <w:tab/>
            </w:r>
            <w:r>
              <w:rPr>
                <w:noProof/>
                <w:webHidden/>
              </w:rPr>
              <w:fldChar w:fldCharType="begin"/>
            </w:r>
            <w:r>
              <w:rPr>
                <w:noProof/>
                <w:webHidden/>
              </w:rPr>
              <w:instrText xml:space="preserve"> PAGEREF _Toc148296618 \h </w:instrText>
            </w:r>
            <w:r>
              <w:rPr>
                <w:noProof/>
                <w:webHidden/>
              </w:rPr>
            </w:r>
            <w:r>
              <w:rPr>
                <w:noProof/>
                <w:webHidden/>
              </w:rPr>
              <w:fldChar w:fldCharType="separate"/>
            </w:r>
            <w:r>
              <w:rPr>
                <w:noProof/>
                <w:webHidden/>
              </w:rPr>
              <w:t>9</w:t>
            </w:r>
            <w:r>
              <w:rPr>
                <w:noProof/>
                <w:webHidden/>
              </w:rPr>
              <w:fldChar w:fldCharType="end"/>
            </w:r>
          </w:hyperlink>
        </w:p>
        <w:p w14:paraId="2CC21F16" w14:textId="0C81F750"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19" w:history="1">
            <w:r w:rsidRPr="003C04AA">
              <w:rPr>
                <w:rStyle w:val="Hyperlink"/>
                <w:rFonts w:ascii="Arial" w:hAnsi="Arial" w:cs="Arial"/>
                <w:noProof/>
              </w:rPr>
              <w:t>B.1.</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Objectives</w:t>
            </w:r>
            <w:r>
              <w:rPr>
                <w:noProof/>
                <w:webHidden/>
              </w:rPr>
              <w:tab/>
            </w:r>
            <w:r>
              <w:rPr>
                <w:noProof/>
                <w:webHidden/>
              </w:rPr>
              <w:fldChar w:fldCharType="begin"/>
            </w:r>
            <w:r>
              <w:rPr>
                <w:noProof/>
                <w:webHidden/>
              </w:rPr>
              <w:instrText xml:space="preserve"> PAGEREF _Toc148296619 \h </w:instrText>
            </w:r>
            <w:r>
              <w:rPr>
                <w:noProof/>
                <w:webHidden/>
              </w:rPr>
            </w:r>
            <w:r>
              <w:rPr>
                <w:noProof/>
                <w:webHidden/>
              </w:rPr>
              <w:fldChar w:fldCharType="separate"/>
            </w:r>
            <w:r>
              <w:rPr>
                <w:noProof/>
                <w:webHidden/>
              </w:rPr>
              <w:t>9</w:t>
            </w:r>
            <w:r>
              <w:rPr>
                <w:noProof/>
                <w:webHidden/>
              </w:rPr>
              <w:fldChar w:fldCharType="end"/>
            </w:r>
          </w:hyperlink>
        </w:p>
        <w:p w14:paraId="2E2F4F95" w14:textId="23623445"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20" w:history="1">
            <w:r w:rsidRPr="003C04AA">
              <w:rPr>
                <w:rStyle w:val="Hyperlink"/>
                <w:rFonts w:ascii="Arial" w:hAnsi="Arial" w:cs="Arial"/>
                <w:noProof/>
              </w:rPr>
              <w:t>B.2.</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Model Formulation CAPEX</w:t>
            </w:r>
            <w:r>
              <w:rPr>
                <w:noProof/>
                <w:webHidden/>
              </w:rPr>
              <w:tab/>
            </w:r>
            <w:r>
              <w:rPr>
                <w:noProof/>
                <w:webHidden/>
              </w:rPr>
              <w:fldChar w:fldCharType="begin"/>
            </w:r>
            <w:r>
              <w:rPr>
                <w:noProof/>
                <w:webHidden/>
              </w:rPr>
              <w:instrText xml:space="preserve"> PAGEREF _Toc148296620 \h </w:instrText>
            </w:r>
            <w:r>
              <w:rPr>
                <w:noProof/>
                <w:webHidden/>
              </w:rPr>
            </w:r>
            <w:r>
              <w:rPr>
                <w:noProof/>
                <w:webHidden/>
              </w:rPr>
              <w:fldChar w:fldCharType="separate"/>
            </w:r>
            <w:r>
              <w:rPr>
                <w:noProof/>
                <w:webHidden/>
              </w:rPr>
              <w:t>11</w:t>
            </w:r>
            <w:r>
              <w:rPr>
                <w:noProof/>
                <w:webHidden/>
              </w:rPr>
              <w:fldChar w:fldCharType="end"/>
            </w:r>
          </w:hyperlink>
        </w:p>
        <w:p w14:paraId="680CD0A2" w14:textId="3E7D7821"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21" w:history="1">
            <w:r w:rsidRPr="003C04AA">
              <w:rPr>
                <w:rStyle w:val="Hyperlink"/>
                <w:rFonts w:ascii="Arial" w:hAnsi="Arial" w:cs="Arial"/>
                <w:noProof/>
              </w:rPr>
              <w:t>B.3.</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Model Formulation OPEX</w:t>
            </w:r>
            <w:r>
              <w:rPr>
                <w:noProof/>
                <w:webHidden/>
              </w:rPr>
              <w:tab/>
            </w:r>
            <w:r>
              <w:rPr>
                <w:noProof/>
                <w:webHidden/>
              </w:rPr>
              <w:fldChar w:fldCharType="begin"/>
            </w:r>
            <w:r>
              <w:rPr>
                <w:noProof/>
                <w:webHidden/>
              </w:rPr>
              <w:instrText xml:space="preserve"> PAGEREF _Toc148296621 \h </w:instrText>
            </w:r>
            <w:r>
              <w:rPr>
                <w:noProof/>
                <w:webHidden/>
              </w:rPr>
            </w:r>
            <w:r>
              <w:rPr>
                <w:noProof/>
                <w:webHidden/>
              </w:rPr>
              <w:fldChar w:fldCharType="separate"/>
            </w:r>
            <w:r>
              <w:rPr>
                <w:noProof/>
                <w:webHidden/>
              </w:rPr>
              <w:t>14</w:t>
            </w:r>
            <w:r>
              <w:rPr>
                <w:noProof/>
                <w:webHidden/>
              </w:rPr>
              <w:fldChar w:fldCharType="end"/>
            </w:r>
          </w:hyperlink>
        </w:p>
        <w:p w14:paraId="4EACB7F5" w14:textId="1A0BCAF9" w:rsidR="000514CF" w:rsidRDefault="000514CF">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48296622" w:history="1">
            <w:r w:rsidRPr="003C04AA">
              <w:rPr>
                <w:rStyle w:val="Hyperlink"/>
                <w:rFonts w:ascii="Arial" w:hAnsi="Arial" w:cs="Arial"/>
                <w:noProof/>
              </w:rPr>
              <w:t>C.</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Stochastic DCF Model Based on Techno-Economic Quantities</w:t>
            </w:r>
            <w:r>
              <w:rPr>
                <w:noProof/>
                <w:webHidden/>
              </w:rPr>
              <w:tab/>
            </w:r>
            <w:r>
              <w:rPr>
                <w:noProof/>
                <w:webHidden/>
              </w:rPr>
              <w:fldChar w:fldCharType="begin"/>
            </w:r>
            <w:r>
              <w:rPr>
                <w:noProof/>
                <w:webHidden/>
              </w:rPr>
              <w:instrText xml:space="preserve"> PAGEREF _Toc148296622 \h </w:instrText>
            </w:r>
            <w:r>
              <w:rPr>
                <w:noProof/>
                <w:webHidden/>
              </w:rPr>
            </w:r>
            <w:r>
              <w:rPr>
                <w:noProof/>
                <w:webHidden/>
              </w:rPr>
              <w:fldChar w:fldCharType="separate"/>
            </w:r>
            <w:r>
              <w:rPr>
                <w:noProof/>
                <w:webHidden/>
              </w:rPr>
              <w:t>21</w:t>
            </w:r>
            <w:r>
              <w:rPr>
                <w:noProof/>
                <w:webHidden/>
              </w:rPr>
              <w:fldChar w:fldCharType="end"/>
            </w:r>
          </w:hyperlink>
        </w:p>
        <w:p w14:paraId="531A1B6D" w14:textId="6D7C25A1"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23" w:history="1">
            <w:r w:rsidRPr="003C04AA">
              <w:rPr>
                <w:rStyle w:val="Hyperlink"/>
                <w:rFonts w:ascii="Arial" w:hAnsi="Arial" w:cs="Arial"/>
                <w:noProof/>
              </w:rPr>
              <w:t>C.1.</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Problem statement</w:t>
            </w:r>
            <w:r>
              <w:rPr>
                <w:noProof/>
                <w:webHidden/>
              </w:rPr>
              <w:tab/>
            </w:r>
            <w:r>
              <w:rPr>
                <w:noProof/>
                <w:webHidden/>
              </w:rPr>
              <w:fldChar w:fldCharType="begin"/>
            </w:r>
            <w:r>
              <w:rPr>
                <w:noProof/>
                <w:webHidden/>
              </w:rPr>
              <w:instrText xml:space="preserve"> PAGEREF _Toc148296623 \h </w:instrText>
            </w:r>
            <w:r>
              <w:rPr>
                <w:noProof/>
                <w:webHidden/>
              </w:rPr>
            </w:r>
            <w:r>
              <w:rPr>
                <w:noProof/>
                <w:webHidden/>
              </w:rPr>
              <w:fldChar w:fldCharType="separate"/>
            </w:r>
            <w:r>
              <w:rPr>
                <w:noProof/>
                <w:webHidden/>
              </w:rPr>
              <w:t>21</w:t>
            </w:r>
            <w:r>
              <w:rPr>
                <w:noProof/>
                <w:webHidden/>
              </w:rPr>
              <w:fldChar w:fldCharType="end"/>
            </w:r>
          </w:hyperlink>
        </w:p>
        <w:p w14:paraId="2B9B143E" w14:textId="5051BA38"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24" w:history="1">
            <w:r w:rsidRPr="003C04AA">
              <w:rPr>
                <w:rStyle w:val="Hyperlink"/>
                <w:rFonts w:ascii="Arial" w:hAnsi="Arial" w:cs="Arial"/>
                <w:noProof/>
              </w:rPr>
              <w:t>C.2.</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DCF Model Formulation</w:t>
            </w:r>
            <w:r>
              <w:rPr>
                <w:noProof/>
                <w:webHidden/>
              </w:rPr>
              <w:tab/>
            </w:r>
            <w:r>
              <w:rPr>
                <w:noProof/>
                <w:webHidden/>
              </w:rPr>
              <w:fldChar w:fldCharType="begin"/>
            </w:r>
            <w:r>
              <w:rPr>
                <w:noProof/>
                <w:webHidden/>
              </w:rPr>
              <w:instrText xml:space="preserve"> PAGEREF _Toc148296624 \h </w:instrText>
            </w:r>
            <w:r>
              <w:rPr>
                <w:noProof/>
                <w:webHidden/>
              </w:rPr>
            </w:r>
            <w:r>
              <w:rPr>
                <w:noProof/>
                <w:webHidden/>
              </w:rPr>
              <w:fldChar w:fldCharType="separate"/>
            </w:r>
            <w:r>
              <w:rPr>
                <w:noProof/>
                <w:webHidden/>
              </w:rPr>
              <w:t>23</w:t>
            </w:r>
            <w:r>
              <w:rPr>
                <w:noProof/>
                <w:webHidden/>
              </w:rPr>
              <w:fldChar w:fldCharType="end"/>
            </w:r>
          </w:hyperlink>
        </w:p>
        <w:p w14:paraId="77645AB9" w14:textId="47A4063E"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25" w:history="1">
            <w:r w:rsidRPr="003C04AA">
              <w:rPr>
                <w:rStyle w:val="Hyperlink"/>
                <w:rFonts w:ascii="Arial" w:hAnsi="Arial" w:cs="Arial"/>
                <w:noProof/>
              </w:rPr>
              <w:t>C.3.</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Policy Model</w:t>
            </w:r>
            <w:r>
              <w:rPr>
                <w:noProof/>
                <w:webHidden/>
              </w:rPr>
              <w:tab/>
            </w:r>
            <w:r>
              <w:rPr>
                <w:noProof/>
                <w:webHidden/>
              </w:rPr>
              <w:fldChar w:fldCharType="begin"/>
            </w:r>
            <w:r>
              <w:rPr>
                <w:noProof/>
                <w:webHidden/>
              </w:rPr>
              <w:instrText xml:space="preserve"> PAGEREF _Toc148296625 \h </w:instrText>
            </w:r>
            <w:r>
              <w:rPr>
                <w:noProof/>
                <w:webHidden/>
              </w:rPr>
            </w:r>
            <w:r>
              <w:rPr>
                <w:noProof/>
                <w:webHidden/>
              </w:rPr>
              <w:fldChar w:fldCharType="separate"/>
            </w:r>
            <w:r>
              <w:rPr>
                <w:noProof/>
                <w:webHidden/>
              </w:rPr>
              <w:t>25</w:t>
            </w:r>
            <w:r>
              <w:rPr>
                <w:noProof/>
                <w:webHidden/>
              </w:rPr>
              <w:fldChar w:fldCharType="end"/>
            </w:r>
          </w:hyperlink>
        </w:p>
        <w:p w14:paraId="5FF960FE" w14:textId="79C52344"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26" w:history="1">
            <w:r w:rsidRPr="003C04AA">
              <w:rPr>
                <w:rStyle w:val="Hyperlink"/>
                <w:rFonts w:ascii="Arial" w:hAnsi="Arial" w:cs="Arial"/>
                <w:noProof/>
              </w:rPr>
              <w:t>C.4.</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Measurement Metric Formulations</w:t>
            </w:r>
            <w:r>
              <w:rPr>
                <w:noProof/>
                <w:webHidden/>
              </w:rPr>
              <w:tab/>
            </w:r>
            <w:r>
              <w:rPr>
                <w:noProof/>
                <w:webHidden/>
              </w:rPr>
              <w:fldChar w:fldCharType="begin"/>
            </w:r>
            <w:r>
              <w:rPr>
                <w:noProof/>
                <w:webHidden/>
              </w:rPr>
              <w:instrText xml:space="preserve"> PAGEREF _Toc148296626 \h </w:instrText>
            </w:r>
            <w:r>
              <w:rPr>
                <w:noProof/>
                <w:webHidden/>
              </w:rPr>
            </w:r>
            <w:r>
              <w:rPr>
                <w:noProof/>
                <w:webHidden/>
              </w:rPr>
              <w:fldChar w:fldCharType="separate"/>
            </w:r>
            <w:r>
              <w:rPr>
                <w:noProof/>
                <w:webHidden/>
              </w:rPr>
              <w:t>27</w:t>
            </w:r>
            <w:r>
              <w:rPr>
                <w:noProof/>
                <w:webHidden/>
              </w:rPr>
              <w:fldChar w:fldCharType="end"/>
            </w:r>
          </w:hyperlink>
        </w:p>
        <w:p w14:paraId="7D0ADECA" w14:textId="2FB4C84C"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27" w:history="1">
            <w:r w:rsidRPr="003C04AA">
              <w:rPr>
                <w:rStyle w:val="Hyperlink"/>
                <w:rFonts w:ascii="Arial" w:hAnsi="Arial" w:cs="Arial"/>
                <w:noProof/>
              </w:rPr>
              <w:t>C.5.</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Data sources</w:t>
            </w:r>
            <w:r>
              <w:rPr>
                <w:noProof/>
                <w:webHidden/>
              </w:rPr>
              <w:tab/>
            </w:r>
            <w:r>
              <w:rPr>
                <w:noProof/>
                <w:webHidden/>
              </w:rPr>
              <w:fldChar w:fldCharType="begin"/>
            </w:r>
            <w:r>
              <w:rPr>
                <w:noProof/>
                <w:webHidden/>
              </w:rPr>
              <w:instrText xml:space="preserve"> PAGEREF _Toc148296627 \h </w:instrText>
            </w:r>
            <w:r>
              <w:rPr>
                <w:noProof/>
                <w:webHidden/>
              </w:rPr>
            </w:r>
            <w:r>
              <w:rPr>
                <w:noProof/>
                <w:webHidden/>
              </w:rPr>
              <w:fldChar w:fldCharType="separate"/>
            </w:r>
            <w:r>
              <w:rPr>
                <w:noProof/>
                <w:webHidden/>
              </w:rPr>
              <w:t>29</w:t>
            </w:r>
            <w:r>
              <w:rPr>
                <w:noProof/>
                <w:webHidden/>
              </w:rPr>
              <w:fldChar w:fldCharType="end"/>
            </w:r>
          </w:hyperlink>
        </w:p>
        <w:p w14:paraId="2511E884" w14:textId="578AD56F" w:rsidR="000514CF" w:rsidRDefault="000514CF">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48296628" w:history="1">
            <w:r w:rsidRPr="003C04AA">
              <w:rPr>
                <w:rStyle w:val="Hyperlink"/>
                <w:rFonts w:ascii="Arial" w:hAnsi="Arial" w:cs="Arial"/>
                <w:noProof/>
              </w:rPr>
              <w:t>D.</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Wind Farm and Battery System Optimization</w:t>
            </w:r>
            <w:r>
              <w:rPr>
                <w:noProof/>
                <w:webHidden/>
              </w:rPr>
              <w:tab/>
            </w:r>
            <w:r>
              <w:rPr>
                <w:noProof/>
                <w:webHidden/>
              </w:rPr>
              <w:fldChar w:fldCharType="begin"/>
            </w:r>
            <w:r>
              <w:rPr>
                <w:noProof/>
                <w:webHidden/>
              </w:rPr>
              <w:instrText xml:space="preserve"> PAGEREF _Toc148296628 \h </w:instrText>
            </w:r>
            <w:r>
              <w:rPr>
                <w:noProof/>
                <w:webHidden/>
              </w:rPr>
            </w:r>
            <w:r>
              <w:rPr>
                <w:noProof/>
                <w:webHidden/>
              </w:rPr>
              <w:fldChar w:fldCharType="separate"/>
            </w:r>
            <w:r>
              <w:rPr>
                <w:noProof/>
                <w:webHidden/>
              </w:rPr>
              <w:t>31</w:t>
            </w:r>
            <w:r>
              <w:rPr>
                <w:noProof/>
                <w:webHidden/>
              </w:rPr>
              <w:fldChar w:fldCharType="end"/>
            </w:r>
          </w:hyperlink>
        </w:p>
        <w:p w14:paraId="3B11D09E" w14:textId="2E6F5B37"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29" w:history="1">
            <w:r w:rsidRPr="003C04AA">
              <w:rPr>
                <w:rStyle w:val="Hyperlink"/>
                <w:rFonts w:ascii="Arial" w:hAnsi="Arial" w:cs="Arial"/>
                <w:noProof/>
              </w:rPr>
              <w:t>D.1.</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Problem Statement</w:t>
            </w:r>
            <w:r>
              <w:rPr>
                <w:noProof/>
                <w:webHidden/>
              </w:rPr>
              <w:tab/>
            </w:r>
            <w:r>
              <w:rPr>
                <w:noProof/>
                <w:webHidden/>
              </w:rPr>
              <w:fldChar w:fldCharType="begin"/>
            </w:r>
            <w:r>
              <w:rPr>
                <w:noProof/>
                <w:webHidden/>
              </w:rPr>
              <w:instrText xml:space="preserve"> PAGEREF _Toc148296629 \h </w:instrText>
            </w:r>
            <w:r>
              <w:rPr>
                <w:noProof/>
                <w:webHidden/>
              </w:rPr>
            </w:r>
            <w:r>
              <w:rPr>
                <w:noProof/>
                <w:webHidden/>
              </w:rPr>
              <w:fldChar w:fldCharType="separate"/>
            </w:r>
            <w:r>
              <w:rPr>
                <w:noProof/>
                <w:webHidden/>
              </w:rPr>
              <w:t>31</w:t>
            </w:r>
            <w:r>
              <w:rPr>
                <w:noProof/>
                <w:webHidden/>
              </w:rPr>
              <w:fldChar w:fldCharType="end"/>
            </w:r>
          </w:hyperlink>
        </w:p>
        <w:p w14:paraId="357D0DDF" w14:textId="2120EC83"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30" w:history="1">
            <w:r w:rsidRPr="003C04AA">
              <w:rPr>
                <w:rStyle w:val="Hyperlink"/>
                <w:rFonts w:ascii="Arial" w:hAnsi="Arial" w:cs="Arial"/>
                <w:noProof/>
              </w:rPr>
              <w:t>D.2.</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Model Formulation</w:t>
            </w:r>
            <w:r>
              <w:rPr>
                <w:noProof/>
                <w:webHidden/>
              </w:rPr>
              <w:tab/>
            </w:r>
            <w:r>
              <w:rPr>
                <w:noProof/>
                <w:webHidden/>
              </w:rPr>
              <w:fldChar w:fldCharType="begin"/>
            </w:r>
            <w:r>
              <w:rPr>
                <w:noProof/>
                <w:webHidden/>
              </w:rPr>
              <w:instrText xml:space="preserve"> PAGEREF _Toc148296630 \h </w:instrText>
            </w:r>
            <w:r>
              <w:rPr>
                <w:noProof/>
                <w:webHidden/>
              </w:rPr>
            </w:r>
            <w:r>
              <w:rPr>
                <w:noProof/>
                <w:webHidden/>
              </w:rPr>
              <w:fldChar w:fldCharType="separate"/>
            </w:r>
            <w:r>
              <w:rPr>
                <w:noProof/>
                <w:webHidden/>
              </w:rPr>
              <w:t>31</w:t>
            </w:r>
            <w:r>
              <w:rPr>
                <w:noProof/>
                <w:webHidden/>
              </w:rPr>
              <w:fldChar w:fldCharType="end"/>
            </w:r>
          </w:hyperlink>
        </w:p>
        <w:p w14:paraId="198A0100" w14:textId="6C522724"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31" w:history="1">
            <w:r w:rsidRPr="003C04AA">
              <w:rPr>
                <w:rStyle w:val="Hyperlink"/>
                <w:rFonts w:ascii="Arial" w:hAnsi="Arial" w:cs="Arial"/>
                <w:noProof/>
              </w:rPr>
              <w:t>D.3.</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Data sources</w:t>
            </w:r>
            <w:r>
              <w:rPr>
                <w:noProof/>
                <w:webHidden/>
              </w:rPr>
              <w:tab/>
            </w:r>
            <w:r>
              <w:rPr>
                <w:noProof/>
                <w:webHidden/>
              </w:rPr>
              <w:fldChar w:fldCharType="begin"/>
            </w:r>
            <w:r>
              <w:rPr>
                <w:noProof/>
                <w:webHidden/>
              </w:rPr>
              <w:instrText xml:space="preserve"> PAGEREF _Toc148296631 \h </w:instrText>
            </w:r>
            <w:r>
              <w:rPr>
                <w:noProof/>
                <w:webHidden/>
              </w:rPr>
            </w:r>
            <w:r>
              <w:rPr>
                <w:noProof/>
                <w:webHidden/>
              </w:rPr>
              <w:fldChar w:fldCharType="separate"/>
            </w:r>
            <w:r>
              <w:rPr>
                <w:noProof/>
                <w:webHidden/>
              </w:rPr>
              <w:t>32</w:t>
            </w:r>
            <w:r>
              <w:rPr>
                <w:noProof/>
                <w:webHidden/>
              </w:rPr>
              <w:fldChar w:fldCharType="end"/>
            </w:r>
          </w:hyperlink>
        </w:p>
        <w:p w14:paraId="5E55206F" w14:textId="6691E2BC"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32" w:history="1">
            <w:r w:rsidRPr="003C04AA">
              <w:rPr>
                <w:rStyle w:val="Hyperlink"/>
                <w:rFonts w:ascii="Arial" w:hAnsi="Arial" w:cs="Arial"/>
                <w:noProof/>
              </w:rPr>
              <w:t>D.4.</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Model implementation</w:t>
            </w:r>
            <w:r>
              <w:rPr>
                <w:noProof/>
                <w:webHidden/>
              </w:rPr>
              <w:tab/>
            </w:r>
            <w:r>
              <w:rPr>
                <w:noProof/>
                <w:webHidden/>
              </w:rPr>
              <w:fldChar w:fldCharType="begin"/>
            </w:r>
            <w:r>
              <w:rPr>
                <w:noProof/>
                <w:webHidden/>
              </w:rPr>
              <w:instrText xml:space="preserve"> PAGEREF _Toc148296632 \h </w:instrText>
            </w:r>
            <w:r>
              <w:rPr>
                <w:noProof/>
                <w:webHidden/>
              </w:rPr>
            </w:r>
            <w:r>
              <w:rPr>
                <w:noProof/>
                <w:webHidden/>
              </w:rPr>
              <w:fldChar w:fldCharType="separate"/>
            </w:r>
            <w:r>
              <w:rPr>
                <w:noProof/>
                <w:webHidden/>
              </w:rPr>
              <w:t>34</w:t>
            </w:r>
            <w:r>
              <w:rPr>
                <w:noProof/>
                <w:webHidden/>
              </w:rPr>
              <w:fldChar w:fldCharType="end"/>
            </w:r>
          </w:hyperlink>
        </w:p>
        <w:p w14:paraId="02CA2E73" w14:textId="5D4D05BB"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33" w:history="1">
            <w:r w:rsidRPr="003C04AA">
              <w:rPr>
                <w:rStyle w:val="Hyperlink"/>
                <w:rFonts w:ascii="Arial" w:hAnsi="Arial" w:cs="Arial"/>
                <w:noProof/>
              </w:rPr>
              <w:t>D.5.</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Results</w:t>
            </w:r>
            <w:r>
              <w:rPr>
                <w:noProof/>
                <w:webHidden/>
              </w:rPr>
              <w:tab/>
            </w:r>
            <w:r>
              <w:rPr>
                <w:noProof/>
                <w:webHidden/>
              </w:rPr>
              <w:fldChar w:fldCharType="begin"/>
            </w:r>
            <w:r>
              <w:rPr>
                <w:noProof/>
                <w:webHidden/>
              </w:rPr>
              <w:instrText xml:space="preserve"> PAGEREF _Toc148296633 \h </w:instrText>
            </w:r>
            <w:r>
              <w:rPr>
                <w:noProof/>
                <w:webHidden/>
              </w:rPr>
            </w:r>
            <w:r>
              <w:rPr>
                <w:noProof/>
                <w:webHidden/>
              </w:rPr>
              <w:fldChar w:fldCharType="separate"/>
            </w:r>
            <w:r>
              <w:rPr>
                <w:noProof/>
                <w:webHidden/>
              </w:rPr>
              <w:t>35</w:t>
            </w:r>
            <w:r>
              <w:rPr>
                <w:noProof/>
                <w:webHidden/>
              </w:rPr>
              <w:fldChar w:fldCharType="end"/>
            </w:r>
          </w:hyperlink>
        </w:p>
        <w:p w14:paraId="2164A960" w14:textId="78EED310" w:rsidR="000514CF" w:rsidRDefault="000514CF">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48296634" w:history="1">
            <w:r w:rsidRPr="003C04AA">
              <w:rPr>
                <w:rStyle w:val="Hyperlink"/>
                <w:rFonts w:ascii="Arial" w:hAnsi="Arial" w:cs="Arial"/>
                <w:noProof/>
              </w:rPr>
              <w:t>E.</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Scenario Specific Changes and Assumptions</w:t>
            </w:r>
            <w:r>
              <w:rPr>
                <w:noProof/>
                <w:webHidden/>
              </w:rPr>
              <w:tab/>
            </w:r>
            <w:r>
              <w:rPr>
                <w:noProof/>
                <w:webHidden/>
              </w:rPr>
              <w:fldChar w:fldCharType="begin"/>
            </w:r>
            <w:r>
              <w:rPr>
                <w:noProof/>
                <w:webHidden/>
              </w:rPr>
              <w:instrText xml:space="preserve"> PAGEREF _Toc148296634 \h </w:instrText>
            </w:r>
            <w:r>
              <w:rPr>
                <w:noProof/>
                <w:webHidden/>
              </w:rPr>
            </w:r>
            <w:r>
              <w:rPr>
                <w:noProof/>
                <w:webHidden/>
              </w:rPr>
              <w:fldChar w:fldCharType="separate"/>
            </w:r>
            <w:r>
              <w:rPr>
                <w:noProof/>
                <w:webHidden/>
              </w:rPr>
              <w:t>36</w:t>
            </w:r>
            <w:r>
              <w:rPr>
                <w:noProof/>
                <w:webHidden/>
              </w:rPr>
              <w:fldChar w:fldCharType="end"/>
            </w:r>
          </w:hyperlink>
        </w:p>
        <w:p w14:paraId="2DC2992D" w14:textId="10F6835F"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35" w:history="1">
            <w:r w:rsidRPr="003C04AA">
              <w:rPr>
                <w:rStyle w:val="Hyperlink"/>
                <w:rFonts w:ascii="Arial" w:hAnsi="Arial" w:cs="Arial"/>
                <w:noProof/>
              </w:rPr>
              <w:t>E.1.</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Scenario B: Build-and-Own</w:t>
            </w:r>
            <w:r>
              <w:rPr>
                <w:noProof/>
                <w:webHidden/>
              </w:rPr>
              <w:tab/>
            </w:r>
            <w:r>
              <w:rPr>
                <w:noProof/>
                <w:webHidden/>
              </w:rPr>
              <w:fldChar w:fldCharType="begin"/>
            </w:r>
            <w:r>
              <w:rPr>
                <w:noProof/>
                <w:webHidden/>
              </w:rPr>
              <w:instrText xml:space="preserve"> PAGEREF _Toc148296635 \h </w:instrText>
            </w:r>
            <w:r>
              <w:rPr>
                <w:noProof/>
                <w:webHidden/>
              </w:rPr>
            </w:r>
            <w:r>
              <w:rPr>
                <w:noProof/>
                <w:webHidden/>
              </w:rPr>
              <w:fldChar w:fldCharType="separate"/>
            </w:r>
            <w:r>
              <w:rPr>
                <w:noProof/>
                <w:webHidden/>
              </w:rPr>
              <w:t>38</w:t>
            </w:r>
            <w:r>
              <w:rPr>
                <w:noProof/>
                <w:webHidden/>
              </w:rPr>
              <w:fldChar w:fldCharType="end"/>
            </w:r>
          </w:hyperlink>
        </w:p>
        <w:p w14:paraId="1D7B20E7" w14:textId="4E4EBA11"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36" w:history="1">
            <w:r w:rsidRPr="003C04AA">
              <w:rPr>
                <w:rStyle w:val="Hyperlink"/>
                <w:rFonts w:ascii="Arial" w:hAnsi="Arial" w:cs="Arial"/>
                <w:noProof/>
              </w:rPr>
              <w:t>E.2.</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Scenario C: Power Purchase Agreement (PPA)</w:t>
            </w:r>
            <w:r>
              <w:rPr>
                <w:noProof/>
                <w:webHidden/>
              </w:rPr>
              <w:tab/>
            </w:r>
            <w:r>
              <w:rPr>
                <w:noProof/>
                <w:webHidden/>
              </w:rPr>
              <w:fldChar w:fldCharType="begin"/>
            </w:r>
            <w:r>
              <w:rPr>
                <w:noProof/>
                <w:webHidden/>
              </w:rPr>
              <w:instrText xml:space="preserve"> PAGEREF _Toc148296636 \h </w:instrText>
            </w:r>
            <w:r>
              <w:rPr>
                <w:noProof/>
                <w:webHidden/>
              </w:rPr>
            </w:r>
            <w:r>
              <w:rPr>
                <w:noProof/>
                <w:webHidden/>
              </w:rPr>
              <w:fldChar w:fldCharType="separate"/>
            </w:r>
            <w:r>
              <w:rPr>
                <w:noProof/>
                <w:webHidden/>
              </w:rPr>
              <w:t>39</w:t>
            </w:r>
            <w:r>
              <w:rPr>
                <w:noProof/>
                <w:webHidden/>
              </w:rPr>
              <w:fldChar w:fldCharType="end"/>
            </w:r>
          </w:hyperlink>
        </w:p>
        <w:p w14:paraId="17A9F152" w14:textId="4B4BF0EC"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37" w:history="1">
            <w:r w:rsidRPr="003C04AA">
              <w:rPr>
                <w:rStyle w:val="Hyperlink"/>
                <w:rFonts w:ascii="Arial" w:hAnsi="Arial" w:cs="Arial"/>
                <w:noProof/>
              </w:rPr>
              <w:t>E.3.</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Carbon Border Adjustment Mechanism (CBAM)</w:t>
            </w:r>
            <w:r>
              <w:rPr>
                <w:noProof/>
                <w:webHidden/>
              </w:rPr>
              <w:tab/>
            </w:r>
            <w:r>
              <w:rPr>
                <w:noProof/>
                <w:webHidden/>
              </w:rPr>
              <w:fldChar w:fldCharType="begin"/>
            </w:r>
            <w:r>
              <w:rPr>
                <w:noProof/>
                <w:webHidden/>
              </w:rPr>
              <w:instrText xml:space="preserve"> PAGEREF _Toc148296637 \h </w:instrText>
            </w:r>
            <w:r>
              <w:rPr>
                <w:noProof/>
                <w:webHidden/>
              </w:rPr>
            </w:r>
            <w:r>
              <w:rPr>
                <w:noProof/>
                <w:webHidden/>
              </w:rPr>
              <w:fldChar w:fldCharType="separate"/>
            </w:r>
            <w:r>
              <w:rPr>
                <w:noProof/>
                <w:webHidden/>
              </w:rPr>
              <w:t>41</w:t>
            </w:r>
            <w:r>
              <w:rPr>
                <w:noProof/>
                <w:webHidden/>
              </w:rPr>
              <w:fldChar w:fldCharType="end"/>
            </w:r>
          </w:hyperlink>
        </w:p>
        <w:p w14:paraId="6D9BA17D" w14:textId="611DCF10" w:rsidR="000514CF" w:rsidRDefault="000514CF">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48296638" w:history="1">
            <w:r w:rsidRPr="003C04AA">
              <w:rPr>
                <w:rStyle w:val="Hyperlink"/>
                <w:rFonts w:ascii="Arial" w:hAnsi="Arial" w:cs="Arial"/>
                <w:noProof/>
              </w:rPr>
              <w:t>F.</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Literature Review</w:t>
            </w:r>
            <w:r>
              <w:rPr>
                <w:noProof/>
                <w:webHidden/>
              </w:rPr>
              <w:tab/>
            </w:r>
            <w:r>
              <w:rPr>
                <w:noProof/>
                <w:webHidden/>
              </w:rPr>
              <w:fldChar w:fldCharType="begin"/>
            </w:r>
            <w:r>
              <w:rPr>
                <w:noProof/>
                <w:webHidden/>
              </w:rPr>
              <w:instrText xml:space="preserve"> PAGEREF _Toc148296638 \h </w:instrText>
            </w:r>
            <w:r>
              <w:rPr>
                <w:noProof/>
                <w:webHidden/>
              </w:rPr>
            </w:r>
            <w:r>
              <w:rPr>
                <w:noProof/>
                <w:webHidden/>
              </w:rPr>
              <w:fldChar w:fldCharType="separate"/>
            </w:r>
            <w:r>
              <w:rPr>
                <w:noProof/>
                <w:webHidden/>
              </w:rPr>
              <w:t>42</w:t>
            </w:r>
            <w:r>
              <w:rPr>
                <w:noProof/>
                <w:webHidden/>
              </w:rPr>
              <w:fldChar w:fldCharType="end"/>
            </w:r>
          </w:hyperlink>
        </w:p>
        <w:p w14:paraId="068F3C4A" w14:textId="0C3E23E0"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39" w:history="1">
            <w:r w:rsidRPr="003C04AA">
              <w:rPr>
                <w:rStyle w:val="Hyperlink"/>
                <w:rFonts w:ascii="Arial" w:hAnsi="Arial" w:cs="Arial"/>
                <w:noProof/>
              </w:rPr>
              <w:t>F.1.</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AP through Steam Methane Reforming (AP Baseline)</w:t>
            </w:r>
            <w:r>
              <w:rPr>
                <w:noProof/>
                <w:webHidden/>
              </w:rPr>
              <w:tab/>
            </w:r>
            <w:r>
              <w:rPr>
                <w:noProof/>
                <w:webHidden/>
              </w:rPr>
              <w:fldChar w:fldCharType="begin"/>
            </w:r>
            <w:r>
              <w:rPr>
                <w:noProof/>
                <w:webHidden/>
              </w:rPr>
              <w:instrText xml:space="preserve"> PAGEREF _Toc148296639 \h </w:instrText>
            </w:r>
            <w:r>
              <w:rPr>
                <w:noProof/>
                <w:webHidden/>
              </w:rPr>
            </w:r>
            <w:r>
              <w:rPr>
                <w:noProof/>
                <w:webHidden/>
              </w:rPr>
              <w:fldChar w:fldCharType="separate"/>
            </w:r>
            <w:r>
              <w:rPr>
                <w:noProof/>
                <w:webHidden/>
              </w:rPr>
              <w:t>42</w:t>
            </w:r>
            <w:r>
              <w:rPr>
                <w:noProof/>
                <w:webHidden/>
              </w:rPr>
              <w:fldChar w:fldCharType="end"/>
            </w:r>
          </w:hyperlink>
        </w:p>
        <w:p w14:paraId="40088A5F" w14:textId="6AFE6249"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40" w:history="1">
            <w:r w:rsidRPr="003C04AA">
              <w:rPr>
                <w:rStyle w:val="Hyperlink"/>
                <w:rFonts w:ascii="Arial" w:hAnsi="Arial" w:cs="Arial"/>
                <w:noProof/>
              </w:rPr>
              <w:t>F.2.</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AP SMR with a Carbon Capture System (AP CCS)</w:t>
            </w:r>
            <w:r>
              <w:rPr>
                <w:noProof/>
                <w:webHidden/>
              </w:rPr>
              <w:tab/>
            </w:r>
            <w:r>
              <w:rPr>
                <w:noProof/>
                <w:webHidden/>
              </w:rPr>
              <w:fldChar w:fldCharType="begin"/>
            </w:r>
            <w:r>
              <w:rPr>
                <w:noProof/>
                <w:webHidden/>
              </w:rPr>
              <w:instrText xml:space="preserve"> PAGEREF _Toc148296640 \h </w:instrText>
            </w:r>
            <w:r>
              <w:rPr>
                <w:noProof/>
                <w:webHidden/>
              </w:rPr>
            </w:r>
            <w:r>
              <w:rPr>
                <w:noProof/>
                <w:webHidden/>
              </w:rPr>
              <w:fldChar w:fldCharType="separate"/>
            </w:r>
            <w:r>
              <w:rPr>
                <w:noProof/>
                <w:webHidden/>
              </w:rPr>
              <w:t>43</w:t>
            </w:r>
            <w:r>
              <w:rPr>
                <w:noProof/>
                <w:webHidden/>
              </w:rPr>
              <w:fldChar w:fldCharType="end"/>
            </w:r>
          </w:hyperlink>
        </w:p>
        <w:p w14:paraId="22B12DCA" w14:textId="608BF413"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41" w:history="1">
            <w:r w:rsidRPr="003C04AA">
              <w:rPr>
                <w:rStyle w:val="Hyperlink"/>
                <w:rFonts w:ascii="Arial" w:hAnsi="Arial" w:cs="Arial"/>
                <w:noProof/>
              </w:rPr>
              <w:t>F.3.</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AP SMR with a Biomass-derived feedstock (AP BH2S)</w:t>
            </w:r>
            <w:r>
              <w:rPr>
                <w:noProof/>
                <w:webHidden/>
              </w:rPr>
              <w:tab/>
            </w:r>
            <w:r>
              <w:rPr>
                <w:noProof/>
                <w:webHidden/>
              </w:rPr>
              <w:fldChar w:fldCharType="begin"/>
            </w:r>
            <w:r>
              <w:rPr>
                <w:noProof/>
                <w:webHidden/>
              </w:rPr>
              <w:instrText xml:space="preserve"> PAGEREF _Toc148296641 \h </w:instrText>
            </w:r>
            <w:r>
              <w:rPr>
                <w:noProof/>
                <w:webHidden/>
              </w:rPr>
            </w:r>
            <w:r>
              <w:rPr>
                <w:noProof/>
                <w:webHidden/>
              </w:rPr>
              <w:fldChar w:fldCharType="separate"/>
            </w:r>
            <w:r>
              <w:rPr>
                <w:noProof/>
                <w:webHidden/>
              </w:rPr>
              <w:t>43</w:t>
            </w:r>
            <w:r>
              <w:rPr>
                <w:noProof/>
                <w:webHidden/>
              </w:rPr>
              <w:fldChar w:fldCharType="end"/>
            </w:r>
          </w:hyperlink>
        </w:p>
        <w:p w14:paraId="0236589B" w14:textId="43C11CA8"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42" w:history="1">
            <w:r w:rsidRPr="003C04AA">
              <w:rPr>
                <w:rStyle w:val="Hyperlink"/>
                <w:rFonts w:ascii="Arial" w:hAnsi="Arial" w:cs="Arial"/>
                <w:noProof/>
              </w:rPr>
              <w:t>F.4.</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AP via Alkaline Electrolysis (AP AEC)</w:t>
            </w:r>
            <w:r>
              <w:rPr>
                <w:noProof/>
                <w:webHidden/>
              </w:rPr>
              <w:tab/>
            </w:r>
            <w:r>
              <w:rPr>
                <w:noProof/>
                <w:webHidden/>
              </w:rPr>
              <w:fldChar w:fldCharType="begin"/>
            </w:r>
            <w:r>
              <w:rPr>
                <w:noProof/>
                <w:webHidden/>
              </w:rPr>
              <w:instrText xml:space="preserve"> PAGEREF _Toc148296642 \h </w:instrText>
            </w:r>
            <w:r>
              <w:rPr>
                <w:noProof/>
                <w:webHidden/>
              </w:rPr>
            </w:r>
            <w:r>
              <w:rPr>
                <w:noProof/>
                <w:webHidden/>
              </w:rPr>
              <w:fldChar w:fldCharType="separate"/>
            </w:r>
            <w:r>
              <w:rPr>
                <w:noProof/>
                <w:webHidden/>
              </w:rPr>
              <w:t>43</w:t>
            </w:r>
            <w:r>
              <w:rPr>
                <w:noProof/>
                <w:webHidden/>
              </w:rPr>
              <w:fldChar w:fldCharType="end"/>
            </w:r>
          </w:hyperlink>
        </w:p>
        <w:p w14:paraId="79F1EAF4" w14:textId="01E125A7"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43" w:history="1">
            <w:r w:rsidRPr="003C04AA">
              <w:rPr>
                <w:rStyle w:val="Hyperlink"/>
                <w:rFonts w:ascii="Arial" w:hAnsi="Arial" w:cs="Arial"/>
                <w:noProof/>
              </w:rPr>
              <w:t>F.5.</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Economic and environmental comparison of AP across the literature.</w:t>
            </w:r>
            <w:r>
              <w:rPr>
                <w:noProof/>
                <w:webHidden/>
              </w:rPr>
              <w:tab/>
            </w:r>
            <w:r>
              <w:rPr>
                <w:noProof/>
                <w:webHidden/>
              </w:rPr>
              <w:fldChar w:fldCharType="begin"/>
            </w:r>
            <w:r>
              <w:rPr>
                <w:noProof/>
                <w:webHidden/>
              </w:rPr>
              <w:instrText xml:space="preserve"> PAGEREF _Toc148296643 \h </w:instrText>
            </w:r>
            <w:r>
              <w:rPr>
                <w:noProof/>
                <w:webHidden/>
              </w:rPr>
            </w:r>
            <w:r>
              <w:rPr>
                <w:noProof/>
                <w:webHidden/>
              </w:rPr>
              <w:fldChar w:fldCharType="separate"/>
            </w:r>
            <w:r>
              <w:rPr>
                <w:noProof/>
                <w:webHidden/>
              </w:rPr>
              <w:t>44</w:t>
            </w:r>
            <w:r>
              <w:rPr>
                <w:noProof/>
                <w:webHidden/>
              </w:rPr>
              <w:fldChar w:fldCharType="end"/>
            </w:r>
          </w:hyperlink>
        </w:p>
        <w:p w14:paraId="50CF78C5" w14:textId="7973974E"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44" w:history="1">
            <w:r w:rsidRPr="003C04AA">
              <w:rPr>
                <w:rStyle w:val="Hyperlink"/>
                <w:rFonts w:ascii="Arial" w:hAnsi="Arial" w:cs="Arial"/>
                <w:noProof/>
              </w:rPr>
              <w:t>F.6.</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Haber-Bosch Flexibility</w:t>
            </w:r>
            <w:r>
              <w:rPr>
                <w:noProof/>
                <w:webHidden/>
              </w:rPr>
              <w:tab/>
            </w:r>
            <w:r>
              <w:rPr>
                <w:noProof/>
                <w:webHidden/>
              </w:rPr>
              <w:fldChar w:fldCharType="begin"/>
            </w:r>
            <w:r>
              <w:rPr>
                <w:noProof/>
                <w:webHidden/>
              </w:rPr>
              <w:instrText xml:space="preserve"> PAGEREF _Toc148296644 \h </w:instrText>
            </w:r>
            <w:r>
              <w:rPr>
                <w:noProof/>
                <w:webHidden/>
              </w:rPr>
            </w:r>
            <w:r>
              <w:rPr>
                <w:noProof/>
                <w:webHidden/>
              </w:rPr>
              <w:fldChar w:fldCharType="separate"/>
            </w:r>
            <w:r>
              <w:rPr>
                <w:noProof/>
                <w:webHidden/>
              </w:rPr>
              <w:t>46</w:t>
            </w:r>
            <w:r>
              <w:rPr>
                <w:noProof/>
                <w:webHidden/>
              </w:rPr>
              <w:fldChar w:fldCharType="end"/>
            </w:r>
          </w:hyperlink>
        </w:p>
        <w:p w14:paraId="4258FE26" w14:textId="579EF85F" w:rsidR="000514CF" w:rsidRDefault="000514CF">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48296645" w:history="1">
            <w:r w:rsidRPr="003C04AA">
              <w:rPr>
                <w:rStyle w:val="Hyperlink"/>
                <w:rFonts w:ascii="Arial" w:hAnsi="Arial" w:cs="Arial"/>
                <w:noProof/>
              </w:rPr>
              <w:t>G.</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Validation</w:t>
            </w:r>
            <w:r>
              <w:rPr>
                <w:noProof/>
                <w:webHidden/>
              </w:rPr>
              <w:tab/>
            </w:r>
            <w:r>
              <w:rPr>
                <w:noProof/>
                <w:webHidden/>
              </w:rPr>
              <w:fldChar w:fldCharType="begin"/>
            </w:r>
            <w:r>
              <w:rPr>
                <w:noProof/>
                <w:webHidden/>
              </w:rPr>
              <w:instrText xml:space="preserve"> PAGEREF _Toc148296645 \h </w:instrText>
            </w:r>
            <w:r>
              <w:rPr>
                <w:noProof/>
                <w:webHidden/>
              </w:rPr>
            </w:r>
            <w:r>
              <w:rPr>
                <w:noProof/>
                <w:webHidden/>
              </w:rPr>
              <w:fldChar w:fldCharType="separate"/>
            </w:r>
            <w:r>
              <w:rPr>
                <w:noProof/>
                <w:webHidden/>
              </w:rPr>
              <w:t>47</w:t>
            </w:r>
            <w:r>
              <w:rPr>
                <w:noProof/>
                <w:webHidden/>
              </w:rPr>
              <w:fldChar w:fldCharType="end"/>
            </w:r>
          </w:hyperlink>
        </w:p>
        <w:p w14:paraId="6B1AD6D0" w14:textId="351B34FB"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46" w:history="1">
            <w:r w:rsidRPr="003C04AA">
              <w:rPr>
                <w:rStyle w:val="Hyperlink"/>
                <w:rFonts w:ascii="Arial" w:hAnsi="Arial" w:cs="Arial"/>
                <w:noProof/>
              </w:rPr>
              <w:t>G.1.</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Convergence of Monte Carlo Results</w:t>
            </w:r>
            <w:r>
              <w:rPr>
                <w:noProof/>
                <w:webHidden/>
              </w:rPr>
              <w:tab/>
            </w:r>
            <w:r>
              <w:rPr>
                <w:noProof/>
                <w:webHidden/>
              </w:rPr>
              <w:fldChar w:fldCharType="begin"/>
            </w:r>
            <w:r>
              <w:rPr>
                <w:noProof/>
                <w:webHidden/>
              </w:rPr>
              <w:instrText xml:space="preserve"> PAGEREF _Toc148296646 \h </w:instrText>
            </w:r>
            <w:r>
              <w:rPr>
                <w:noProof/>
                <w:webHidden/>
              </w:rPr>
            </w:r>
            <w:r>
              <w:rPr>
                <w:noProof/>
                <w:webHidden/>
              </w:rPr>
              <w:fldChar w:fldCharType="separate"/>
            </w:r>
            <w:r>
              <w:rPr>
                <w:noProof/>
                <w:webHidden/>
              </w:rPr>
              <w:t>47</w:t>
            </w:r>
            <w:r>
              <w:rPr>
                <w:noProof/>
                <w:webHidden/>
              </w:rPr>
              <w:fldChar w:fldCharType="end"/>
            </w:r>
          </w:hyperlink>
        </w:p>
        <w:p w14:paraId="7FAFCFB0" w14:textId="6D03A4C9"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47" w:history="1">
            <w:r w:rsidRPr="003C04AA">
              <w:rPr>
                <w:rStyle w:val="Hyperlink"/>
                <w:rFonts w:ascii="Arial" w:hAnsi="Arial" w:cs="Arial"/>
                <w:noProof/>
              </w:rPr>
              <w:t>G.2.</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Comparison of SMR baseline to IEA</w:t>
            </w:r>
            <w:r>
              <w:rPr>
                <w:noProof/>
                <w:webHidden/>
              </w:rPr>
              <w:tab/>
            </w:r>
            <w:r>
              <w:rPr>
                <w:noProof/>
                <w:webHidden/>
              </w:rPr>
              <w:fldChar w:fldCharType="begin"/>
            </w:r>
            <w:r>
              <w:rPr>
                <w:noProof/>
                <w:webHidden/>
              </w:rPr>
              <w:instrText xml:space="preserve"> PAGEREF _Toc148296647 \h </w:instrText>
            </w:r>
            <w:r>
              <w:rPr>
                <w:noProof/>
                <w:webHidden/>
              </w:rPr>
            </w:r>
            <w:r>
              <w:rPr>
                <w:noProof/>
                <w:webHidden/>
              </w:rPr>
              <w:fldChar w:fldCharType="separate"/>
            </w:r>
            <w:r>
              <w:rPr>
                <w:noProof/>
                <w:webHidden/>
              </w:rPr>
              <w:t>48</w:t>
            </w:r>
            <w:r>
              <w:rPr>
                <w:noProof/>
                <w:webHidden/>
              </w:rPr>
              <w:fldChar w:fldCharType="end"/>
            </w:r>
          </w:hyperlink>
        </w:p>
        <w:p w14:paraId="16BF82F5" w14:textId="0D30C6D8"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48" w:history="1">
            <w:r w:rsidRPr="003C04AA">
              <w:rPr>
                <w:rStyle w:val="Hyperlink"/>
                <w:rFonts w:ascii="Arial" w:hAnsi="Arial" w:cs="Arial"/>
                <w:noProof/>
              </w:rPr>
              <w:t>G.3.</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Sensitivity Analysis of Inputs</w:t>
            </w:r>
            <w:r>
              <w:rPr>
                <w:noProof/>
                <w:webHidden/>
              </w:rPr>
              <w:tab/>
            </w:r>
            <w:r>
              <w:rPr>
                <w:noProof/>
                <w:webHidden/>
              </w:rPr>
              <w:fldChar w:fldCharType="begin"/>
            </w:r>
            <w:r>
              <w:rPr>
                <w:noProof/>
                <w:webHidden/>
              </w:rPr>
              <w:instrText xml:space="preserve"> PAGEREF _Toc148296648 \h </w:instrText>
            </w:r>
            <w:r>
              <w:rPr>
                <w:noProof/>
                <w:webHidden/>
              </w:rPr>
            </w:r>
            <w:r>
              <w:rPr>
                <w:noProof/>
                <w:webHidden/>
              </w:rPr>
              <w:fldChar w:fldCharType="separate"/>
            </w:r>
            <w:r>
              <w:rPr>
                <w:noProof/>
                <w:webHidden/>
              </w:rPr>
              <w:t>49</w:t>
            </w:r>
            <w:r>
              <w:rPr>
                <w:noProof/>
                <w:webHidden/>
              </w:rPr>
              <w:fldChar w:fldCharType="end"/>
            </w:r>
          </w:hyperlink>
        </w:p>
        <w:p w14:paraId="4C0FB9C2" w14:textId="26C39D7C"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49" w:history="1">
            <w:r w:rsidRPr="003C04AA">
              <w:rPr>
                <w:rStyle w:val="Hyperlink"/>
                <w:rFonts w:ascii="Arial" w:hAnsi="Arial" w:cs="Arial"/>
                <w:noProof/>
              </w:rPr>
              <w:t>G.4.</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OPEX-related Sensitivites</w:t>
            </w:r>
            <w:r>
              <w:rPr>
                <w:noProof/>
                <w:webHidden/>
              </w:rPr>
              <w:tab/>
            </w:r>
            <w:r>
              <w:rPr>
                <w:noProof/>
                <w:webHidden/>
              </w:rPr>
              <w:fldChar w:fldCharType="begin"/>
            </w:r>
            <w:r>
              <w:rPr>
                <w:noProof/>
                <w:webHidden/>
              </w:rPr>
              <w:instrText xml:space="preserve"> PAGEREF _Toc148296649 \h </w:instrText>
            </w:r>
            <w:r>
              <w:rPr>
                <w:noProof/>
                <w:webHidden/>
              </w:rPr>
            </w:r>
            <w:r>
              <w:rPr>
                <w:noProof/>
                <w:webHidden/>
              </w:rPr>
              <w:fldChar w:fldCharType="separate"/>
            </w:r>
            <w:r>
              <w:rPr>
                <w:noProof/>
                <w:webHidden/>
              </w:rPr>
              <w:t>50</w:t>
            </w:r>
            <w:r>
              <w:rPr>
                <w:noProof/>
                <w:webHidden/>
              </w:rPr>
              <w:fldChar w:fldCharType="end"/>
            </w:r>
          </w:hyperlink>
        </w:p>
        <w:p w14:paraId="12562FA1" w14:textId="04ACA11D" w:rsidR="000514CF" w:rsidRDefault="000514CF">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48296650" w:history="1">
            <w:r w:rsidRPr="003C04AA">
              <w:rPr>
                <w:rStyle w:val="Hyperlink"/>
                <w:rFonts w:ascii="Arial" w:hAnsi="Arial" w:cs="Arial"/>
                <w:noProof/>
              </w:rPr>
              <w:t>H.</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Additional Results</w:t>
            </w:r>
            <w:r>
              <w:rPr>
                <w:noProof/>
                <w:webHidden/>
              </w:rPr>
              <w:tab/>
            </w:r>
            <w:r>
              <w:rPr>
                <w:noProof/>
                <w:webHidden/>
              </w:rPr>
              <w:fldChar w:fldCharType="begin"/>
            </w:r>
            <w:r>
              <w:rPr>
                <w:noProof/>
                <w:webHidden/>
              </w:rPr>
              <w:instrText xml:space="preserve"> PAGEREF _Toc148296650 \h </w:instrText>
            </w:r>
            <w:r>
              <w:rPr>
                <w:noProof/>
                <w:webHidden/>
              </w:rPr>
            </w:r>
            <w:r>
              <w:rPr>
                <w:noProof/>
                <w:webHidden/>
              </w:rPr>
              <w:fldChar w:fldCharType="separate"/>
            </w:r>
            <w:r>
              <w:rPr>
                <w:noProof/>
                <w:webHidden/>
              </w:rPr>
              <w:t>53</w:t>
            </w:r>
            <w:r>
              <w:rPr>
                <w:noProof/>
                <w:webHidden/>
              </w:rPr>
              <w:fldChar w:fldCharType="end"/>
            </w:r>
          </w:hyperlink>
        </w:p>
        <w:p w14:paraId="0F6DF966" w14:textId="659D5E40" w:rsidR="000514CF" w:rsidRDefault="000514CF">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48296651" w:history="1">
            <w:r w:rsidRPr="003C04AA">
              <w:rPr>
                <w:rStyle w:val="Hyperlink"/>
                <w:rFonts w:ascii="Arial" w:hAnsi="Arial" w:cs="Arial"/>
                <w:noProof/>
              </w:rPr>
              <w:t>I.</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Detailed Analysis of Main Results</w:t>
            </w:r>
            <w:r>
              <w:rPr>
                <w:noProof/>
                <w:webHidden/>
              </w:rPr>
              <w:tab/>
            </w:r>
            <w:r>
              <w:rPr>
                <w:noProof/>
                <w:webHidden/>
              </w:rPr>
              <w:fldChar w:fldCharType="begin"/>
            </w:r>
            <w:r>
              <w:rPr>
                <w:noProof/>
                <w:webHidden/>
              </w:rPr>
              <w:instrText xml:space="preserve"> PAGEREF _Toc148296651 \h </w:instrText>
            </w:r>
            <w:r>
              <w:rPr>
                <w:noProof/>
                <w:webHidden/>
              </w:rPr>
            </w:r>
            <w:r>
              <w:rPr>
                <w:noProof/>
                <w:webHidden/>
              </w:rPr>
              <w:fldChar w:fldCharType="separate"/>
            </w:r>
            <w:r>
              <w:rPr>
                <w:noProof/>
                <w:webHidden/>
              </w:rPr>
              <w:t>56</w:t>
            </w:r>
            <w:r>
              <w:rPr>
                <w:noProof/>
                <w:webHidden/>
              </w:rPr>
              <w:fldChar w:fldCharType="end"/>
            </w:r>
          </w:hyperlink>
        </w:p>
        <w:p w14:paraId="09058398" w14:textId="052A8711"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52" w:history="1">
            <w:r w:rsidRPr="003C04AA">
              <w:rPr>
                <w:rStyle w:val="Hyperlink"/>
                <w:rFonts w:ascii="Arial" w:hAnsi="Arial" w:cs="Arial"/>
                <w:noProof/>
              </w:rPr>
              <w:t>I.1.</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Near-term deployment of low-carbon ammonia</w:t>
            </w:r>
            <w:r>
              <w:rPr>
                <w:noProof/>
                <w:webHidden/>
              </w:rPr>
              <w:tab/>
            </w:r>
            <w:r>
              <w:rPr>
                <w:noProof/>
                <w:webHidden/>
              </w:rPr>
              <w:fldChar w:fldCharType="begin"/>
            </w:r>
            <w:r>
              <w:rPr>
                <w:noProof/>
                <w:webHidden/>
              </w:rPr>
              <w:instrText xml:space="preserve"> PAGEREF _Toc148296652 \h </w:instrText>
            </w:r>
            <w:r>
              <w:rPr>
                <w:noProof/>
                <w:webHidden/>
              </w:rPr>
            </w:r>
            <w:r>
              <w:rPr>
                <w:noProof/>
                <w:webHidden/>
              </w:rPr>
              <w:fldChar w:fldCharType="separate"/>
            </w:r>
            <w:r>
              <w:rPr>
                <w:noProof/>
                <w:webHidden/>
              </w:rPr>
              <w:t>56</w:t>
            </w:r>
            <w:r>
              <w:rPr>
                <w:noProof/>
                <w:webHidden/>
              </w:rPr>
              <w:fldChar w:fldCharType="end"/>
            </w:r>
          </w:hyperlink>
        </w:p>
        <w:p w14:paraId="339600E9" w14:textId="43AF467D"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53" w:history="1">
            <w:r w:rsidRPr="003C04AA">
              <w:rPr>
                <w:rStyle w:val="Hyperlink"/>
                <w:rFonts w:ascii="Arial" w:hAnsi="Arial" w:cs="Arial"/>
                <w:noProof/>
              </w:rPr>
              <w:t>I.2.</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Medium-term deployment of low-carbon ammonia</w:t>
            </w:r>
            <w:r>
              <w:rPr>
                <w:noProof/>
                <w:webHidden/>
              </w:rPr>
              <w:tab/>
            </w:r>
            <w:r>
              <w:rPr>
                <w:noProof/>
                <w:webHidden/>
              </w:rPr>
              <w:fldChar w:fldCharType="begin"/>
            </w:r>
            <w:r>
              <w:rPr>
                <w:noProof/>
                <w:webHidden/>
              </w:rPr>
              <w:instrText xml:space="preserve"> PAGEREF _Toc148296653 \h </w:instrText>
            </w:r>
            <w:r>
              <w:rPr>
                <w:noProof/>
                <w:webHidden/>
              </w:rPr>
            </w:r>
            <w:r>
              <w:rPr>
                <w:noProof/>
                <w:webHidden/>
              </w:rPr>
              <w:fldChar w:fldCharType="separate"/>
            </w:r>
            <w:r>
              <w:rPr>
                <w:noProof/>
                <w:webHidden/>
              </w:rPr>
              <w:t>59</w:t>
            </w:r>
            <w:r>
              <w:rPr>
                <w:noProof/>
                <w:webHidden/>
              </w:rPr>
              <w:fldChar w:fldCharType="end"/>
            </w:r>
          </w:hyperlink>
        </w:p>
        <w:p w14:paraId="1CADC84F" w14:textId="39A7E495"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54" w:history="1">
            <w:r w:rsidRPr="003C04AA">
              <w:rPr>
                <w:rStyle w:val="Hyperlink"/>
                <w:rFonts w:ascii="Arial" w:hAnsi="Arial" w:cs="Arial"/>
                <w:noProof/>
              </w:rPr>
              <w:t>I.3.</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Carbon abatement costs of low-carbon ammonia</w:t>
            </w:r>
            <w:r>
              <w:rPr>
                <w:noProof/>
                <w:webHidden/>
              </w:rPr>
              <w:tab/>
            </w:r>
            <w:r>
              <w:rPr>
                <w:noProof/>
                <w:webHidden/>
              </w:rPr>
              <w:fldChar w:fldCharType="begin"/>
            </w:r>
            <w:r>
              <w:rPr>
                <w:noProof/>
                <w:webHidden/>
              </w:rPr>
              <w:instrText xml:space="preserve"> PAGEREF _Toc148296654 \h </w:instrText>
            </w:r>
            <w:r>
              <w:rPr>
                <w:noProof/>
                <w:webHidden/>
              </w:rPr>
            </w:r>
            <w:r>
              <w:rPr>
                <w:noProof/>
                <w:webHidden/>
              </w:rPr>
              <w:fldChar w:fldCharType="separate"/>
            </w:r>
            <w:r>
              <w:rPr>
                <w:noProof/>
                <w:webHidden/>
              </w:rPr>
              <w:t>61</w:t>
            </w:r>
            <w:r>
              <w:rPr>
                <w:noProof/>
                <w:webHidden/>
              </w:rPr>
              <w:fldChar w:fldCharType="end"/>
            </w:r>
          </w:hyperlink>
        </w:p>
        <w:p w14:paraId="51EA341F" w14:textId="1FCED3BC"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55" w:history="1">
            <w:r w:rsidRPr="003C04AA">
              <w:rPr>
                <w:rStyle w:val="Hyperlink"/>
                <w:rFonts w:ascii="Arial" w:hAnsi="Arial" w:cs="Arial"/>
                <w:noProof/>
              </w:rPr>
              <w:t>I.4.</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Over-estimating policy support under the levelized cost approach</w:t>
            </w:r>
            <w:r>
              <w:rPr>
                <w:noProof/>
                <w:webHidden/>
              </w:rPr>
              <w:tab/>
            </w:r>
            <w:r>
              <w:rPr>
                <w:noProof/>
                <w:webHidden/>
              </w:rPr>
              <w:fldChar w:fldCharType="begin"/>
            </w:r>
            <w:r>
              <w:rPr>
                <w:noProof/>
                <w:webHidden/>
              </w:rPr>
              <w:instrText xml:space="preserve"> PAGEREF _Toc148296655 \h </w:instrText>
            </w:r>
            <w:r>
              <w:rPr>
                <w:noProof/>
                <w:webHidden/>
              </w:rPr>
            </w:r>
            <w:r>
              <w:rPr>
                <w:noProof/>
                <w:webHidden/>
              </w:rPr>
              <w:fldChar w:fldCharType="separate"/>
            </w:r>
            <w:r>
              <w:rPr>
                <w:noProof/>
                <w:webHidden/>
              </w:rPr>
              <w:t>62</w:t>
            </w:r>
            <w:r>
              <w:rPr>
                <w:noProof/>
                <w:webHidden/>
              </w:rPr>
              <w:fldChar w:fldCharType="end"/>
            </w:r>
          </w:hyperlink>
        </w:p>
        <w:p w14:paraId="20DE76A9" w14:textId="10D1CD1E"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56" w:history="1">
            <w:r w:rsidRPr="003C04AA">
              <w:rPr>
                <w:rStyle w:val="Hyperlink"/>
                <w:rFonts w:ascii="Arial" w:hAnsi="Arial" w:cs="Arial"/>
                <w:noProof/>
              </w:rPr>
              <w:t>I.5.</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Sensitivity analysis 1: Impact of carbon border adjustment mechanism</w:t>
            </w:r>
            <w:r>
              <w:rPr>
                <w:noProof/>
                <w:webHidden/>
              </w:rPr>
              <w:tab/>
            </w:r>
            <w:r>
              <w:rPr>
                <w:noProof/>
                <w:webHidden/>
              </w:rPr>
              <w:fldChar w:fldCharType="begin"/>
            </w:r>
            <w:r>
              <w:rPr>
                <w:noProof/>
                <w:webHidden/>
              </w:rPr>
              <w:instrText xml:space="preserve"> PAGEREF _Toc148296656 \h </w:instrText>
            </w:r>
            <w:r>
              <w:rPr>
                <w:noProof/>
                <w:webHidden/>
              </w:rPr>
            </w:r>
            <w:r>
              <w:rPr>
                <w:noProof/>
                <w:webHidden/>
              </w:rPr>
              <w:fldChar w:fldCharType="separate"/>
            </w:r>
            <w:r>
              <w:rPr>
                <w:noProof/>
                <w:webHidden/>
              </w:rPr>
              <w:t>64</w:t>
            </w:r>
            <w:r>
              <w:rPr>
                <w:noProof/>
                <w:webHidden/>
              </w:rPr>
              <w:fldChar w:fldCharType="end"/>
            </w:r>
          </w:hyperlink>
        </w:p>
        <w:p w14:paraId="117AEC5E" w14:textId="4E32093E" w:rsidR="000514CF" w:rsidRDefault="000514CF">
          <w:pPr>
            <w:pStyle w:val="TOC3"/>
            <w:tabs>
              <w:tab w:val="left" w:pos="1100"/>
              <w:tab w:val="right" w:leader="dot" w:pos="9350"/>
            </w:tabs>
            <w:rPr>
              <w:rFonts w:asciiTheme="minorHAnsi" w:eastAsiaTheme="minorEastAsia" w:hAnsiTheme="minorHAnsi" w:cstheme="minorBidi"/>
              <w:noProof/>
              <w:kern w:val="2"/>
              <w14:ligatures w14:val="standardContextual"/>
            </w:rPr>
          </w:pPr>
          <w:hyperlink w:anchor="_Toc148296657" w:history="1">
            <w:r w:rsidRPr="003C04AA">
              <w:rPr>
                <w:rStyle w:val="Hyperlink"/>
                <w:rFonts w:ascii="Arial" w:hAnsi="Arial" w:cs="Arial"/>
                <w:noProof/>
              </w:rPr>
              <w:t>I.6.</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Sensitivity analysis 2: Cost of matching renewable generation with hydrogen production</w:t>
            </w:r>
            <w:r>
              <w:rPr>
                <w:noProof/>
                <w:webHidden/>
              </w:rPr>
              <w:tab/>
            </w:r>
            <w:r>
              <w:rPr>
                <w:noProof/>
                <w:webHidden/>
              </w:rPr>
              <w:fldChar w:fldCharType="begin"/>
            </w:r>
            <w:r>
              <w:rPr>
                <w:noProof/>
                <w:webHidden/>
              </w:rPr>
              <w:instrText xml:space="preserve"> PAGEREF _Toc148296657 \h </w:instrText>
            </w:r>
            <w:r>
              <w:rPr>
                <w:noProof/>
                <w:webHidden/>
              </w:rPr>
            </w:r>
            <w:r>
              <w:rPr>
                <w:noProof/>
                <w:webHidden/>
              </w:rPr>
              <w:fldChar w:fldCharType="separate"/>
            </w:r>
            <w:r>
              <w:rPr>
                <w:noProof/>
                <w:webHidden/>
              </w:rPr>
              <w:t>65</w:t>
            </w:r>
            <w:r>
              <w:rPr>
                <w:noProof/>
                <w:webHidden/>
              </w:rPr>
              <w:fldChar w:fldCharType="end"/>
            </w:r>
          </w:hyperlink>
        </w:p>
        <w:p w14:paraId="33CA83C1" w14:textId="1371A8EF" w:rsidR="000514CF" w:rsidRDefault="000514CF">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48296658" w:history="1">
            <w:r w:rsidRPr="003C04AA">
              <w:rPr>
                <w:rStyle w:val="Hyperlink"/>
                <w:rFonts w:ascii="Arial" w:hAnsi="Arial" w:cs="Arial"/>
                <w:noProof/>
              </w:rPr>
              <w:t>J.</w:t>
            </w:r>
            <w:r>
              <w:rPr>
                <w:rFonts w:asciiTheme="minorHAnsi" w:eastAsiaTheme="minorEastAsia" w:hAnsiTheme="minorHAnsi" w:cstheme="minorBidi"/>
                <w:noProof/>
                <w:kern w:val="2"/>
                <w14:ligatures w14:val="standardContextual"/>
              </w:rPr>
              <w:tab/>
            </w:r>
            <w:r w:rsidRPr="003C04AA">
              <w:rPr>
                <w:rStyle w:val="Hyperlink"/>
                <w:rFonts w:ascii="Arial" w:hAnsi="Arial" w:cs="Arial"/>
                <w:noProof/>
              </w:rPr>
              <w:t>References</w:t>
            </w:r>
            <w:r>
              <w:rPr>
                <w:noProof/>
                <w:webHidden/>
              </w:rPr>
              <w:tab/>
            </w:r>
            <w:r>
              <w:rPr>
                <w:noProof/>
                <w:webHidden/>
              </w:rPr>
              <w:fldChar w:fldCharType="begin"/>
            </w:r>
            <w:r>
              <w:rPr>
                <w:noProof/>
                <w:webHidden/>
              </w:rPr>
              <w:instrText xml:space="preserve"> PAGEREF _Toc148296658 \h </w:instrText>
            </w:r>
            <w:r>
              <w:rPr>
                <w:noProof/>
                <w:webHidden/>
              </w:rPr>
            </w:r>
            <w:r>
              <w:rPr>
                <w:noProof/>
                <w:webHidden/>
              </w:rPr>
              <w:fldChar w:fldCharType="separate"/>
            </w:r>
            <w:r>
              <w:rPr>
                <w:noProof/>
                <w:webHidden/>
              </w:rPr>
              <w:t>70</w:t>
            </w:r>
            <w:r>
              <w:rPr>
                <w:noProof/>
                <w:webHidden/>
              </w:rPr>
              <w:fldChar w:fldCharType="end"/>
            </w:r>
          </w:hyperlink>
        </w:p>
        <w:p w14:paraId="12682285" w14:textId="7B2D4007" w:rsidR="00D800F0" w:rsidRPr="00D800F0" w:rsidRDefault="00D800F0">
          <w:pPr>
            <w:rPr>
              <w:rFonts w:ascii="Arial" w:hAnsi="Arial" w:cs="Arial"/>
            </w:rPr>
          </w:pPr>
          <w:r w:rsidRPr="00D800F0">
            <w:rPr>
              <w:rFonts w:ascii="Arial" w:hAnsi="Arial" w:cs="Arial"/>
              <w:b/>
              <w:bCs/>
              <w:noProof/>
            </w:rPr>
            <w:fldChar w:fldCharType="end"/>
          </w:r>
        </w:p>
      </w:sdtContent>
    </w:sdt>
    <w:p w14:paraId="7E3EA9CF" w14:textId="26722E0F" w:rsidR="00D800F0" w:rsidRPr="00D800F0" w:rsidRDefault="00D800F0">
      <w:pPr>
        <w:rPr>
          <w:rFonts w:ascii="Arial" w:hAnsi="Arial" w:cs="Arial"/>
          <w:lang w:eastAsia="en-GB"/>
        </w:rPr>
      </w:pPr>
      <w:r w:rsidRPr="00D800F0">
        <w:rPr>
          <w:rFonts w:ascii="Arial" w:hAnsi="Arial" w:cs="Arial"/>
          <w:lang w:eastAsia="en-GB"/>
        </w:rPr>
        <w:br w:type="page"/>
      </w:r>
    </w:p>
    <w:p w14:paraId="0000000B" w14:textId="79C8D987" w:rsidR="00DA5071" w:rsidRPr="00D800F0" w:rsidRDefault="00000000" w:rsidP="006864F3">
      <w:pPr>
        <w:pStyle w:val="Heading2"/>
        <w:rPr>
          <w:rFonts w:ascii="Arial" w:hAnsi="Arial" w:cs="Arial"/>
        </w:rPr>
      </w:pPr>
      <w:bookmarkStart w:id="4" w:name="_Toc148296613"/>
      <w:r w:rsidRPr="00D800F0">
        <w:rPr>
          <w:rFonts w:ascii="Arial" w:hAnsi="Arial" w:cs="Arial"/>
        </w:rPr>
        <w:lastRenderedPageBreak/>
        <w:t>Technical Foundation of the Techno-Economic Analysis</w:t>
      </w:r>
      <w:bookmarkEnd w:id="4"/>
    </w:p>
    <w:p w14:paraId="11E141D6" w14:textId="15C75B12" w:rsidR="003C61D3" w:rsidRPr="00D800F0" w:rsidRDefault="00671D55" w:rsidP="00D2726E">
      <w:pPr>
        <w:rPr>
          <w:rFonts w:ascii="Arial" w:hAnsi="Arial" w:cs="Arial"/>
        </w:rPr>
      </w:pPr>
      <w:r w:rsidRPr="00D800F0">
        <w:rPr>
          <w:rFonts w:ascii="Arial" w:hAnsi="Arial" w:cs="Arial"/>
        </w:rPr>
        <w:t>The technical underpinnings of the proposed techno-economic performance assessment framework are associated with a fixed-scale configuration</w:t>
      </w:r>
      <w:r w:rsidR="00D2726E" w:rsidRPr="00D800F0">
        <w:rPr>
          <w:rFonts w:ascii="Arial" w:hAnsi="Arial" w:cs="Arial"/>
        </w:rPr>
        <w:t xml:space="preserve"> </w:t>
      </w:r>
      <w:r w:rsidRPr="00D800F0">
        <w:rPr>
          <w:rFonts w:ascii="Arial" w:hAnsi="Arial" w:cs="Arial"/>
        </w:rPr>
        <w:t xml:space="preserve">of various integrated process units found in the pertinent literature as various process units illustrated below </w:t>
      </w:r>
      <w:r w:rsidR="00F21F79" w:rsidRPr="00D800F0">
        <w:rPr>
          <w:rFonts w:ascii="Arial" w:hAnsi="Arial" w:cs="Arial"/>
        </w:rPr>
        <w:t>(</w:t>
      </w:r>
      <w:r w:rsidR="00F21F79" w:rsidRPr="00D800F0">
        <w:rPr>
          <w:rFonts w:ascii="Arial" w:hAnsi="Arial" w:cs="Arial"/>
        </w:rPr>
        <w:fldChar w:fldCharType="begin"/>
      </w:r>
      <w:r w:rsidR="00F21F79" w:rsidRPr="00D800F0">
        <w:rPr>
          <w:rFonts w:ascii="Arial" w:hAnsi="Arial" w:cs="Arial"/>
        </w:rPr>
        <w:instrText xml:space="preserve"> REF _Ref146713232 \h </w:instrText>
      </w:r>
      <w:r w:rsidR="00D800F0">
        <w:rPr>
          <w:rFonts w:ascii="Arial" w:hAnsi="Arial" w:cs="Arial"/>
        </w:rPr>
        <w:instrText xml:space="preserve"> \* MERGEFORMAT </w:instrText>
      </w:r>
      <w:r w:rsidR="00F21F79" w:rsidRPr="00D800F0">
        <w:rPr>
          <w:rFonts w:ascii="Arial" w:hAnsi="Arial" w:cs="Arial"/>
        </w:rPr>
      </w:r>
      <w:r w:rsidR="00F21F79" w:rsidRPr="00D800F0">
        <w:rPr>
          <w:rFonts w:ascii="Arial" w:hAnsi="Arial" w:cs="Arial"/>
        </w:rPr>
        <w:fldChar w:fldCharType="separate"/>
      </w:r>
      <w:r w:rsidR="00802EAA" w:rsidRPr="00D800F0">
        <w:rPr>
          <w:rFonts w:ascii="Arial" w:hAnsi="Arial" w:cs="Arial"/>
        </w:rPr>
        <w:t xml:space="preserve">Figure </w:t>
      </w:r>
      <w:r w:rsidR="00802EAA" w:rsidRPr="00D800F0">
        <w:rPr>
          <w:rFonts w:ascii="Arial" w:hAnsi="Arial" w:cs="Arial"/>
          <w:noProof/>
        </w:rPr>
        <w:t>A</w:t>
      </w:r>
      <w:r w:rsidR="00802EAA" w:rsidRPr="00D800F0">
        <w:rPr>
          <w:rFonts w:ascii="Arial" w:hAnsi="Arial" w:cs="Arial"/>
        </w:rPr>
        <w:noBreakHyphen/>
      </w:r>
      <w:r w:rsidR="00802EAA" w:rsidRPr="00D800F0">
        <w:rPr>
          <w:rFonts w:ascii="Arial" w:hAnsi="Arial" w:cs="Arial"/>
          <w:noProof/>
        </w:rPr>
        <w:t>1</w:t>
      </w:r>
      <w:r w:rsidR="00F21F79" w:rsidRPr="00D800F0">
        <w:rPr>
          <w:rFonts w:ascii="Arial" w:hAnsi="Arial" w:cs="Arial"/>
        </w:rPr>
        <w:fldChar w:fldCharType="end"/>
      </w:r>
      <w:r w:rsidR="00F21F79" w:rsidRPr="00D800F0">
        <w:rPr>
          <w:rFonts w:ascii="Arial" w:hAnsi="Arial" w:cs="Arial"/>
        </w:rPr>
        <w:t xml:space="preserve">). </w:t>
      </w:r>
    </w:p>
    <w:p w14:paraId="068F95A7" w14:textId="5E152138" w:rsidR="00F21F79" w:rsidRPr="00D800F0" w:rsidRDefault="007500EB" w:rsidP="00F21F79">
      <w:pPr>
        <w:keepNext/>
        <w:ind w:left="360"/>
        <w:rPr>
          <w:rFonts w:ascii="Arial" w:hAnsi="Arial" w:cs="Arial"/>
        </w:rPr>
      </w:pPr>
      <w:r w:rsidRPr="00D800F0">
        <w:rPr>
          <w:rFonts w:ascii="Arial" w:hAnsi="Arial" w:cs="Arial"/>
          <w:noProof/>
        </w:rPr>
        <w:drawing>
          <wp:inline distT="0" distB="0" distL="0" distR="0" wp14:anchorId="403418CD" wp14:editId="59DCE2B4">
            <wp:extent cx="5943600" cy="2732405"/>
            <wp:effectExtent l="0" t="0" r="0" b="0"/>
            <wp:docPr id="328432913"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32913" name="Picture 2" descr="A screenshot of a computer scree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732405"/>
                    </a:xfrm>
                    <a:prstGeom prst="rect">
                      <a:avLst/>
                    </a:prstGeom>
                    <a:noFill/>
                    <a:ln>
                      <a:noFill/>
                    </a:ln>
                  </pic:spPr>
                </pic:pic>
              </a:graphicData>
            </a:graphic>
          </wp:inline>
        </w:drawing>
      </w:r>
    </w:p>
    <w:p w14:paraId="58ABC802" w14:textId="40FB2DB7" w:rsidR="00F21F79" w:rsidRPr="00D800F0" w:rsidRDefault="00F21F79" w:rsidP="00F21F79">
      <w:pPr>
        <w:pStyle w:val="Caption"/>
        <w:rPr>
          <w:rFonts w:ascii="Arial" w:hAnsi="Arial" w:cs="Arial"/>
        </w:rPr>
      </w:pPr>
      <w:bookmarkStart w:id="5" w:name="_Ref146713232"/>
      <w:r w:rsidRPr="00D800F0">
        <w:rPr>
          <w:rFonts w:ascii="Arial" w:hAnsi="Arial" w:cs="Arial"/>
        </w:rPr>
        <w:t xml:space="preserve">Figure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00802EAA" w:rsidRPr="00D800F0">
        <w:rPr>
          <w:rFonts w:ascii="Arial" w:hAnsi="Arial" w:cs="Arial"/>
          <w:noProof/>
        </w:rPr>
        <w:t>A</w:t>
      </w:r>
      <w:r w:rsidRPr="00D800F0">
        <w:rPr>
          <w:rFonts w:ascii="Arial" w:hAnsi="Arial" w:cs="Arial"/>
          <w:noProof/>
        </w:rPr>
        <w:fldChar w:fldCharType="end"/>
      </w:r>
      <w:r w:rsidR="00A24EB3"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Figure \* ARABIC \s 2 </w:instrText>
      </w:r>
      <w:r w:rsidRPr="00D800F0">
        <w:rPr>
          <w:rFonts w:ascii="Arial" w:hAnsi="Arial" w:cs="Arial"/>
        </w:rPr>
        <w:fldChar w:fldCharType="separate"/>
      </w:r>
      <w:r w:rsidR="00802EAA" w:rsidRPr="00D800F0">
        <w:rPr>
          <w:rFonts w:ascii="Arial" w:hAnsi="Arial" w:cs="Arial"/>
          <w:noProof/>
        </w:rPr>
        <w:t>1</w:t>
      </w:r>
      <w:r w:rsidRPr="00D800F0">
        <w:rPr>
          <w:rFonts w:ascii="Arial" w:hAnsi="Arial" w:cs="Arial"/>
          <w:noProof/>
        </w:rPr>
        <w:fldChar w:fldCharType="end"/>
      </w:r>
      <w:bookmarkEnd w:id="5"/>
      <w:r w:rsidRPr="00D800F0">
        <w:rPr>
          <w:rFonts w:ascii="Arial" w:hAnsi="Arial" w:cs="Arial"/>
        </w:rPr>
        <w:t xml:space="preserve">: </w:t>
      </w:r>
      <w:r w:rsidR="00671D55" w:rsidRPr="00D800F0">
        <w:rPr>
          <w:rFonts w:ascii="Arial" w:hAnsi="Arial" w:cs="Arial"/>
        </w:rPr>
        <w:t>Simplified illustration of the structure of a composite technical process system model</w:t>
      </w:r>
      <w:r w:rsidRPr="00D800F0">
        <w:rPr>
          <w:rFonts w:ascii="Arial" w:hAnsi="Arial" w:cs="Arial"/>
        </w:rPr>
        <w:t>.</w:t>
      </w:r>
    </w:p>
    <w:p w14:paraId="76C5DA8D" w14:textId="0E1189C4" w:rsidR="00671D55" w:rsidRPr="00D800F0" w:rsidRDefault="00671D55" w:rsidP="00671D55">
      <w:pPr>
        <w:ind w:firstLine="720"/>
        <w:rPr>
          <w:rFonts w:ascii="Arial" w:hAnsi="Arial" w:cs="Arial"/>
        </w:rPr>
      </w:pPr>
      <w:r w:rsidRPr="00D800F0">
        <w:rPr>
          <w:rFonts w:ascii="Arial" w:hAnsi="Arial" w:cs="Arial"/>
        </w:rPr>
        <w:t>The design concept underlying the ammonia process</w:t>
      </w:r>
      <w:r w:rsidR="00D2726E" w:rsidRPr="00D800F0">
        <w:rPr>
          <w:rFonts w:ascii="Arial" w:hAnsi="Arial" w:cs="Arial"/>
        </w:rPr>
        <w:t xml:space="preserve"> </w:t>
      </w:r>
      <w:r w:rsidRPr="00D800F0">
        <w:rPr>
          <w:rFonts w:ascii="Arial" w:hAnsi="Arial" w:cs="Arial"/>
        </w:rPr>
        <w:t xml:space="preserve">system under consideration is aligned with the well-known Linde Ammonia Concept (LAC) (Amhamed et al., 2022). The advantage of this process design (as opposed to the Kellog-Braun approach) is that the air separation unit is separate from the SMR process, </w:t>
      </w:r>
      <w:r w:rsidR="00D2726E" w:rsidRPr="00D800F0">
        <w:rPr>
          <w:rFonts w:ascii="Arial" w:hAnsi="Arial" w:cs="Arial"/>
        </w:rPr>
        <w:t>reducing the capacity requirements of the SMR equipment and thus reducing</w:t>
      </w:r>
      <w:r w:rsidRPr="00D800F0">
        <w:rPr>
          <w:rFonts w:ascii="Arial" w:hAnsi="Arial" w:cs="Arial"/>
        </w:rPr>
        <w:t xml:space="preserve"> the overall cost. LAC is also easy to simulate as each process block/unit can be treated </w:t>
      </w:r>
      <w:r w:rsidR="00D2726E" w:rsidRPr="00D800F0">
        <w:rPr>
          <w:rFonts w:ascii="Arial" w:hAnsi="Arial" w:cs="Arial"/>
        </w:rPr>
        <w:t>isolated</w:t>
      </w:r>
      <w:r w:rsidRPr="00D800F0">
        <w:rPr>
          <w:rFonts w:ascii="Arial" w:hAnsi="Arial" w:cs="Arial"/>
        </w:rPr>
        <w:t>.</w:t>
      </w:r>
    </w:p>
    <w:p w14:paraId="2397F871" w14:textId="19D06E4E" w:rsidR="003C61D3" w:rsidRPr="00D800F0" w:rsidRDefault="00671D55" w:rsidP="003C61D3">
      <w:pPr>
        <w:rPr>
          <w:rFonts w:ascii="Arial" w:hAnsi="Arial" w:cs="Arial"/>
        </w:rPr>
      </w:pPr>
      <w:r w:rsidRPr="00D800F0">
        <w:rPr>
          <w:rFonts w:ascii="Arial" w:hAnsi="Arial" w:cs="Arial"/>
        </w:rPr>
        <w:tab/>
        <w:t xml:space="preserve">The rest of this section is dedicated to explaining </w:t>
      </w:r>
      <w:r w:rsidR="00D2726E" w:rsidRPr="00D800F0">
        <w:rPr>
          <w:rFonts w:ascii="Arial" w:hAnsi="Arial" w:cs="Arial"/>
        </w:rPr>
        <w:t>how</w:t>
      </w:r>
      <w:r w:rsidRPr="00D800F0">
        <w:rPr>
          <w:rFonts w:ascii="Arial" w:hAnsi="Arial" w:cs="Arial"/>
        </w:rPr>
        <w:t xml:space="preserve"> we combined these process blocks/units</w:t>
      </w:r>
      <w:r w:rsidR="00D2726E" w:rsidRPr="00D800F0">
        <w:rPr>
          <w:rFonts w:ascii="Arial" w:hAnsi="Arial" w:cs="Arial"/>
        </w:rPr>
        <w:t xml:space="preserve"> </w:t>
      </w:r>
      <w:r w:rsidRPr="00D800F0">
        <w:rPr>
          <w:rFonts w:ascii="Arial" w:hAnsi="Arial" w:cs="Arial"/>
        </w:rPr>
        <w:t xml:space="preserve">in an integrated process system configuration and </w:t>
      </w:r>
      <w:r w:rsidR="00D2726E" w:rsidRPr="00D800F0">
        <w:rPr>
          <w:rFonts w:ascii="Arial" w:hAnsi="Arial" w:cs="Arial"/>
        </w:rPr>
        <w:t xml:space="preserve">formed </w:t>
      </w:r>
      <w:r w:rsidRPr="00D800F0">
        <w:rPr>
          <w:rFonts w:ascii="Arial" w:hAnsi="Arial" w:cs="Arial"/>
        </w:rPr>
        <w:t xml:space="preserve">the </w:t>
      </w:r>
      <w:r w:rsidR="00D2726E" w:rsidRPr="00D800F0">
        <w:rPr>
          <w:rFonts w:ascii="Arial" w:hAnsi="Arial" w:cs="Arial"/>
        </w:rPr>
        <w:t>requisite technical</w:t>
      </w:r>
      <w:r w:rsidRPr="00D800F0">
        <w:rPr>
          <w:rFonts w:ascii="Arial" w:hAnsi="Arial" w:cs="Arial"/>
        </w:rPr>
        <w:t xml:space="preserve"> foundations of this study.</w:t>
      </w:r>
    </w:p>
    <w:p w14:paraId="78E658F4" w14:textId="00BF8345" w:rsidR="00454FE2" w:rsidRPr="00D800F0" w:rsidRDefault="00454FE2" w:rsidP="00454FE2">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00802EAA" w:rsidRPr="00D800F0">
        <w:rPr>
          <w:rFonts w:ascii="Arial" w:hAnsi="Arial" w:cs="Arial"/>
          <w:noProof/>
        </w:rPr>
        <w:t>A</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00802EAA" w:rsidRPr="00D800F0">
        <w:rPr>
          <w:rFonts w:ascii="Arial" w:hAnsi="Arial" w:cs="Arial"/>
          <w:noProof/>
        </w:rPr>
        <w:t>1</w:t>
      </w:r>
      <w:r w:rsidRPr="00D800F0">
        <w:rPr>
          <w:rFonts w:ascii="Arial" w:hAnsi="Arial" w:cs="Arial"/>
          <w:noProof/>
        </w:rPr>
        <w:fldChar w:fldCharType="end"/>
      </w:r>
      <w:r w:rsidRPr="00D800F0">
        <w:rPr>
          <w:rFonts w:ascii="Arial" w:hAnsi="Arial" w:cs="Arial"/>
        </w:rPr>
        <w:t>: Nomenclature in this SI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5130"/>
        <w:gridCol w:w="2155"/>
      </w:tblGrid>
      <w:tr w:rsidR="00EA7652" w:rsidRPr="00D800F0" w14:paraId="7B649E5E" w14:textId="77777777" w:rsidTr="009967A4">
        <w:tc>
          <w:tcPr>
            <w:tcW w:w="2065" w:type="dxa"/>
            <w:tcBorders>
              <w:top w:val="single" w:sz="4" w:space="0" w:color="auto"/>
              <w:bottom w:val="single" w:sz="4" w:space="0" w:color="auto"/>
            </w:tcBorders>
          </w:tcPr>
          <w:p w14:paraId="22C61F2D" w14:textId="11D14F0B" w:rsidR="00EA7652" w:rsidRPr="00D800F0" w:rsidRDefault="00EA7652" w:rsidP="003C61D3">
            <w:pPr>
              <w:rPr>
                <w:rFonts w:ascii="Arial" w:hAnsi="Arial" w:cs="Arial"/>
                <w:b/>
                <w:bCs/>
              </w:rPr>
            </w:pPr>
            <w:r w:rsidRPr="00D800F0">
              <w:rPr>
                <w:rFonts w:ascii="Arial" w:hAnsi="Arial" w:cs="Arial"/>
                <w:b/>
                <w:bCs/>
              </w:rPr>
              <w:t>Variable</w:t>
            </w:r>
          </w:p>
        </w:tc>
        <w:tc>
          <w:tcPr>
            <w:tcW w:w="5130" w:type="dxa"/>
            <w:tcBorders>
              <w:top w:val="single" w:sz="4" w:space="0" w:color="auto"/>
              <w:bottom w:val="single" w:sz="4" w:space="0" w:color="auto"/>
            </w:tcBorders>
          </w:tcPr>
          <w:p w14:paraId="25A6C2A6" w14:textId="78AF7307" w:rsidR="00EA7652" w:rsidRPr="00D800F0" w:rsidRDefault="00EA7652" w:rsidP="003C61D3">
            <w:pPr>
              <w:rPr>
                <w:rFonts w:ascii="Arial" w:hAnsi="Arial" w:cs="Arial"/>
                <w:b/>
                <w:bCs/>
              </w:rPr>
            </w:pPr>
            <w:r w:rsidRPr="00D800F0">
              <w:rPr>
                <w:rFonts w:ascii="Arial" w:hAnsi="Arial" w:cs="Arial"/>
                <w:b/>
                <w:bCs/>
              </w:rPr>
              <w:t>Description</w:t>
            </w:r>
          </w:p>
        </w:tc>
        <w:tc>
          <w:tcPr>
            <w:tcW w:w="2155" w:type="dxa"/>
            <w:tcBorders>
              <w:top w:val="single" w:sz="4" w:space="0" w:color="auto"/>
              <w:bottom w:val="single" w:sz="4" w:space="0" w:color="auto"/>
            </w:tcBorders>
          </w:tcPr>
          <w:p w14:paraId="09862C78" w14:textId="352DACC3" w:rsidR="00EA7652" w:rsidRPr="00D800F0" w:rsidRDefault="00EA7652" w:rsidP="003C61D3">
            <w:pPr>
              <w:rPr>
                <w:rFonts w:ascii="Arial" w:hAnsi="Arial" w:cs="Arial"/>
                <w:b/>
                <w:bCs/>
              </w:rPr>
            </w:pPr>
            <w:r w:rsidRPr="00D800F0">
              <w:rPr>
                <w:rFonts w:ascii="Arial" w:hAnsi="Arial" w:cs="Arial"/>
                <w:b/>
                <w:bCs/>
              </w:rPr>
              <w:t>Units</w:t>
            </w:r>
          </w:p>
        </w:tc>
      </w:tr>
      <w:tr w:rsidR="00EA7652" w:rsidRPr="00D800F0" w14:paraId="480A6A36" w14:textId="77777777" w:rsidTr="009967A4">
        <w:tc>
          <w:tcPr>
            <w:tcW w:w="2065" w:type="dxa"/>
            <w:tcBorders>
              <w:top w:val="single" w:sz="4" w:space="0" w:color="auto"/>
            </w:tcBorders>
          </w:tcPr>
          <w:p w14:paraId="14E8D957" w14:textId="5FFE7B89" w:rsidR="00EA7652" w:rsidRPr="00D800F0" w:rsidRDefault="00000000" w:rsidP="00454FE2">
            <w:pPr>
              <w:rPr>
                <w:rFonts w:ascii="Arial" w:hAnsi="Arial" w:cs="Arial"/>
                <w:b/>
                <w:bCs/>
              </w:rPr>
            </w:pPr>
            <m:oMathPara>
              <m:oMath>
                <m:sSub>
                  <m:sSubPr>
                    <m:ctrlPr>
                      <w:rPr>
                        <w:rFonts w:ascii="Cambria Math" w:hAnsi="Cambria Math" w:cs="Arial"/>
                        <w:b/>
                        <w:bCs/>
                        <w:i/>
                      </w:rPr>
                    </m:ctrlPr>
                  </m:sSubPr>
                  <m:e>
                    <m:r>
                      <m:rPr>
                        <m:sty m:val="bi"/>
                      </m:rPr>
                      <w:rPr>
                        <w:rFonts w:ascii="Cambria Math" w:hAnsi="Cambria Math" w:cs="Arial"/>
                      </w:rPr>
                      <m:t>η</m:t>
                    </m:r>
                  </m:e>
                  <m:sub>
                    <m:r>
                      <m:rPr>
                        <m:sty m:val="bi"/>
                      </m:rPr>
                      <w:rPr>
                        <w:rFonts w:ascii="Cambria Math" w:hAnsi="Cambria Math" w:cs="Arial"/>
                      </w:rPr>
                      <m:t>AEC</m:t>
                    </m:r>
                  </m:sub>
                </m:sSub>
              </m:oMath>
            </m:oMathPara>
          </w:p>
        </w:tc>
        <w:tc>
          <w:tcPr>
            <w:tcW w:w="5130" w:type="dxa"/>
            <w:tcBorders>
              <w:top w:val="single" w:sz="4" w:space="0" w:color="auto"/>
            </w:tcBorders>
          </w:tcPr>
          <w:p w14:paraId="43E69E85" w14:textId="745A1379" w:rsidR="00EA7652" w:rsidRPr="00D800F0" w:rsidRDefault="00EA7652" w:rsidP="003C61D3">
            <w:pPr>
              <w:rPr>
                <w:rFonts w:ascii="Arial" w:hAnsi="Arial" w:cs="Arial"/>
              </w:rPr>
            </w:pPr>
            <w:r w:rsidRPr="00D800F0">
              <w:rPr>
                <w:rFonts w:ascii="Arial" w:hAnsi="Arial" w:cs="Arial"/>
              </w:rPr>
              <w:t>Electrolysis efficiency, LHV basis</w:t>
            </w:r>
          </w:p>
        </w:tc>
        <w:tc>
          <w:tcPr>
            <w:tcW w:w="2155" w:type="dxa"/>
            <w:tcBorders>
              <w:top w:val="single" w:sz="4" w:space="0" w:color="auto"/>
            </w:tcBorders>
          </w:tcPr>
          <w:p w14:paraId="015C2BD6" w14:textId="5CE43B2C" w:rsidR="00EA7652" w:rsidRPr="00D800F0" w:rsidRDefault="00EA7652" w:rsidP="003C61D3">
            <w:pPr>
              <w:rPr>
                <w:rFonts w:ascii="Arial" w:hAnsi="Arial" w:cs="Arial"/>
              </w:rPr>
            </w:pPr>
            <w:r w:rsidRPr="00D800F0">
              <w:rPr>
                <w:rFonts w:ascii="Arial" w:hAnsi="Arial" w:cs="Arial"/>
              </w:rPr>
              <w:t>H2 LHV</w:t>
            </w:r>
          </w:p>
        </w:tc>
      </w:tr>
      <w:tr w:rsidR="00EA7652" w:rsidRPr="00D800F0" w14:paraId="2E551F80" w14:textId="77777777" w:rsidTr="009967A4">
        <w:tc>
          <w:tcPr>
            <w:tcW w:w="2065" w:type="dxa"/>
          </w:tcPr>
          <w:p w14:paraId="5A423C65" w14:textId="63F1AC6D" w:rsidR="00EA7652" w:rsidRPr="00D800F0" w:rsidRDefault="00000000" w:rsidP="00454FE2">
            <w:pPr>
              <w:rPr>
                <w:rFonts w:ascii="Arial" w:hAnsi="Arial" w:cs="Arial"/>
                <w:b/>
                <w:bCs/>
              </w:rPr>
            </w:pPr>
            <m:oMathPara>
              <m:oMath>
                <m:sSubSup>
                  <m:sSubSupPr>
                    <m:ctrlPr>
                      <w:rPr>
                        <w:rFonts w:ascii="Cambria Math" w:hAnsi="Cambria Math" w:cs="Arial"/>
                        <w:b/>
                        <w:bCs/>
                        <w:i/>
                      </w:rPr>
                    </m:ctrlPr>
                  </m:sSubSupPr>
                  <m:e>
                    <m:r>
                      <m:rPr>
                        <m:sty m:val="bi"/>
                      </m:rPr>
                      <w:rPr>
                        <w:rFonts w:ascii="Cambria Math" w:hAnsi="Cambria Math" w:cs="Arial"/>
                      </w:rPr>
                      <m:t>h</m:t>
                    </m:r>
                  </m:e>
                  <m:sub>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2</m:t>
                        </m:r>
                      </m:sub>
                    </m:sSub>
                  </m:sub>
                  <m:sup>
                    <m:r>
                      <m:rPr>
                        <m:sty m:val="bi"/>
                      </m:rPr>
                      <w:rPr>
                        <w:rFonts w:ascii="Cambria Math" w:hAnsi="Cambria Math" w:cs="Arial"/>
                      </w:rPr>
                      <m:t>LHV</m:t>
                    </m:r>
                  </m:sup>
                </m:sSubSup>
              </m:oMath>
            </m:oMathPara>
          </w:p>
        </w:tc>
        <w:tc>
          <w:tcPr>
            <w:tcW w:w="5130" w:type="dxa"/>
          </w:tcPr>
          <w:p w14:paraId="3A13CB61" w14:textId="249010EA" w:rsidR="00EA7652" w:rsidRPr="00D800F0" w:rsidRDefault="00EA7652" w:rsidP="003C61D3">
            <w:pPr>
              <w:rPr>
                <w:rFonts w:ascii="Arial" w:hAnsi="Arial" w:cs="Arial"/>
              </w:rPr>
            </w:pPr>
            <w:r w:rsidRPr="00D800F0">
              <w:rPr>
                <w:rFonts w:ascii="Arial" w:hAnsi="Arial" w:cs="Arial"/>
              </w:rPr>
              <w:t>Hydrogen LHV</w:t>
            </w:r>
          </w:p>
        </w:tc>
        <w:tc>
          <w:tcPr>
            <w:tcW w:w="2155" w:type="dxa"/>
          </w:tcPr>
          <w:p w14:paraId="246E162A" w14:textId="65BB2666" w:rsidR="00EA7652" w:rsidRPr="00D800F0" w:rsidRDefault="00EA7652" w:rsidP="003C61D3">
            <w:pPr>
              <w:rPr>
                <w:rFonts w:ascii="Arial" w:hAnsi="Arial" w:cs="Arial"/>
              </w:rPr>
            </w:pPr>
            <w:r w:rsidRPr="00D800F0">
              <w:rPr>
                <w:rFonts w:ascii="Arial" w:hAnsi="Arial" w:cs="Arial"/>
              </w:rPr>
              <w:t>kWh/kg</w:t>
            </w:r>
          </w:p>
        </w:tc>
      </w:tr>
      <w:tr w:rsidR="00EA7652" w:rsidRPr="00D800F0" w14:paraId="4729A54F" w14:textId="77777777" w:rsidTr="009967A4">
        <w:tc>
          <w:tcPr>
            <w:tcW w:w="2065" w:type="dxa"/>
          </w:tcPr>
          <w:p w14:paraId="6CAB5855" w14:textId="3F640D16" w:rsidR="00EA7652" w:rsidRPr="00D800F0" w:rsidRDefault="00000000" w:rsidP="00454FE2">
            <w:pPr>
              <w:rPr>
                <w:rFonts w:ascii="Arial" w:hAnsi="Arial" w:cs="Arial"/>
                <w:b/>
                <w:bCs/>
              </w:rPr>
            </w:pPr>
            <m:oMathPara>
              <m:oMath>
                <m:sSub>
                  <m:sSubPr>
                    <m:ctrlPr>
                      <w:rPr>
                        <w:rFonts w:ascii="Cambria Math" w:hAnsi="Cambria Math" w:cs="Arial"/>
                        <w:b/>
                        <w:bCs/>
                        <w:i/>
                      </w:rPr>
                    </m:ctrlPr>
                  </m:sSubPr>
                  <m:e>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m:t>
                        </m:r>
                      </m:sup>
                    </m:sSup>
                    <m:r>
                      <m:rPr>
                        <m:sty m:val="bi"/>
                      </m:rPr>
                      <w:rPr>
                        <w:rFonts w:ascii="Cambria Math" w:hAnsi="Cambria Math" w:cs="Arial"/>
                      </w:rPr>
                      <m:t xml:space="preserve"> </m:t>
                    </m:r>
                  </m:e>
                  <m:sub>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2</m:t>
                        </m:r>
                      </m:sub>
                    </m:sSub>
                  </m:sub>
                </m:sSub>
              </m:oMath>
            </m:oMathPara>
          </w:p>
        </w:tc>
        <w:tc>
          <w:tcPr>
            <w:tcW w:w="5130" w:type="dxa"/>
          </w:tcPr>
          <w:p w14:paraId="0468A4AD" w14:textId="3D85E505" w:rsidR="00EA7652" w:rsidRPr="00D800F0" w:rsidRDefault="00EA7652" w:rsidP="003C61D3">
            <w:pPr>
              <w:rPr>
                <w:rFonts w:ascii="Arial" w:hAnsi="Arial" w:cs="Arial"/>
              </w:rPr>
            </w:pPr>
            <w:r w:rsidRPr="00D800F0">
              <w:rPr>
                <w:rFonts w:ascii="Arial" w:hAnsi="Arial" w:cs="Arial"/>
              </w:rPr>
              <w:t>Hydrogen production flowrate</w:t>
            </w:r>
          </w:p>
        </w:tc>
        <w:tc>
          <w:tcPr>
            <w:tcW w:w="2155" w:type="dxa"/>
          </w:tcPr>
          <w:p w14:paraId="3D8234A0" w14:textId="01747EE9" w:rsidR="00EA7652" w:rsidRPr="00D800F0" w:rsidRDefault="00EA7652" w:rsidP="003C61D3">
            <w:pPr>
              <w:rPr>
                <w:rFonts w:ascii="Arial" w:hAnsi="Arial" w:cs="Arial"/>
              </w:rPr>
            </w:pPr>
            <w:r w:rsidRPr="00D800F0">
              <w:rPr>
                <w:rFonts w:ascii="Arial" w:hAnsi="Arial" w:cs="Arial"/>
              </w:rPr>
              <w:t>Tonnes per day (TPD)</w:t>
            </w:r>
          </w:p>
        </w:tc>
      </w:tr>
      <w:tr w:rsidR="00EA7652" w:rsidRPr="00D800F0" w14:paraId="5115A19D" w14:textId="77777777" w:rsidTr="009967A4">
        <w:tc>
          <w:tcPr>
            <w:tcW w:w="2065" w:type="dxa"/>
          </w:tcPr>
          <w:p w14:paraId="18624BD1" w14:textId="7B488054" w:rsidR="00EA7652" w:rsidRPr="00D800F0" w:rsidRDefault="00000000" w:rsidP="00454FE2">
            <w:pPr>
              <w:rPr>
                <w:rFonts w:ascii="Arial" w:hAnsi="Arial" w:cs="Arial"/>
                <w:b/>
                <w:bCs/>
              </w:rPr>
            </w:pPr>
            <m:oMathPara>
              <m:oMath>
                <m:sSub>
                  <m:sSubPr>
                    <m:ctrlPr>
                      <w:rPr>
                        <w:rFonts w:ascii="Cambria Math" w:hAnsi="Cambria Math" w:cs="Arial"/>
                        <w:b/>
                        <w:bCs/>
                        <w:i/>
                      </w:rPr>
                    </m:ctrlPr>
                  </m:sSubPr>
                  <m:e>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m:t>
                        </m:r>
                      </m:sup>
                    </m:sSup>
                    <m:r>
                      <m:rPr>
                        <m:sty m:val="bi"/>
                      </m:rPr>
                      <w:rPr>
                        <w:rFonts w:ascii="Cambria Math" w:hAnsi="Cambria Math" w:cs="Arial"/>
                      </w:rPr>
                      <m:t xml:space="preserve"> </m:t>
                    </m:r>
                  </m:e>
                  <m:sub>
                    <m:sSub>
                      <m:sSubPr>
                        <m:ctrlPr>
                          <w:rPr>
                            <w:rFonts w:ascii="Cambria Math" w:hAnsi="Cambria Math" w:cs="Arial"/>
                            <w:b/>
                            <w:bCs/>
                            <w:i/>
                          </w:rPr>
                        </m:ctrlPr>
                      </m:sSubPr>
                      <m:e>
                        <m:r>
                          <m:rPr>
                            <m:sty m:val="bi"/>
                          </m:rPr>
                          <w:rPr>
                            <w:rFonts w:ascii="Cambria Math" w:hAnsi="Cambria Math" w:cs="Arial"/>
                          </w:rPr>
                          <m:t>NH</m:t>
                        </m:r>
                      </m:e>
                      <m:sub>
                        <m:r>
                          <m:rPr>
                            <m:sty m:val="bi"/>
                          </m:rPr>
                          <w:rPr>
                            <w:rFonts w:ascii="Cambria Math" w:hAnsi="Cambria Math" w:cs="Arial"/>
                          </w:rPr>
                          <m:t>3</m:t>
                        </m:r>
                      </m:sub>
                    </m:sSub>
                  </m:sub>
                </m:sSub>
              </m:oMath>
            </m:oMathPara>
          </w:p>
        </w:tc>
        <w:tc>
          <w:tcPr>
            <w:tcW w:w="5130" w:type="dxa"/>
          </w:tcPr>
          <w:p w14:paraId="0E035B1C" w14:textId="46A2FAEB" w:rsidR="00EA7652" w:rsidRPr="00D800F0" w:rsidRDefault="00EA7652" w:rsidP="003C61D3">
            <w:pPr>
              <w:rPr>
                <w:rFonts w:ascii="Arial" w:hAnsi="Arial" w:cs="Arial"/>
              </w:rPr>
            </w:pPr>
            <w:r w:rsidRPr="00D800F0">
              <w:rPr>
                <w:rFonts w:ascii="Arial" w:hAnsi="Arial" w:cs="Arial"/>
              </w:rPr>
              <w:t>Ammonia production flowrate</w:t>
            </w:r>
          </w:p>
        </w:tc>
        <w:tc>
          <w:tcPr>
            <w:tcW w:w="2155" w:type="dxa"/>
          </w:tcPr>
          <w:p w14:paraId="31CAEDE8" w14:textId="6913A302" w:rsidR="00EA7652" w:rsidRPr="00D800F0" w:rsidRDefault="00EA7652" w:rsidP="003C61D3">
            <w:pPr>
              <w:rPr>
                <w:rFonts w:ascii="Arial" w:hAnsi="Arial" w:cs="Arial"/>
              </w:rPr>
            </w:pPr>
            <w:r w:rsidRPr="00D800F0">
              <w:rPr>
                <w:rFonts w:ascii="Arial" w:hAnsi="Arial" w:cs="Arial"/>
              </w:rPr>
              <w:t>TPD</w:t>
            </w:r>
          </w:p>
        </w:tc>
      </w:tr>
      <w:tr w:rsidR="00EA7652" w:rsidRPr="00D800F0" w14:paraId="1A4A494D" w14:textId="77777777" w:rsidTr="00AC5071">
        <w:tc>
          <w:tcPr>
            <w:tcW w:w="2065" w:type="dxa"/>
          </w:tcPr>
          <w:p w14:paraId="196212B3" w14:textId="3B7D451D" w:rsidR="00EA7652" w:rsidRPr="00D800F0" w:rsidRDefault="00000000" w:rsidP="00454FE2">
            <w:pPr>
              <w:rPr>
                <w:rFonts w:ascii="Arial" w:hAnsi="Arial" w:cs="Arial"/>
                <w:b/>
                <w:bCs/>
              </w:rPr>
            </w:pPr>
            <m:oMathPara>
              <m:oMath>
                <m:sSub>
                  <m:sSubPr>
                    <m:ctrlPr>
                      <w:rPr>
                        <w:rFonts w:ascii="Cambria Math" w:hAnsi="Cambria Math" w:cs="Arial"/>
                        <w:b/>
                        <w:bCs/>
                        <w:i/>
                      </w:rPr>
                    </m:ctrlPr>
                  </m:sSubPr>
                  <m:e>
                    <m:r>
                      <m:rPr>
                        <m:sty m:val="bi"/>
                      </m:rPr>
                      <w:rPr>
                        <w:rFonts w:ascii="Cambria Math" w:hAnsi="Cambria Math" w:cs="Arial"/>
                      </w:rPr>
                      <m:t>R</m:t>
                    </m:r>
                  </m:e>
                  <m:sub>
                    <m:r>
                      <m:rPr>
                        <m:sty m:val="bi"/>
                      </m:rPr>
                      <w:rPr>
                        <w:rFonts w:ascii="Cambria Math" w:hAnsi="Cambria Math" w:cs="Arial"/>
                      </w:rPr>
                      <m:t>C</m:t>
                    </m:r>
                    <m:sSub>
                      <m:sSubPr>
                        <m:ctrlPr>
                          <w:rPr>
                            <w:rFonts w:ascii="Cambria Math" w:hAnsi="Cambria Math" w:cs="Arial"/>
                            <w:b/>
                            <w:bCs/>
                            <w:i/>
                          </w:rPr>
                        </m:ctrlPr>
                      </m:sSubPr>
                      <m:e>
                        <m:r>
                          <m:rPr>
                            <m:sty m:val="bi"/>
                          </m:rPr>
                          <w:rPr>
                            <w:rFonts w:ascii="Cambria Math" w:hAnsi="Cambria Math" w:cs="Arial"/>
                          </w:rPr>
                          <m:t>O</m:t>
                        </m:r>
                      </m:e>
                      <m:sub>
                        <m:r>
                          <m:rPr>
                            <m:sty m:val="bi"/>
                          </m:rPr>
                          <w:rPr>
                            <w:rFonts w:ascii="Cambria Math" w:hAnsi="Cambria Math" w:cs="Arial"/>
                          </w:rPr>
                          <m:t>2</m:t>
                        </m:r>
                      </m:sub>
                    </m:sSub>
                  </m:sub>
                </m:sSub>
              </m:oMath>
            </m:oMathPara>
          </w:p>
        </w:tc>
        <w:tc>
          <w:tcPr>
            <w:tcW w:w="5130" w:type="dxa"/>
          </w:tcPr>
          <w:p w14:paraId="62741346" w14:textId="31186D9E" w:rsidR="00EA7652" w:rsidRPr="00D800F0" w:rsidRDefault="00EA7652" w:rsidP="003C61D3">
            <w:pPr>
              <w:rPr>
                <w:rFonts w:ascii="Arial" w:hAnsi="Arial" w:cs="Arial"/>
              </w:rPr>
            </w:pPr>
            <w:r w:rsidRPr="00D800F0">
              <w:rPr>
                <w:rFonts w:ascii="Arial" w:hAnsi="Arial" w:cs="Arial"/>
              </w:rPr>
              <w:t>CCS CO2 Capture rate</w:t>
            </w:r>
          </w:p>
        </w:tc>
        <w:tc>
          <w:tcPr>
            <w:tcW w:w="2155" w:type="dxa"/>
          </w:tcPr>
          <w:p w14:paraId="1A145D41" w14:textId="683885AF" w:rsidR="00EA7652" w:rsidRPr="00D800F0" w:rsidRDefault="00EA7652" w:rsidP="003C61D3">
            <w:pPr>
              <w:rPr>
                <w:rFonts w:ascii="Arial" w:hAnsi="Arial" w:cs="Arial"/>
              </w:rPr>
            </w:pPr>
            <w:r w:rsidRPr="00D800F0">
              <w:rPr>
                <w:rFonts w:ascii="Arial" w:hAnsi="Arial" w:cs="Arial"/>
              </w:rPr>
              <w:t>w%/w%</w:t>
            </w:r>
          </w:p>
        </w:tc>
      </w:tr>
      <w:tr w:rsidR="00AC5071" w:rsidRPr="00D800F0" w14:paraId="2E4D23F4" w14:textId="77777777" w:rsidTr="00AB49EF">
        <w:tc>
          <w:tcPr>
            <w:tcW w:w="2065" w:type="dxa"/>
          </w:tcPr>
          <w:p w14:paraId="09B6B8CC" w14:textId="7ADCEC5C" w:rsidR="00AC5071" w:rsidRPr="00D800F0" w:rsidRDefault="00000000" w:rsidP="00454FE2">
            <w:pPr>
              <w:rPr>
                <w:rFonts w:ascii="Arial" w:hAnsi="Arial" w:cs="Arial"/>
                <w:b/>
                <w:bCs/>
              </w:rPr>
            </w:pPr>
            <m:oMathPara>
              <m:oMath>
                <m:sSubSup>
                  <m:sSubSupPr>
                    <m:ctrlPr>
                      <w:rPr>
                        <w:rFonts w:ascii="Cambria Math" w:hAnsi="Cambria Math" w:cs="Arial"/>
                        <w:b/>
                        <w:bCs/>
                        <w:i/>
                      </w:rPr>
                    </m:ctrlPr>
                  </m:sSubSupPr>
                  <m:e>
                    <m:r>
                      <m:rPr>
                        <m:sty m:val="bi"/>
                      </m:rPr>
                      <w:rPr>
                        <w:rFonts w:ascii="Cambria Math" w:hAnsi="Cambria Math" w:cs="Arial"/>
                      </w:rPr>
                      <m:t>h</m:t>
                    </m:r>
                  </m:e>
                  <m:sub>
                    <m:r>
                      <m:rPr>
                        <m:sty m:val="bi"/>
                      </m:rPr>
                      <w:rPr>
                        <w:rFonts w:ascii="Cambria Math" w:hAnsi="Cambria Math" w:cs="Arial"/>
                      </w:rPr>
                      <m:t>NG</m:t>
                    </m:r>
                  </m:sub>
                  <m:sup>
                    <m:r>
                      <m:rPr>
                        <m:sty m:val="bi"/>
                      </m:rPr>
                      <w:rPr>
                        <w:rFonts w:ascii="Cambria Math" w:hAnsi="Cambria Math" w:cs="Arial"/>
                      </w:rPr>
                      <m:t>LHV</m:t>
                    </m:r>
                  </m:sup>
                </m:sSubSup>
              </m:oMath>
            </m:oMathPara>
          </w:p>
        </w:tc>
        <w:tc>
          <w:tcPr>
            <w:tcW w:w="5130" w:type="dxa"/>
          </w:tcPr>
          <w:p w14:paraId="41DC0E4D" w14:textId="04548C9E" w:rsidR="00AC5071" w:rsidRPr="00D800F0" w:rsidRDefault="00AC5071" w:rsidP="003C61D3">
            <w:pPr>
              <w:rPr>
                <w:rFonts w:ascii="Arial" w:hAnsi="Arial" w:cs="Arial"/>
              </w:rPr>
            </w:pPr>
            <w:r w:rsidRPr="00D800F0">
              <w:rPr>
                <w:rFonts w:ascii="Arial" w:hAnsi="Arial" w:cs="Arial"/>
              </w:rPr>
              <w:t>Natural gas LHV</w:t>
            </w:r>
          </w:p>
        </w:tc>
        <w:tc>
          <w:tcPr>
            <w:tcW w:w="2155" w:type="dxa"/>
          </w:tcPr>
          <w:p w14:paraId="321D6F8C" w14:textId="3D15DEDE" w:rsidR="00AC5071" w:rsidRPr="00D800F0" w:rsidRDefault="00AC5071" w:rsidP="003C61D3">
            <w:pPr>
              <w:rPr>
                <w:rFonts w:ascii="Arial" w:hAnsi="Arial" w:cs="Arial"/>
              </w:rPr>
            </w:pPr>
            <w:r w:rsidRPr="00D800F0">
              <w:rPr>
                <w:rFonts w:ascii="Arial" w:hAnsi="Arial" w:cs="Arial"/>
              </w:rPr>
              <w:t>MJ/kg</w:t>
            </w:r>
          </w:p>
        </w:tc>
      </w:tr>
      <w:tr w:rsidR="00AB49EF" w:rsidRPr="00D800F0" w14:paraId="39001E17" w14:textId="77777777" w:rsidTr="00AB49EF">
        <w:tc>
          <w:tcPr>
            <w:tcW w:w="2065" w:type="dxa"/>
          </w:tcPr>
          <w:p w14:paraId="013F5DC2" w14:textId="548F2B13" w:rsidR="00AB49EF" w:rsidRPr="00D800F0" w:rsidRDefault="00000000" w:rsidP="00454FE2">
            <w:pPr>
              <w:rPr>
                <w:rFonts w:ascii="Arial" w:hAnsi="Arial" w:cs="Arial"/>
              </w:rPr>
            </w:pPr>
            <m:oMathPara>
              <m:oMath>
                <m:sSubSup>
                  <m:sSubSupPr>
                    <m:ctrlPr>
                      <w:rPr>
                        <w:rFonts w:ascii="Cambria Math" w:eastAsia="Cambria Math" w:hAnsi="Cambria Math" w:cs="Arial"/>
                        <w:b/>
                        <w:i/>
                      </w:rPr>
                    </m:ctrlPr>
                  </m:sSubSupPr>
                  <m:e>
                    <m:r>
                      <m:rPr>
                        <m:sty m:val="bi"/>
                      </m:rPr>
                      <w:rPr>
                        <w:rFonts w:ascii="Cambria Math" w:eastAsia="Cambria Math" w:hAnsi="Cambria Math" w:cs="Arial"/>
                      </w:rPr>
                      <m:t>M</m:t>
                    </m:r>
                  </m:e>
                  <m:sub>
                    <m:r>
                      <m:rPr>
                        <m:sty m:val="bi"/>
                      </m:rPr>
                      <w:rPr>
                        <w:rFonts w:ascii="Cambria Math" w:eastAsia="Cambria Math" w:hAnsi="Cambria Math" w:cs="Arial"/>
                      </w:rPr>
                      <m:t>biomass</m:t>
                    </m:r>
                  </m:sub>
                  <m:sup>
                    <m:r>
                      <m:rPr>
                        <m:sty m:val="bi"/>
                      </m:rPr>
                      <w:rPr>
                        <w:rFonts w:ascii="Cambria Math" w:eastAsia="Cambria Math" w:hAnsi="Cambria Math" w:cs="Arial"/>
                      </w:rPr>
                      <m:t>.</m:t>
                    </m:r>
                  </m:sup>
                </m:sSubSup>
              </m:oMath>
            </m:oMathPara>
          </w:p>
        </w:tc>
        <w:tc>
          <w:tcPr>
            <w:tcW w:w="5130" w:type="dxa"/>
          </w:tcPr>
          <w:p w14:paraId="76FC9E03" w14:textId="651DBBAE" w:rsidR="00AB49EF" w:rsidRPr="00D800F0" w:rsidRDefault="00AB49EF" w:rsidP="003C61D3">
            <w:pPr>
              <w:rPr>
                <w:rFonts w:ascii="Arial" w:hAnsi="Arial" w:cs="Arial"/>
              </w:rPr>
            </w:pPr>
            <w:r w:rsidRPr="00D800F0">
              <w:rPr>
                <w:rFonts w:ascii="Arial" w:hAnsi="Arial" w:cs="Arial"/>
              </w:rPr>
              <w:t>Mass flowrate of biomass</w:t>
            </w:r>
          </w:p>
        </w:tc>
        <w:tc>
          <w:tcPr>
            <w:tcW w:w="2155" w:type="dxa"/>
          </w:tcPr>
          <w:p w14:paraId="5446BE51" w14:textId="1312CA3D" w:rsidR="00AB49EF" w:rsidRPr="00D800F0" w:rsidRDefault="00AB49EF" w:rsidP="003C61D3">
            <w:pPr>
              <w:rPr>
                <w:rFonts w:ascii="Arial" w:hAnsi="Arial" w:cs="Arial"/>
              </w:rPr>
            </w:pPr>
            <w:r w:rsidRPr="00D800F0">
              <w:rPr>
                <w:rFonts w:ascii="Arial" w:hAnsi="Arial" w:cs="Arial"/>
              </w:rPr>
              <w:t>TPD</w:t>
            </w:r>
          </w:p>
        </w:tc>
      </w:tr>
      <w:tr w:rsidR="00AB49EF" w:rsidRPr="00D800F0" w14:paraId="502CC9AA" w14:textId="77777777" w:rsidTr="00AB49EF">
        <w:tc>
          <w:tcPr>
            <w:tcW w:w="2065" w:type="dxa"/>
          </w:tcPr>
          <w:p w14:paraId="3AA21374" w14:textId="0855D208" w:rsidR="00AB49EF" w:rsidRPr="00D800F0" w:rsidRDefault="00000000" w:rsidP="00454FE2">
            <w:pPr>
              <w:rPr>
                <w:rFonts w:ascii="Arial" w:hAnsi="Arial" w:cs="Arial"/>
                <w:b/>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Y</m:t>
                    </m:r>
                  </m:e>
                  <m:sub>
                    <m:r>
                      <m:rPr>
                        <m:sty m:val="bi"/>
                      </m:rPr>
                      <w:rPr>
                        <w:rFonts w:ascii="Cambria Math" w:eastAsia="Cambria Math" w:hAnsi="Cambria Math" w:cs="Arial"/>
                      </w:rPr>
                      <m:t>biomass</m:t>
                    </m:r>
                  </m:sub>
                </m:sSub>
              </m:oMath>
            </m:oMathPara>
          </w:p>
        </w:tc>
        <w:tc>
          <w:tcPr>
            <w:tcW w:w="5130" w:type="dxa"/>
          </w:tcPr>
          <w:p w14:paraId="76D11BA2" w14:textId="35D325C2" w:rsidR="00AB49EF" w:rsidRPr="00D800F0" w:rsidRDefault="00AB49EF" w:rsidP="003C61D3">
            <w:pPr>
              <w:rPr>
                <w:rFonts w:ascii="Arial" w:hAnsi="Arial" w:cs="Arial"/>
              </w:rPr>
            </w:pPr>
            <w:r w:rsidRPr="00D800F0">
              <w:rPr>
                <w:rFonts w:ascii="Arial" w:hAnsi="Arial" w:cs="Arial"/>
              </w:rPr>
              <w:t>Kg of hydrogen per tonne of biomass</w:t>
            </w:r>
          </w:p>
        </w:tc>
        <w:tc>
          <w:tcPr>
            <w:tcW w:w="2155" w:type="dxa"/>
          </w:tcPr>
          <w:p w14:paraId="4F1E1587" w14:textId="67997191" w:rsidR="00AB49EF" w:rsidRPr="00D800F0" w:rsidRDefault="00AB49EF" w:rsidP="003C61D3">
            <w:pPr>
              <w:rPr>
                <w:rFonts w:ascii="Arial" w:hAnsi="Arial" w:cs="Arial"/>
              </w:rPr>
            </w:pPr>
            <w:r w:rsidRPr="00D800F0">
              <w:rPr>
                <w:rFonts w:ascii="Arial" w:hAnsi="Arial" w:cs="Arial"/>
              </w:rPr>
              <w:t>Kg H2/tonne biomass</w:t>
            </w:r>
          </w:p>
        </w:tc>
      </w:tr>
      <w:tr w:rsidR="00AB49EF" w:rsidRPr="00D800F0" w14:paraId="4C81E3FA" w14:textId="77777777" w:rsidTr="009967A4">
        <w:tc>
          <w:tcPr>
            <w:tcW w:w="2065" w:type="dxa"/>
            <w:tcBorders>
              <w:bottom w:val="single" w:sz="4" w:space="0" w:color="auto"/>
            </w:tcBorders>
          </w:tcPr>
          <w:p w14:paraId="7C994B52" w14:textId="2E13D29A" w:rsidR="00AB49EF" w:rsidRPr="00D800F0" w:rsidRDefault="00000000" w:rsidP="00454FE2">
            <w:pPr>
              <w:rPr>
                <w:rFonts w:ascii="Arial" w:hAnsi="Arial" w:cs="Arial"/>
                <w:b/>
                <w:bCs/>
              </w:rPr>
            </w:pPr>
            <m:oMathPara>
              <m:oMath>
                <m:sSubSup>
                  <m:sSubSupPr>
                    <m:ctrlPr>
                      <w:rPr>
                        <w:rFonts w:ascii="Cambria Math" w:hAnsi="Cambria Math" w:cs="Arial"/>
                        <w:b/>
                        <w:bCs/>
                        <w:i/>
                      </w:rPr>
                    </m:ctrlPr>
                  </m:sSubSupPr>
                  <m:e>
                    <m:r>
                      <m:rPr>
                        <m:sty m:val="bi"/>
                      </m:rPr>
                      <w:rPr>
                        <w:rFonts w:ascii="Cambria Math" w:hAnsi="Cambria Math" w:cs="Arial"/>
                      </w:rPr>
                      <m:t>M</m:t>
                    </m:r>
                  </m:e>
                  <m:sub>
                    <m:r>
                      <m:rPr>
                        <m:sty m:val="bi"/>
                      </m:rPr>
                      <w:rPr>
                        <w:rFonts w:ascii="Cambria Math" w:hAnsi="Cambria Math" w:cs="Arial"/>
                      </w:rPr>
                      <m:t>N</m:t>
                    </m:r>
                    <m:sSub>
                      <m:sSubPr>
                        <m:ctrlPr>
                          <w:rPr>
                            <w:rFonts w:ascii="Cambria Math" w:hAnsi="Cambria Math" w:cs="Arial"/>
                            <w:b/>
                            <w:bCs/>
                            <w:i/>
                          </w:rPr>
                        </m:ctrlPr>
                      </m:sSubPr>
                      <m:e>
                        <m:r>
                          <m:rPr>
                            <m:sty m:val="bi"/>
                          </m:rPr>
                          <w:rPr>
                            <w:rFonts w:ascii="Cambria Math" w:hAnsi="Cambria Math" w:cs="Arial"/>
                          </w:rPr>
                          <m:t>G</m:t>
                        </m:r>
                      </m:e>
                      <m:sub>
                        <m:r>
                          <m:rPr>
                            <m:sty m:val="bi"/>
                          </m:rPr>
                          <w:rPr>
                            <w:rFonts w:ascii="Cambria Math" w:hAnsi="Cambria Math" w:cs="Arial"/>
                          </w:rPr>
                          <m:t>j</m:t>
                        </m:r>
                      </m:sub>
                    </m:sSub>
                  </m:sub>
                  <m:sup>
                    <m:r>
                      <m:rPr>
                        <m:sty m:val="bi"/>
                      </m:rPr>
                      <w:rPr>
                        <w:rFonts w:ascii="Cambria Math" w:hAnsi="Cambria Math" w:cs="Arial"/>
                      </w:rPr>
                      <m:t>.</m:t>
                    </m:r>
                  </m:sup>
                </m:sSubSup>
              </m:oMath>
            </m:oMathPara>
          </w:p>
        </w:tc>
        <w:tc>
          <w:tcPr>
            <w:tcW w:w="5130" w:type="dxa"/>
            <w:tcBorders>
              <w:bottom w:val="single" w:sz="4" w:space="0" w:color="auto"/>
            </w:tcBorders>
          </w:tcPr>
          <w:p w14:paraId="1FEB7750" w14:textId="30D8573A" w:rsidR="00AB49EF" w:rsidRPr="00D800F0" w:rsidRDefault="00AB49EF" w:rsidP="003C61D3">
            <w:pPr>
              <w:rPr>
                <w:rFonts w:ascii="Arial" w:hAnsi="Arial" w:cs="Arial"/>
              </w:rPr>
            </w:pPr>
            <w:r w:rsidRPr="00D800F0">
              <w:rPr>
                <w:rFonts w:ascii="Arial" w:hAnsi="Arial" w:cs="Arial"/>
              </w:rPr>
              <w:t xml:space="preserve">Energy flowrate of natural gas for technology </w:t>
            </w:r>
            <m:oMath>
              <m:r>
                <m:rPr>
                  <m:sty m:val="bi"/>
                </m:rPr>
                <w:rPr>
                  <w:rFonts w:ascii="Cambria Math" w:hAnsi="Cambria Math" w:cs="Arial"/>
                </w:rPr>
                <m:t>j</m:t>
              </m:r>
              <m:r>
                <w:rPr>
                  <w:rFonts w:ascii="Cambria Math" w:hAnsi="Cambria Math" w:cs="Arial"/>
                </w:rPr>
                <m:t xml:space="preserve"> </m:t>
              </m:r>
            </m:oMath>
          </w:p>
        </w:tc>
        <w:tc>
          <w:tcPr>
            <w:tcW w:w="2155" w:type="dxa"/>
            <w:tcBorders>
              <w:bottom w:val="single" w:sz="4" w:space="0" w:color="auto"/>
            </w:tcBorders>
          </w:tcPr>
          <w:p w14:paraId="274CE88B" w14:textId="1265EFCB" w:rsidR="00AB49EF" w:rsidRPr="00D800F0" w:rsidRDefault="00AB49EF" w:rsidP="003C61D3">
            <w:pPr>
              <w:rPr>
                <w:rFonts w:ascii="Arial" w:hAnsi="Arial" w:cs="Arial"/>
              </w:rPr>
            </w:pPr>
            <w:r w:rsidRPr="00D800F0">
              <w:rPr>
                <w:rFonts w:ascii="Arial" w:hAnsi="Arial" w:cs="Arial"/>
              </w:rPr>
              <w:t>MMbtu/year</w:t>
            </w:r>
          </w:p>
        </w:tc>
      </w:tr>
    </w:tbl>
    <w:p w14:paraId="2321EFF3" w14:textId="77777777" w:rsidR="00EA7652" w:rsidRPr="00D800F0" w:rsidRDefault="00EA7652" w:rsidP="003C61D3">
      <w:pPr>
        <w:rPr>
          <w:rFonts w:ascii="Arial" w:hAnsi="Arial" w:cs="Arial"/>
        </w:rPr>
      </w:pPr>
    </w:p>
    <w:p w14:paraId="0000000C" w14:textId="77777777" w:rsidR="00DA5071" w:rsidRPr="00D800F0" w:rsidRDefault="00000000">
      <w:pPr>
        <w:pStyle w:val="Heading3"/>
        <w:rPr>
          <w:rFonts w:ascii="Arial" w:hAnsi="Arial" w:cs="Arial"/>
        </w:rPr>
      </w:pPr>
      <w:bookmarkStart w:id="6" w:name="_Toc148296614"/>
      <w:r w:rsidRPr="00D800F0">
        <w:rPr>
          <w:rFonts w:ascii="Arial" w:hAnsi="Arial" w:cs="Arial"/>
        </w:rPr>
        <w:t>AP SMR and AP CCS</w:t>
      </w:r>
      <w:bookmarkEnd w:id="6"/>
    </w:p>
    <w:p w14:paraId="1582608F" w14:textId="1BFD6C2D" w:rsidR="008C4DC1" w:rsidRPr="00D800F0" w:rsidRDefault="00671D55" w:rsidP="00A24EB3">
      <w:pPr>
        <w:pStyle w:val="Caption"/>
        <w:rPr>
          <w:rFonts w:ascii="Arial" w:hAnsi="Arial" w:cs="Arial"/>
        </w:rPr>
      </w:pPr>
      <w:r w:rsidRPr="00D800F0">
        <w:rPr>
          <w:rFonts w:ascii="Arial" w:hAnsi="Arial" w:cs="Arial"/>
        </w:rPr>
        <w:t xml:space="preserve">The hydrogen production details were based on NETL's </w:t>
      </w:r>
      <w:r w:rsidR="00D2726E" w:rsidRPr="00D800F0">
        <w:rPr>
          <w:rFonts w:ascii="Arial" w:hAnsi="Arial" w:cs="Arial"/>
        </w:rPr>
        <w:t xml:space="preserve">economic analysis reports, particularly </w:t>
      </w:r>
      <w:r w:rsidRPr="00D800F0">
        <w:rPr>
          <w:rFonts w:ascii="Arial" w:hAnsi="Arial" w:cs="Arial"/>
        </w:rPr>
        <w:t>Case 1</w:t>
      </w:r>
      <w:r w:rsidR="00C33E8C" w:rsidRPr="00D800F0">
        <w:rPr>
          <w:rFonts w:ascii="Arial" w:hAnsi="Arial" w:cs="Arial"/>
        </w:rPr>
        <w:t>,</w:t>
      </w:r>
      <w:r w:rsidRPr="00D800F0">
        <w:rPr>
          <w:rFonts w:ascii="Arial" w:hAnsi="Arial" w:cs="Arial"/>
        </w:rPr>
        <w:t xml:space="preserve"> involving a conventional SMR option</w:t>
      </w:r>
      <w:r w:rsidR="00C33E8C" w:rsidRPr="00D800F0">
        <w:rPr>
          <w:rFonts w:ascii="Arial" w:hAnsi="Arial" w:cs="Arial"/>
        </w:rPr>
        <w:t>,</w:t>
      </w:r>
      <w:r w:rsidRPr="00D800F0">
        <w:rPr>
          <w:rFonts w:ascii="Arial" w:hAnsi="Arial" w:cs="Arial"/>
        </w:rPr>
        <w:t xml:space="preserve"> and Case 2</w:t>
      </w:r>
      <w:r w:rsidR="00C33E8C" w:rsidRPr="00D800F0">
        <w:rPr>
          <w:rFonts w:ascii="Arial" w:hAnsi="Arial" w:cs="Arial"/>
        </w:rPr>
        <w:t>,</w:t>
      </w:r>
      <w:r w:rsidRPr="00D800F0">
        <w:rPr>
          <w:rFonts w:ascii="Arial" w:hAnsi="Arial" w:cs="Arial"/>
        </w:rPr>
        <w:t xml:space="preserve"> associated with conventional SMR with an integrated CCS system (Lewis et al., 2022). For large-scale production of N2, cryogenic distillation is preferred. The process for the ASU was also obtained from (Young et al., 2021). Finally, the ammonia synthesis loop came from NETL's report by Bransington et al., </w:t>
      </w:r>
      <w:r w:rsidR="00D2726E" w:rsidRPr="00D800F0">
        <w:rPr>
          <w:rFonts w:ascii="Arial" w:hAnsi="Arial" w:cs="Arial"/>
        </w:rPr>
        <w:t>particularly</w:t>
      </w:r>
      <w:r w:rsidRPr="00D800F0">
        <w:rPr>
          <w:rFonts w:ascii="Arial" w:hAnsi="Arial" w:cs="Arial"/>
        </w:rPr>
        <w:t xml:space="preserve"> Case 4, stream 38 (Brasington et al., 2011).</w:t>
      </w:r>
      <w:r w:rsidR="00D402D9" w:rsidRPr="00D800F0">
        <w:rPr>
          <w:rFonts w:ascii="Arial" w:hAnsi="Arial" w:cs="Arial"/>
        </w:rPr>
        <w:fldChar w:fldCharType="begin"/>
      </w:r>
      <w:r w:rsidR="00D402D9" w:rsidRPr="00D800F0">
        <w:rPr>
          <w:rFonts w:ascii="Arial" w:hAnsi="Arial" w:cs="Arial"/>
        </w:rPr>
        <w:instrText xml:space="preserve"> REF _Ref146714213 \h </w:instrText>
      </w:r>
      <w:r w:rsidR="00D800F0">
        <w:rPr>
          <w:rFonts w:ascii="Arial" w:hAnsi="Arial" w:cs="Arial"/>
        </w:rPr>
        <w:instrText xml:space="preserve"> \* MERGEFORMAT </w:instrText>
      </w:r>
      <w:r w:rsidR="00D402D9" w:rsidRPr="00D800F0">
        <w:rPr>
          <w:rFonts w:ascii="Arial" w:hAnsi="Arial" w:cs="Arial"/>
        </w:rPr>
      </w:r>
      <w:r w:rsidR="00D402D9" w:rsidRPr="00D800F0">
        <w:rPr>
          <w:rFonts w:ascii="Arial" w:hAnsi="Arial" w:cs="Arial"/>
        </w:rPr>
        <w:fldChar w:fldCharType="separate"/>
      </w:r>
    </w:p>
    <w:p w14:paraId="0000000E" w14:textId="642BBB62" w:rsidR="00DA5071" w:rsidRPr="00D800F0" w:rsidRDefault="008C4DC1" w:rsidP="008C4DC1">
      <w:pPr>
        <w:pStyle w:val="Caption"/>
        <w:rPr>
          <w:rFonts w:ascii="Arial" w:hAnsi="Arial" w:cs="Arial"/>
        </w:rPr>
      </w:pPr>
      <w:r w:rsidRPr="00D800F0">
        <w:rPr>
          <w:rFonts w:ascii="Arial" w:hAnsi="Arial" w:cs="Arial"/>
        </w:rPr>
        <w:t xml:space="preserve">Table </w:t>
      </w:r>
      <w:r w:rsidRPr="00D800F0">
        <w:rPr>
          <w:rFonts w:ascii="Arial" w:hAnsi="Arial" w:cs="Arial"/>
          <w:noProof/>
        </w:rPr>
        <w:t>A</w:t>
      </w:r>
      <w:r w:rsidRPr="00D800F0">
        <w:rPr>
          <w:rFonts w:ascii="Arial" w:hAnsi="Arial" w:cs="Arial"/>
        </w:rPr>
        <w:noBreakHyphen/>
      </w:r>
      <w:r w:rsidRPr="00D800F0">
        <w:rPr>
          <w:rFonts w:ascii="Arial" w:hAnsi="Arial" w:cs="Arial"/>
          <w:noProof/>
        </w:rPr>
        <w:t>2</w:t>
      </w:r>
      <w:r w:rsidR="00D402D9" w:rsidRPr="00D800F0">
        <w:rPr>
          <w:rFonts w:ascii="Arial" w:hAnsi="Arial" w:cs="Arial"/>
        </w:rPr>
        <w:fldChar w:fldCharType="end"/>
      </w:r>
      <w:r w:rsidR="00D402D9" w:rsidRPr="00D800F0">
        <w:rPr>
          <w:rFonts w:ascii="Arial" w:hAnsi="Arial" w:cs="Arial"/>
        </w:rPr>
        <w:t xml:space="preserve"> </w:t>
      </w:r>
      <w:r w:rsidRPr="00D800F0">
        <w:rPr>
          <w:rFonts w:ascii="Arial" w:hAnsi="Arial" w:cs="Arial"/>
        </w:rPr>
        <w:t>contains</w:t>
      </w:r>
      <w:r w:rsidR="00671D55" w:rsidRPr="00D800F0">
        <w:rPr>
          <w:rFonts w:ascii="Arial" w:hAnsi="Arial" w:cs="Arial"/>
        </w:rPr>
        <w:t xml:space="preserve"> all relevant inlet and outlet streams of the three LAC production blocks necessary for </w:t>
      </w:r>
      <w:r w:rsidR="00D2726E" w:rsidRPr="00D800F0">
        <w:rPr>
          <w:rFonts w:ascii="Arial" w:hAnsi="Arial" w:cs="Arial"/>
        </w:rPr>
        <w:t>the design</w:t>
      </w:r>
      <w:r w:rsidR="00671D55" w:rsidRPr="00D800F0">
        <w:rPr>
          <w:rFonts w:ascii="Arial" w:hAnsi="Arial" w:cs="Arial"/>
        </w:rPr>
        <w:t xml:space="preserve"> of the multi-stage compression. The resulting scale is 2717 TPD of NH3, assuming a nitrogen conversion of 99.9% through HB (Brasington et al., 2011). The ASU study scale was increased by 6.15% (2100 TPD to 2237 TPD) to match hydrogen production in a 3:1 H2/N2 (H2 flowrate i</w:t>
      </w:r>
      <w:r w:rsidRPr="00D800F0">
        <w:rPr>
          <w:rFonts w:ascii="Arial" w:hAnsi="Arial" w:cs="Arial"/>
        </w:rPr>
        <w:t xml:space="preserve">n </w:t>
      </w:r>
      <w:r w:rsidRPr="00D800F0">
        <w:rPr>
          <w:rFonts w:ascii="Arial" w:hAnsi="Arial" w:cs="Arial"/>
        </w:rPr>
        <w:fldChar w:fldCharType="begin"/>
      </w:r>
      <w:r w:rsidRPr="00D800F0">
        <w:rPr>
          <w:rFonts w:ascii="Arial" w:hAnsi="Arial" w:cs="Arial"/>
        </w:rPr>
        <w:instrText xml:space="preserve"> REF _Ref148178082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Table </w:t>
      </w:r>
      <w:r w:rsidRPr="00D800F0">
        <w:rPr>
          <w:rFonts w:ascii="Arial" w:hAnsi="Arial" w:cs="Arial"/>
          <w:noProof/>
        </w:rPr>
        <w:t>A</w:t>
      </w:r>
      <w:r w:rsidRPr="00D800F0">
        <w:rPr>
          <w:rFonts w:ascii="Arial" w:hAnsi="Arial" w:cs="Arial"/>
        </w:rPr>
        <w:noBreakHyphen/>
      </w:r>
      <w:r w:rsidRPr="00D800F0">
        <w:rPr>
          <w:rFonts w:ascii="Arial" w:hAnsi="Arial" w:cs="Arial"/>
          <w:noProof/>
        </w:rPr>
        <w:t>2</w:t>
      </w:r>
      <w:r w:rsidRPr="00D800F0">
        <w:rPr>
          <w:rFonts w:ascii="Arial" w:hAnsi="Arial" w:cs="Arial"/>
        </w:rPr>
        <w:fldChar w:fldCharType="end"/>
      </w:r>
      <w:r w:rsidR="003449BF" w:rsidRPr="00D800F0">
        <w:rPr>
          <w:rFonts w:ascii="Arial" w:hAnsi="Arial" w:cs="Arial"/>
        </w:rPr>
        <w:t>)</w:t>
      </w:r>
      <w:r w:rsidRPr="00D800F0">
        <w:rPr>
          <w:rFonts w:ascii="Arial" w:hAnsi="Arial" w:cs="Arial"/>
        </w:rPr>
        <w:t xml:space="preserve"> molar ratio (Lewis et al., 2022; Young et al., 2021).</w:t>
      </w:r>
      <w:r w:rsidRPr="00D800F0">
        <w:rPr>
          <w:rFonts w:ascii="Arial" w:hAnsi="Arial" w:cs="Arial"/>
        </w:rPr>
        <w:tab/>
      </w:r>
    </w:p>
    <w:p w14:paraId="0000000F" w14:textId="7CC091EA" w:rsidR="00DA5071" w:rsidRPr="00D800F0" w:rsidRDefault="00000000">
      <w:pPr>
        <w:rPr>
          <w:rFonts w:ascii="Arial" w:hAnsi="Arial" w:cs="Arial"/>
        </w:rPr>
      </w:pPr>
      <w:r w:rsidRPr="00D800F0">
        <w:rPr>
          <w:rFonts w:ascii="Arial" w:hAnsi="Arial" w:cs="Arial"/>
        </w:rPr>
        <w:tab/>
        <w:t xml:space="preserve">The PFD, mass, and energy information of the multi-stage compression and cooling used to integrate the SMR-WGS hydrogen and the ASU nitrogen into the Haber-Bosch loop and electricity generation from surplus steam can be found in </w:t>
      </w:r>
      <w:r w:rsidR="00D402D9" w:rsidRPr="00D800F0">
        <w:rPr>
          <w:rFonts w:ascii="Arial" w:hAnsi="Arial" w:cs="Arial"/>
        </w:rPr>
        <w:fldChar w:fldCharType="begin"/>
      </w:r>
      <w:r w:rsidR="00D402D9" w:rsidRPr="00D800F0">
        <w:rPr>
          <w:rFonts w:ascii="Arial" w:hAnsi="Arial" w:cs="Arial"/>
        </w:rPr>
        <w:instrText xml:space="preserve"> REF _Ref146714261 \h  \* MERGEFORMAT </w:instrText>
      </w:r>
      <w:r w:rsidR="00D402D9" w:rsidRPr="00D800F0">
        <w:rPr>
          <w:rFonts w:ascii="Arial" w:hAnsi="Arial" w:cs="Arial"/>
        </w:rPr>
      </w:r>
      <w:r w:rsidR="00D402D9" w:rsidRPr="00D800F0">
        <w:rPr>
          <w:rFonts w:ascii="Arial" w:hAnsi="Arial" w:cs="Arial"/>
        </w:rPr>
        <w:fldChar w:fldCharType="separate"/>
      </w:r>
      <w:r w:rsidR="00802EAA" w:rsidRPr="00D800F0">
        <w:rPr>
          <w:rFonts w:ascii="Arial" w:hAnsi="Arial" w:cs="Arial"/>
        </w:rPr>
        <w:t xml:space="preserve">Figure </w:t>
      </w:r>
      <w:r w:rsidR="00802EAA" w:rsidRPr="00D800F0">
        <w:rPr>
          <w:rFonts w:ascii="Arial" w:hAnsi="Arial" w:cs="Arial"/>
          <w:noProof/>
        </w:rPr>
        <w:t>A</w:t>
      </w:r>
      <w:r w:rsidR="00802EAA" w:rsidRPr="00D800F0">
        <w:rPr>
          <w:rFonts w:ascii="Arial" w:hAnsi="Arial" w:cs="Arial"/>
          <w:noProof/>
        </w:rPr>
        <w:noBreakHyphen/>
        <w:t>2</w:t>
      </w:r>
      <w:r w:rsidR="00D402D9" w:rsidRPr="00D800F0">
        <w:rPr>
          <w:rFonts w:ascii="Arial" w:hAnsi="Arial" w:cs="Arial"/>
        </w:rPr>
        <w:fldChar w:fldCharType="end"/>
      </w:r>
      <w:r w:rsidR="00D402D9" w:rsidRPr="00D800F0">
        <w:rPr>
          <w:rFonts w:ascii="Arial" w:hAnsi="Arial" w:cs="Arial"/>
        </w:rPr>
        <w:t xml:space="preserve"> </w:t>
      </w:r>
      <w:r w:rsidRPr="00D800F0">
        <w:rPr>
          <w:rFonts w:ascii="Arial" w:hAnsi="Arial" w:cs="Arial"/>
        </w:rPr>
        <w:t xml:space="preserve">and </w:t>
      </w:r>
      <w:r w:rsidR="00D402D9" w:rsidRPr="00D800F0">
        <w:rPr>
          <w:rFonts w:ascii="Arial" w:hAnsi="Arial" w:cs="Arial"/>
          <w:highlight w:val="yellow"/>
        </w:rPr>
        <w:fldChar w:fldCharType="begin"/>
      </w:r>
      <w:r w:rsidR="00D402D9" w:rsidRPr="00D800F0">
        <w:rPr>
          <w:rFonts w:ascii="Arial" w:hAnsi="Arial" w:cs="Arial"/>
          <w:highlight w:val="yellow"/>
        </w:rPr>
        <w:instrText xml:space="preserve"> REF _Ref146714279 \h </w:instrText>
      </w:r>
      <w:r w:rsidR="00D800F0">
        <w:rPr>
          <w:rFonts w:ascii="Arial" w:hAnsi="Arial" w:cs="Arial"/>
          <w:highlight w:val="yellow"/>
        </w:rPr>
        <w:instrText xml:space="preserve"> \* MERGEFORMAT </w:instrText>
      </w:r>
      <w:r w:rsidR="00D402D9" w:rsidRPr="00D800F0">
        <w:rPr>
          <w:rFonts w:ascii="Arial" w:hAnsi="Arial" w:cs="Arial"/>
          <w:highlight w:val="yellow"/>
        </w:rPr>
      </w:r>
      <w:r w:rsidR="00D402D9" w:rsidRPr="00D800F0">
        <w:rPr>
          <w:rFonts w:ascii="Arial" w:hAnsi="Arial" w:cs="Arial"/>
          <w:highlight w:val="yellow"/>
        </w:rPr>
        <w:fldChar w:fldCharType="separate"/>
      </w:r>
      <w:r w:rsidR="00802EAA" w:rsidRPr="00D800F0">
        <w:rPr>
          <w:rFonts w:ascii="Arial" w:hAnsi="Arial" w:cs="Arial"/>
        </w:rPr>
        <w:t xml:space="preserve">Table </w:t>
      </w:r>
      <w:r w:rsidR="00802EAA" w:rsidRPr="00D800F0">
        <w:rPr>
          <w:rFonts w:ascii="Arial" w:hAnsi="Arial" w:cs="Arial"/>
          <w:noProof/>
        </w:rPr>
        <w:t>A</w:t>
      </w:r>
      <w:r w:rsidR="00802EAA" w:rsidRPr="00D800F0">
        <w:rPr>
          <w:rFonts w:ascii="Arial" w:hAnsi="Arial" w:cs="Arial"/>
        </w:rPr>
        <w:noBreakHyphen/>
      </w:r>
      <w:r w:rsidR="00802EAA" w:rsidRPr="00D800F0">
        <w:rPr>
          <w:rFonts w:ascii="Arial" w:hAnsi="Arial" w:cs="Arial"/>
          <w:noProof/>
        </w:rPr>
        <w:t>4</w:t>
      </w:r>
      <w:r w:rsidR="00D402D9" w:rsidRPr="00D800F0">
        <w:rPr>
          <w:rFonts w:ascii="Arial" w:hAnsi="Arial" w:cs="Arial"/>
          <w:highlight w:val="yellow"/>
        </w:rPr>
        <w:fldChar w:fldCharType="end"/>
      </w:r>
      <w:r w:rsidRPr="00D800F0">
        <w:rPr>
          <w:rFonts w:ascii="Arial" w:hAnsi="Arial" w:cs="Arial"/>
        </w:rPr>
        <w:t>. All compressors are modeled as isentropic. The steam turbine was assumed to have an isentropic efficiency of 72% and the make-up compressors 85%</w:t>
      </w:r>
      <w:r w:rsidR="00C33E8C" w:rsidRPr="00D800F0">
        <w:rPr>
          <w:rFonts w:ascii="Arial" w:hAnsi="Arial" w:cs="Arial"/>
        </w:rPr>
        <w:t>,</w:t>
      </w:r>
      <w:r w:rsidRPr="00D800F0">
        <w:rPr>
          <w:rFonts w:ascii="Arial" w:hAnsi="Arial" w:cs="Arial"/>
        </w:rPr>
        <w:t xml:space="preserve"> while the resulting work was more than 50MW. The latter is an overestimate compared to EIAGHG’s report on SMR AP</w:t>
      </w:r>
      <w:r w:rsidR="00C33E8C" w:rsidRPr="00D800F0">
        <w:rPr>
          <w:rFonts w:ascii="Arial" w:hAnsi="Arial" w:cs="Arial"/>
        </w:rPr>
        <w:t>; hence</w:t>
      </w:r>
      <w:r w:rsidRPr="00D800F0">
        <w:rPr>
          <w:rFonts w:ascii="Arial" w:hAnsi="Arial" w:cs="Arial"/>
        </w:rPr>
        <w:t>, we assume a generation of 25MW, which closely resembles the results in the EIAGHG report (EIAGHG, 2017).</w:t>
      </w:r>
    </w:p>
    <w:p w14:paraId="00000010" w14:textId="6E750B8A" w:rsidR="00DA5071" w:rsidRPr="00D800F0" w:rsidRDefault="00000000">
      <w:pPr>
        <w:rPr>
          <w:rFonts w:ascii="Arial" w:hAnsi="Arial" w:cs="Arial"/>
        </w:rPr>
      </w:pPr>
      <w:r w:rsidRPr="00D800F0">
        <w:rPr>
          <w:rFonts w:ascii="Arial" w:hAnsi="Arial" w:cs="Arial"/>
        </w:rPr>
        <w:tab/>
        <w:t xml:space="preserve">AP CCS and AP AEC will not include the CAPEX of the steam turbine as surplus steam is not generated. AP SMR and AP BH2S will include the steam turbine. </w:t>
      </w:r>
      <w:r w:rsidR="00A24EB3" w:rsidRPr="00D800F0">
        <w:rPr>
          <w:rFonts w:ascii="Arial" w:hAnsi="Arial" w:cs="Arial"/>
        </w:rPr>
        <w:t xml:space="preserve">See the attached Excel file with the equipment list called </w:t>
      </w:r>
      <w:r w:rsidR="00E54676" w:rsidRPr="00D800F0">
        <w:rPr>
          <w:rFonts w:ascii="Arial" w:hAnsi="Arial" w:cs="Arial"/>
          <w:b/>
          <w:bCs/>
          <w:i/>
          <w:iCs/>
        </w:rPr>
        <w:t>AP_NE_Equipment_List.xlsx</w:t>
      </w:r>
      <w:r w:rsidR="00A24EB3" w:rsidRPr="00D800F0">
        <w:rPr>
          <w:rFonts w:ascii="Arial" w:hAnsi="Arial" w:cs="Arial"/>
        </w:rPr>
        <w:t>.</w:t>
      </w:r>
    </w:p>
    <w:p w14:paraId="1BFC413C" w14:textId="77777777" w:rsidR="00A24EB3" w:rsidRPr="00D800F0" w:rsidRDefault="003C61D3" w:rsidP="00A24EB3">
      <w:pPr>
        <w:keepNext/>
        <w:rPr>
          <w:rFonts w:ascii="Arial" w:hAnsi="Arial" w:cs="Arial"/>
        </w:rPr>
      </w:pPr>
      <w:r w:rsidRPr="00D800F0">
        <w:rPr>
          <w:rFonts w:ascii="Arial" w:hAnsi="Arial" w:cs="Arial"/>
          <w:noProof/>
        </w:rPr>
        <w:lastRenderedPageBreak/>
        <w:drawing>
          <wp:inline distT="0" distB="0" distL="0" distR="0" wp14:anchorId="34E06C23" wp14:editId="20A15049">
            <wp:extent cx="5943600" cy="2521585"/>
            <wp:effectExtent l="0" t="0" r="0" b="0"/>
            <wp:docPr id="1383207312" name="image2.png" descr="A diagram of a mach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diagram of a machine&#10;&#10;Description automatically generated"/>
                    <pic:cNvPicPr preferRelativeResize="0"/>
                  </pic:nvPicPr>
                  <pic:blipFill>
                    <a:blip r:embed="rId11"/>
                    <a:srcRect/>
                    <a:stretch>
                      <a:fillRect/>
                    </a:stretch>
                  </pic:blipFill>
                  <pic:spPr>
                    <a:xfrm>
                      <a:off x="0" y="0"/>
                      <a:ext cx="5943600" cy="2521585"/>
                    </a:xfrm>
                    <a:prstGeom prst="rect">
                      <a:avLst/>
                    </a:prstGeom>
                    <a:ln/>
                  </pic:spPr>
                </pic:pic>
              </a:graphicData>
            </a:graphic>
          </wp:inline>
        </w:drawing>
      </w:r>
    </w:p>
    <w:p w14:paraId="19974C03" w14:textId="77777777" w:rsidR="0057408A" w:rsidRPr="00D800F0" w:rsidRDefault="00A24EB3" w:rsidP="00A24EB3">
      <w:pPr>
        <w:pStyle w:val="Caption"/>
        <w:rPr>
          <w:rFonts w:ascii="Arial" w:hAnsi="Arial" w:cs="Arial"/>
        </w:rPr>
      </w:pPr>
      <w:bookmarkStart w:id="7" w:name="_Ref146714261"/>
      <w:bookmarkStart w:id="8" w:name="_Ref146714245"/>
      <w:r w:rsidRPr="00D800F0">
        <w:rPr>
          <w:rFonts w:ascii="Arial" w:hAnsi="Arial" w:cs="Arial"/>
        </w:rPr>
        <w:t xml:space="preserve">Figure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00802EAA" w:rsidRPr="00D800F0">
        <w:rPr>
          <w:rFonts w:ascii="Arial" w:hAnsi="Arial" w:cs="Arial"/>
          <w:noProof/>
        </w:rPr>
        <w:t>A</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Figure \* ARABIC \s 2 </w:instrText>
      </w:r>
      <w:r w:rsidRPr="00D800F0">
        <w:rPr>
          <w:rFonts w:ascii="Arial" w:hAnsi="Arial" w:cs="Arial"/>
        </w:rPr>
        <w:fldChar w:fldCharType="separate"/>
      </w:r>
      <w:r w:rsidR="00802EAA" w:rsidRPr="00D800F0">
        <w:rPr>
          <w:rFonts w:ascii="Arial" w:hAnsi="Arial" w:cs="Arial"/>
          <w:noProof/>
        </w:rPr>
        <w:t>2</w:t>
      </w:r>
      <w:r w:rsidRPr="00D800F0">
        <w:rPr>
          <w:rFonts w:ascii="Arial" w:hAnsi="Arial" w:cs="Arial"/>
          <w:noProof/>
        </w:rPr>
        <w:fldChar w:fldCharType="end"/>
      </w:r>
      <w:bookmarkEnd w:id="7"/>
      <w:r w:rsidRPr="00D800F0">
        <w:rPr>
          <w:rFonts w:ascii="Arial" w:hAnsi="Arial" w:cs="Arial"/>
        </w:rPr>
        <w:t>: Compression system for AP CCS, AP BH2S, and AP SMR. AP CCS does not generate electricity.</w:t>
      </w:r>
      <w:bookmarkStart w:id="9" w:name="_Ref146714213"/>
      <w:bookmarkStart w:id="10" w:name="_Ref146714199"/>
      <w:bookmarkEnd w:id="8"/>
    </w:p>
    <w:p w14:paraId="2B5163B6" w14:textId="47CABF39" w:rsidR="00A24EB3" w:rsidRPr="00D800F0" w:rsidRDefault="00A24EB3" w:rsidP="00A24EB3">
      <w:pPr>
        <w:pStyle w:val="Caption"/>
        <w:rPr>
          <w:rFonts w:ascii="Arial" w:hAnsi="Arial" w:cs="Arial"/>
        </w:rPr>
      </w:pPr>
      <w:bookmarkStart w:id="11" w:name="_Ref148178082"/>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008C4DC1" w:rsidRPr="00D800F0">
        <w:rPr>
          <w:rFonts w:ascii="Arial" w:hAnsi="Arial" w:cs="Arial"/>
          <w:noProof/>
        </w:rPr>
        <w:t>A</w:t>
      </w:r>
      <w:r w:rsidRPr="00D800F0">
        <w:rPr>
          <w:rFonts w:ascii="Arial" w:hAnsi="Arial" w:cs="Arial"/>
          <w:noProof/>
        </w:rPr>
        <w:fldChar w:fldCharType="end"/>
      </w:r>
      <w:r w:rsidR="00EA7652"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008C4DC1" w:rsidRPr="00D800F0">
        <w:rPr>
          <w:rFonts w:ascii="Arial" w:hAnsi="Arial" w:cs="Arial"/>
          <w:noProof/>
        </w:rPr>
        <w:t>2</w:t>
      </w:r>
      <w:r w:rsidRPr="00D800F0">
        <w:rPr>
          <w:rFonts w:ascii="Arial" w:hAnsi="Arial" w:cs="Arial"/>
          <w:noProof/>
        </w:rPr>
        <w:fldChar w:fldCharType="end"/>
      </w:r>
      <w:bookmarkEnd w:id="9"/>
      <w:bookmarkEnd w:id="11"/>
      <w:r w:rsidRPr="00D800F0">
        <w:rPr>
          <w:rFonts w:ascii="Arial" w:hAnsi="Arial" w:cs="Arial"/>
        </w:rPr>
        <w:t>: Inlet and outlet streams of selected literature processes</w:t>
      </w:r>
      <w:bookmarkEnd w:id="10"/>
    </w:p>
    <w:tbl>
      <w:tblPr>
        <w:tblStyle w:val="GridTable2"/>
        <w:tblW w:w="9350" w:type="dxa"/>
        <w:tblLayout w:type="fixed"/>
        <w:tblLook w:val="0400" w:firstRow="0" w:lastRow="0" w:firstColumn="0" w:lastColumn="0" w:noHBand="0" w:noVBand="1"/>
      </w:tblPr>
      <w:tblGrid>
        <w:gridCol w:w="1997"/>
        <w:gridCol w:w="1776"/>
        <w:gridCol w:w="1797"/>
        <w:gridCol w:w="1841"/>
        <w:gridCol w:w="1939"/>
      </w:tblGrid>
      <w:tr w:rsidR="007500EB" w:rsidRPr="00D800F0" w14:paraId="6BFDA5BF" w14:textId="77777777" w:rsidTr="009967A4">
        <w:trPr>
          <w:cnfStyle w:val="000000100000" w:firstRow="0" w:lastRow="0" w:firstColumn="0" w:lastColumn="0" w:oddVBand="0" w:evenVBand="0" w:oddHBand="1" w:evenHBand="0" w:firstRowFirstColumn="0" w:firstRowLastColumn="0" w:lastRowFirstColumn="0" w:lastRowLastColumn="0"/>
          <w:trHeight w:val="144"/>
        </w:trPr>
        <w:tc>
          <w:tcPr>
            <w:tcW w:w="1997" w:type="dxa"/>
          </w:tcPr>
          <w:p w14:paraId="1BDB9B2B" w14:textId="77777777" w:rsidR="007500EB" w:rsidRPr="00D800F0" w:rsidRDefault="007500EB" w:rsidP="007F228F">
            <w:pPr>
              <w:rPr>
                <w:rFonts w:ascii="Arial" w:hAnsi="Arial" w:cs="Arial"/>
              </w:rPr>
            </w:pPr>
          </w:p>
        </w:tc>
        <w:tc>
          <w:tcPr>
            <w:tcW w:w="1776" w:type="dxa"/>
          </w:tcPr>
          <w:p w14:paraId="52DC8CD3" w14:textId="77777777" w:rsidR="007500EB" w:rsidRPr="00D800F0" w:rsidRDefault="007500EB" w:rsidP="007F228F">
            <w:pPr>
              <w:rPr>
                <w:rFonts w:ascii="Arial" w:eastAsia="Times New Roman" w:hAnsi="Arial" w:cs="Arial"/>
                <w:b/>
                <w:bCs/>
                <w:sz w:val="24"/>
                <w:szCs w:val="24"/>
              </w:rPr>
            </w:pPr>
            <w:r w:rsidRPr="00D800F0">
              <w:rPr>
                <w:rFonts w:ascii="Arial" w:hAnsi="Arial" w:cs="Arial"/>
                <w:b/>
                <w:bCs/>
              </w:rPr>
              <w:t>H2 Outlet (Lewis et al., 2022)</w:t>
            </w:r>
          </w:p>
        </w:tc>
        <w:tc>
          <w:tcPr>
            <w:tcW w:w="1797" w:type="dxa"/>
          </w:tcPr>
          <w:p w14:paraId="72134A13" w14:textId="77777777" w:rsidR="007500EB" w:rsidRPr="00D800F0" w:rsidRDefault="007500EB" w:rsidP="007F228F">
            <w:pPr>
              <w:rPr>
                <w:rFonts w:ascii="Arial" w:eastAsia="Times New Roman" w:hAnsi="Arial" w:cs="Arial"/>
                <w:b/>
                <w:bCs/>
                <w:sz w:val="24"/>
                <w:szCs w:val="24"/>
              </w:rPr>
            </w:pPr>
            <w:r w:rsidRPr="00D800F0">
              <w:rPr>
                <w:rFonts w:ascii="Arial" w:hAnsi="Arial" w:cs="Arial"/>
                <w:b/>
                <w:bCs/>
              </w:rPr>
              <w:t>N2 Outlet (Young et al., 2021)</w:t>
            </w:r>
          </w:p>
        </w:tc>
        <w:tc>
          <w:tcPr>
            <w:tcW w:w="1841" w:type="dxa"/>
          </w:tcPr>
          <w:p w14:paraId="690DA96B" w14:textId="77777777" w:rsidR="007500EB" w:rsidRPr="00D800F0" w:rsidRDefault="007500EB" w:rsidP="007F228F">
            <w:pPr>
              <w:rPr>
                <w:rFonts w:ascii="Arial" w:eastAsia="Times New Roman" w:hAnsi="Arial" w:cs="Arial"/>
                <w:b/>
                <w:bCs/>
                <w:sz w:val="24"/>
                <w:szCs w:val="24"/>
              </w:rPr>
            </w:pPr>
            <w:r w:rsidRPr="00D800F0">
              <w:rPr>
                <w:rFonts w:ascii="Arial" w:hAnsi="Arial" w:cs="Arial"/>
                <w:b/>
                <w:bCs/>
              </w:rPr>
              <w:t xml:space="preserve">Surplus Steam from H2 </w:t>
            </w:r>
            <w:r w:rsidRPr="00D800F0">
              <w:rPr>
                <w:rFonts w:ascii="Arial" w:hAnsi="Arial" w:cs="Arial"/>
                <w:b/>
                <w:bCs/>
                <w:vertAlign w:val="superscript"/>
              </w:rPr>
              <w:t>a</w:t>
            </w:r>
            <w:r w:rsidRPr="00D800F0">
              <w:rPr>
                <w:rFonts w:ascii="Arial" w:hAnsi="Arial" w:cs="Arial"/>
                <w:b/>
                <w:bCs/>
              </w:rPr>
              <w:t>(Lewis et al., 2022)</w:t>
            </w:r>
          </w:p>
        </w:tc>
        <w:tc>
          <w:tcPr>
            <w:tcW w:w="1939" w:type="dxa"/>
          </w:tcPr>
          <w:p w14:paraId="4C296B13" w14:textId="77777777" w:rsidR="007500EB" w:rsidRPr="00D800F0" w:rsidRDefault="007500EB" w:rsidP="007F228F">
            <w:pPr>
              <w:rPr>
                <w:rFonts w:ascii="Arial" w:eastAsia="Times New Roman" w:hAnsi="Arial" w:cs="Arial"/>
                <w:b/>
                <w:bCs/>
                <w:sz w:val="24"/>
                <w:szCs w:val="24"/>
              </w:rPr>
            </w:pPr>
            <w:r w:rsidRPr="00D800F0">
              <w:rPr>
                <w:rFonts w:ascii="Arial" w:hAnsi="Arial" w:cs="Arial"/>
                <w:b/>
                <w:bCs/>
              </w:rPr>
              <w:t>Ammonia Synthesis Reactant Inlet (Brasington et al., 2011)</w:t>
            </w:r>
          </w:p>
        </w:tc>
      </w:tr>
      <w:tr w:rsidR="007500EB" w:rsidRPr="00D800F0" w14:paraId="4648349D" w14:textId="77777777" w:rsidTr="009967A4">
        <w:trPr>
          <w:trHeight w:val="144"/>
        </w:trPr>
        <w:tc>
          <w:tcPr>
            <w:tcW w:w="1997" w:type="dxa"/>
          </w:tcPr>
          <w:p w14:paraId="7CCC7529" w14:textId="77777777" w:rsidR="007500EB" w:rsidRPr="00D800F0" w:rsidRDefault="007500EB" w:rsidP="007F228F">
            <w:pPr>
              <w:rPr>
                <w:rFonts w:ascii="Arial" w:eastAsia="Times New Roman" w:hAnsi="Arial" w:cs="Arial"/>
                <w:sz w:val="24"/>
                <w:szCs w:val="24"/>
              </w:rPr>
            </w:pPr>
            <w:r w:rsidRPr="00D800F0">
              <w:rPr>
                <w:rFonts w:ascii="Arial" w:hAnsi="Arial" w:cs="Arial"/>
              </w:rPr>
              <w:t>Flowrate [TPD]</w:t>
            </w:r>
          </w:p>
        </w:tc>
        <w:tc>
          <w:tcPr>
            <w:tcW w:w="1776" w:type="dxa"/>
          </w:tcPr>
          <w:p w14:paraId="4AB7B1EF" w14:textId="77777777" w:rsidR="007500EB" w:rsidRPr="00D800F0" w:rsidRDefault="007500EB" w:rsidP="007F228F">
            <w:pPr>
              <w:rPr>
                <w:rFonts w:ascii="Arial" w:eastAsia="Times New Roman" w:hAnsi="Arial" w:cs="Arial"/>
                <w:sz w:val="24"/>
                <w:szCs w:val="24"/>
              </w:rPr>
            </w:pPr>
            <w:r w:rsidRPr="00D800F0">
              <w:rPr>
                <w:rFonts w:ascii="Arial" w:hAnsi="Arial" w:cs="Arial"/>
              </w:rPr>
              <w:t>483.02</w:t>
            </w:r>
          </w:p>
        </w:tc>
        <w:tc>
          <w:tcPr>
            <w:tcW w:w="1797" w:type="dxa"/>
          </w:tcPr>
          <w:p w14:paraId="04320A66" w14:textId="77777777" w:rsidR="007500EB" w:rsidRPr="00D800F0" w:rsidRDefault="007500EB" w:rsidP="007F228F">
            <w:pPr>
              <w:rPr>
                <w:rFonts w:ascii="Arial" w:eastAsia="Times New Roman" w:hAnsi="Arial" w:cs="Arial"/>
                <w:sz w:val="24"/>
                <w:szCs w:val="24"/>
              </w:rPr>
            </w:pPr>
            <w:r w:rsidRPr="00D800F0">
              <w:rPr>
                <w:rFonts w:ascii="Arial" w:hAnsi="Arial" w:cs="Arial"/>
              </w:rPr>
              <w:t>2,100.4</w:t>
            </w:r>
          </w:p>
        </w:tc>
        <w:tc>
          <w:tcPr>
            <w:tcW w:w="1841" w:type="dxa"/>
          </w:tcPr>
          <w:p w14:paraId="0EC5A61A" w14:textId="77777777" w:rsidR="007500EB" w:rsidRPr="00D800F0" w:rsidRDefault="007500EB" w:rsidP="007F228F">
            <w:pPr>
              <w:rPr>
                <w:rFonts w:ascii="Arial" w:eastAsia="Times New Roman" w:hAnsi="Arial" w:cs="Arial"/>
                <w:sz w:val="24"/>
                <w:szCs w:val="24"/>
              </w:rPr>
            </w:pPr>
            <w:r w:rsidRPr="00D800F0">
              <w:rPr>
                <w:rFonts w:ascii="Arial" w:hAnsi="Arial" w:cs="Arial"/>
              </w:rPr>
              <w:t>18,617.0</w:t>
            </w:r>
          </w:p>
        </w:tc>
        <w:tc>
          <w:tcPr>
            <w:tcW w:w="1939" w:type="dxa"/>
          </w:tcPr>
          <w:p w14:paraId="4F81EC04" w14:textId="77777777" w:rsidR="007500EB" w:rsidRPr="00D800F0" w:rsidRDefault="007500EB" w:rsidP="007F228F">
            <w:pPr>
              <w:rPr>
                <w:rFonts w:ascii="Arial" w:eastAsia="Times New Roman" w:hAnsi="Arial" w:cs="Arial"/>
                <w:sz w:val="24"/>
                <w:szCs w:val="24"/>
              </w:rPr>
            </w:pPr>
            <w:r w:rsidRPr="00D800F0">
              <w:rPr>
                <w:rFonts w:ascii="Arial" w:hAnsi="Arial" w:cs="Arial"/>
              </w:rPr>
              <w:t>2,632.9</w:t>
            </w:r>
          </w:p>
        </w:tc>
      </w:tr>
      <w:tr w:rsidR="007500EB" w:rsidRPr="00D800F0" w14:paraId="2804E19D" w14:textId="77777777" w:rsidTr="009967A4">
        <w:trPr>
          <w:cnfStyle w:val="000000100000" w:firstRow="0" w:lastRow="0" w:firstColumn="0" w:lastColumn="0" w:oddVBand="0" w:evenVBand="0" w:oddHBand="1" w:evenHBand="0" w:firstRowFirstColumn="0" w:firstRowLastColumn="0" w:lastRowFirstColumn="0" w:lastRowLastColumn="0"/>
          <w:trHeight w:val="144"/>
        </w:trPr>
        <w:tc>
          <w:tcPr>
            <w:tcW w:w="1997" w:type="dxa"/>
          </w:tcPr>
          <w:p w14:paraId="5B1738BC" w14:textId="77777777" w:rsidR="007500EB" w:rsidRPr="00D800F0" w:rsidRDefault="007500EB" w:rsidP="007F228F">
            <w:pPr>
              <w:rPr>
                <w:rFonts w:ascii="Arial" w:eastAsia="Times New Roman" w:hAnsi="Arial" w:cs="Arial"/>
                <w:sz w:val="24"/>
                <w:szCs w:val="24"/>
              </w:rPr>
            </w:pPr>
            <w:r w:rsidRPr="00D800F0">
              <w:rPr>
                <w:rFonts w:ascii="Arial" w:hAnsi="Arial" w:cs="Arial"/>
              </w:rPr>
              <w:t>Temperature [C]</w:t>
            </w:r>
          </w:p>
        </w:tc>
        <w:tc>
          <w:tcPr>
            <w:tcW w:w="1776" w:type="dxa"/>
          </w:tcPr>
          <w:p w14:paraId="24E86C00" w14:textId="77777777" w:rsidR="007500EB" w:rsidRPr="00D800F0" w:rsidRDefault="007500EB" w:rsidP="007F228F">
            <w:pPr>
              <w:rPr>
                <w:rFonts w:ascii="Arial" w:eastAsia="Times New Roman" w:hAnsi="Arial" w:cs="Arial"/>
                <w:sz w:val="24"/>
                <w:szCs w:val="24"/>
              </w:rPr>
            </w:pPr>
            <w:r w:rsidRPr="00D800F0">
              <w:rPr>
                <w:rFonts w:ascii="Arial" w:hAnsi="Arial" w:cs="Arial"/>
              </w:rPr>
              <w:t>30</w:t>
            </w:r>
          </w:p>
        </w:tc>
        <w:tc>
          <w:tcPr>
            <w:tcW w:w="1797" w:type="dxa"/>
          </w:tcPr>
          <w:p w14:paraId="0383FE77" w14:textId="77777777" w:rsidR="007500EB" w:rsidRPr="00D800F0" w:rsidRDefault="007500EB" w:rsidP="007F228F">
            <w:pPr>
              <w:rPr>
                <w:rFonts w:ascii="Arial" w:eastAsia="Times New Roman" w:hAnsi="Arial" w:cs="Arial"/>
                <w:sz w:val="24"/>
                <w:szCs w:val="24"/>
              </w:rPr>
            </w:pPr>
            <w:r w:rsidRPr="00D800F0">
              <w:rPr>
                <w:rFonts w:ascii="Arial" w:hAnsi="Arial" w:cs="Arial"/>
              </w:rPr>
              <w:t>40</w:t>
            </w:r>
          </w:p>
        </w:tc>
        <w:tc>
          <w:tcPr>
            <w:tcW w:w="1841" w:type="dxa"/>
          </w:tcPr>
          <w:p w14:paraId="79C5D320" w14:textId="77777777" w:rsidR="007500EB" w:rsidRPr="00D800F0" w:rsidRDefault="007500EB" w:rsidP="007F228F">
            <w:pPr>
              <w:rPr>
                <w:rFonts w:ascii="Arial" w:eastAsia="Times New Roman" w:hAnsi="Arial" w:cs="Arial"/>
                <w:sz w:val="24"/>
                <w:szCs w:val="24"/>
              </w:rPr>
            </w:pPr>
            <w:r w:rsidRPr="00D800F0">
              <w:rPr>
                <w:rFonts w:ascii="Arial" w:hAnsi="Arial" w:cs="Arial"/>
              </w:rPr>
              <w:t>399</w:t>
            </w:r>
          </w:p>
        </w:tc>
        <w:tc>
          <w:tcPr>
            <w:tcW w:w="1939" w:type="dxa"/>
          </w:tcPr>
          <w:p w14:paraId="35415FCC" w14:textId="77777777" w:rsidR="007500EB" w:rsidRPr="00D800F0" w:rsidRDefault="007500EB" w:rsidP="007F228F">
            <w:pPr>
              <w:rPr>
                <w:rFonts w:ascii="Arial" w:eastAsia="Times New Roman" w:hAnsi="Arial" w:cs="Arial"/>
                <w:sz w:val="24"/>
                <w:szCs w:val="24"/>
              </w:rPr>
            </w:pPr>
            <w:r w:rsidRPr="00D800F0">
              <w:rPr>
                <w:rFonts w:ascii="Arial" w:hAnsi="Arial" w:cs="Arial"/>
              </w:rPr>
              <w:t>21</w:t>
            </w:r>
          </w:p>
        </w:tc>
      </w:tr>
      <w:tr w:rsidR="007500EB" w:rsidRPr="00D800F0" w14:paraId="4A45327B" w14:textId="77777777" w:rsidTr="009967A4">
        <w:trPr>
          <w:trHeight w:val="144"/>
        </w:trPr>
        <w:tc>
          <w:tcPr>
            <w:tcW w:w="1997" w:type="dxa"/>
          </w:tcPr>
          <w:p w14:paraId="5E5008F8" w14:textId="77777777" w:rsidR="007500EB" w:rsidRPr="00D800F0" w:rsidRDefault="007500EB" w:rsidP="007F228F">
            <w:pPr>
              <w:rPr>
                <w:rFonts w:ascii="Arial" w:eastAsia="Times New Roman" w:hAnsi="Arial" w:cs="Arial"/>
                <w:sz w:val="24"/>
                <w:szCs w:val="24"/>
              </w:rPr>
            </w:pPr>
            <w:r w:rsidRPr="00D800F0">
              <w:rPr>
                <w:rFonts w:ascii="Arial" w:hAnsi="Arial" w:cs="Arial"/>
              </w:rPr>
              <w:t>Pressure [MPa]</w:t>
            </w:r>
          </w:p>
        </w:tc>
        <w:tc>
          <w:tcPr>
            <w:tcW w:w="1776" w:type="dxa"/>
          </w:tcPr>
          <w:p w14:paraId="3F74F021" w14:textId="77777777" w:rsidR="007500EB" w:rsidRPr="00D800F0" w:rsidRDefault="007500EB" w:rsidP="007F228F">
            <w:pPr>
              <w:rPr>
                <w:rFonts w:ascii="Arial" w:eastAsia="Times New Roman" w:hAnsi="Arial" w:cs="Arial"/>
                <w:sz w:val="24"/>
                <w:szCs w:val="24"/>
              </w:rPr>
            </w:pPr>
            <w:r w:rsidRPr="00D800F0">
              <w:rPr>
                <w:rFonts w:ascii="Arial" w:hAnsi="Arial" w:cs="Arial"/>
              </w:rPr>
              <w:t>6.48</w:t>
            </w:r>
          </w:p>
        </w:tc>
        <w:tc>
          <w:tcPr>
            <w:tcW w:w="1797" w:type="dxa"/>
          </w:tcPr>
          <w:p w14:paraId="042CFA42" w14:textId="77777777" w:rsidR="007500EB" w:rsidRPr="00D800F0" w:rsidRDefault="007500EB" w:rsidP="007F228F">
            <w:pPr>
              <w:rPr>
                <w:rFonts w:ascii="Arial" w:eastAsia="Times New Roman" w:hAnsi="Arial" w:cs="Arial"/>
                <w:sz w:val="24"/>
                <w:szCs w:val="24"/>
              </w:rPr>
            </w:pPr>
            <w:r w:rsidRPr="00D800F0">
              <w:rPr>
                <w:rFonts w:ascii="Arial" w:hAnsi="Arial" w:cs="Arial"/>
              </w:rPr>
              <w:t>0.0980</w:t>
            </w:r>
          </w:p>
        </w:tc>
        <w:tc>
          <w:tcPr>
            <w:tcW w:w="1841" w:type="dxa"/>
          </w:tcPr>
          <w:p w14:paraId="4C896867" w14:textId="77777777" w:rsidR="007500EB" w:rsidRPr="00D800F0" w:rsidRDefault="007500EB" w:rsidP="007F228F">
            <w:pPr>
              <w:rPr>
                <w:rFonts w:ascii="Arial" w:eastAsia="Times New Roman" w:hAnsi="Arial" w:cs="Arial"/>
                <w:sz w:val="24"/>
                <w:szCs w:val="24"/>
              </w:rPr>
            </w:pPr>
            <w:r w:rsidRPr="00D800F0">
              <w:rPr>
                <w:rFonts w:ascii="Arial" w:hAnsi="Arial" w:cs="Arial"/>
              </w:rPr>
              <w:t>3.1</w:t>
            </w:r>
          </w:p>
        </w:tc>
        <w:tc>
          <w:tcPr>
            <w:tcW w:w="1939" w:type="dxa"/>
          </w:tcPr>
          <w:p w14:paraId="4E771A9F" w14:textId="77777777" w:rsidR="007500EB" w:rsidRPr="00D800F0" w:rsidRDefault="007500EB" w:rsidP="007F228F">
            <w:pPr>
              <w:rPr>
                <w:rFonts w:ascii="Arial" w:eastAsia="Times New Roman" w:hAnsi="Arial" w:cs="Arial"/>
                <w:sz w:val="24"/>
                <w:szCs w:val="24"/>
              </w:rPr>
            </w:pPr>
            <w:r w:rsidRPr="00D800F0">
              <w:rPr>
                <w:rFonts w:ascii="Arial" w:hAnsi="Arial" w:cs="Arial"/>
              </w:rPr>
              <w:t>13.614</w:t>
            </w:r>
          </w:p>
        </w:tc>
      </w:tr>
      <w:tr w:rsidR="007500EB" w:rsidRPr="00D800F0" w14:paraId="61AF6535" w14:textId="77777777" w:rsidTr="009967A4">
        <w:trPr>
          <w:cnfStyle w:val="000000100000" w:firstRow="0" w:lastRow="0" w:firstColumn="0" w:lastColumn="0" w:oddVBand="0" w:evenVBand="0" w:oddHBand="1" w:evenHBand="0" w:firstRowFirstColumn="0" w:firstRowLastColumn="0" w:lastRowFirstColumn="0" w:lastRowLastColumn="0"/>
          <w:trHeight w:val="144"/>
        </w:trPr>
        <w:tc>
          <w:tcPr>
            <w:tcW w:w="1997" w:type="dxa"/>
          </w:tcPr>
          <w:p w14:paraId="5BAE8807" w14:textId="77777777" w:rsidR="007500EB" w:rsidRPr="00D800F0" w:rsidRDefault="007500EB" w:rsidP="007F228F">
            <w:pPr>
              <w:rPr>
                <w:rFonts w:ascii="Arial" w:eastAsia="Times New Roman" w:hAnsi="Arial" w:cs="Arial"/>
                <w:sz w:val="24"/>
                <w:szCs w:val="24"/>
              </w:rPr>
            </w:pPr>
            <w:r w:rsidRPr="00D800F0">
              <w:rPr>
                <w:rFonts w:ascii="Arial" w:hAnsi="Arial" w:cs="Arial"/>
              </w:rPr>
              <w:t>Vapor Fraction</w:t>
            </w:r>
          </w:p>
        </w:tc>
        <w:tc>
          <w:tcPr>
            <w:tcW w:w="1776" w:type="dxa"/>
          </w:tcPr>
          <w:p w14:paraId="51A54B3C" w14:textId="77777777" w:rsidR="007500EB" w:rsidRPr="00D800F0" w:rsidRDefault="007500EB" w:rsidP="007F228F">
            <w:pPr>
              <w:rPr>
                <w:rFonts w:ascii="Arial" w:eastAsia="Times New Roman" w:hAnsi="Arial" w:cs="Arial"/>
                <w:sz w:val="24"/>
                <w:szCs w:val="24"/>
              </w:rPr>
            </w:pPr>
            <w:r w:rsidRPr="00D800F0">
              <w:rPr>
                <w:rFonts w:ascii="Arial" w:hAnsi="Arial" w:cs="Arial"/>
              </w:rPr>
              <w:t>1</w:t>
            </w:r>
          </w:p>
        </w:tc>
        <w:tc>
          <w:tcPr>
            <w:tcW w:w="1797" w:type="dxa"/>
          </w:tcPr>
          <w:p w14:paraId="4D441CB4" w14:textId="77777777" w:rsidR="007500EB" w:rsidRPr="00D800F0" w:rsidRDefault="007500EB" w:rsidP="007F228F">
            <w:pPr>
              <w:rPr>
                <w:rFonts w:ascii="Arial" w:eastAsia="Times New Roman" w:hAnsi="Arial" w:cs="Arial"/>
                <w:sz w:val="24"/>
                <w:szCs w:val="24"/>
              </w:rPr>
            </w:pPr>
            <w:r w:rsidRPr="00D800F0">
              <w:rPr>
                <w:rFonts w:ascii="Arial" w:hAnsi="Arial" w:cs="Arial"/>
              </w:rPr>
              <w:t>1</w:t>
            </w:r>
          </w:p>
        </w:tc>
        <w:tc>
          <w:tcPr>
            <w:tcW w:w="1841" w:type="dxa"/>
          </w:tcPr>
          <w:p w14:paraId="490E1269" w14:textId="77777777" w:rsidR="007500EB" w:rsidRPr="00D800F0" w:rsidRDefault="007500EB" w:rsidP="007F228F">
            <w:pPr>
              <w:rPr>
                <w:rFonts w:ascii="Arial" w:eastAsia="Times New Roman" w:hAnsi="Arial" w:cs="Arial"/>
                <w:sz w:val="24"/>
                <w:szCs w:val="24"/>
              </w:rPr>
            </w:pPr>
            <w:r w:rsidRPr="00D800F0">
              <w:rPr>
                <w:rFonts w:ascii="Arial" w:hAnsi="Arial" w:cs="Arial"/>
              </w:rPr>
              <w:t>1</w:t>
            </w:r>
          </w:p>
        </w:tc>
        <w:tc>
          <w:tcPr>
            <w:tcW w:w="1939" w:type="dxa"/>
          </w:tcPr>
          <w:p w14:paraId="3BE52B00" w14:textId="77777777" w:rsidR="007500EB" w:rsidRPr="00D800F0" w:rsidRDefault="007500EB" w:rsidP="007F228F">
            <w:pPr>
              <w:rPr>
                <w:rFonts w:ascii="Arial" w:eastAsia="Times New Roman" w:hAnsi="Arial" w:cs="Arial"/>
                <w:sz w:val="24"/>
                <w:szCs w:val="24"/>
              </w:rPr>
            </w:pPr>
            <w:r w:rsidRPr="00D800F0">
              <w:rPr>
                <w:rFonts w:ascii="Arial" w:hAnsi="Arial" w:cs="Arial"/>
              </w:rPr>
              <w:t>1</w:t>
            </w:r>
          </w:p>
        </w:tc>
      </w:tr>
      <w:tr w:rsidR="007500EB" w:rsidRPr="00D800F0" w14:paraId="6C9ADCC6" w14:textId="77777777" w:rsidTr="009967A4">
        <w:trPr>
          <w:trHeight w:val="144"/>
        </w:trPr>
        <w:tc>
          <w:tcPr>
            <w:tcW w:w="1997" w:type="dxa"/>
          </w:tcPr>
          <w:p w14:paraId="20CA83AA" w14:textId="77777777" w:rsidR="007500EB" w:rsidRPr="00D800F0" w:rsidRDefault="007500EB" w:rsidP="007F228F">
            <w:pPr>
              <w:rPr>
                <w:rFonts w:ascii="Arial" w:eastAsia="Times New Roman" w:hAnsi="Arial" w:cs="Arial"/>
                <w:sz w:val="24"/>
                <w:szCs w:val="24"/>
              </w:rPr>
            </w:pPr>
            <w:r w:rsidRPr="00D800F0">
              <w:rPr>
                <w:rFonts w:ascii="Arial" w:hAnsi="Arial" w:cs="Arial"/>
              </w:rPr>
              <w:t>H</w:t>
            </w:r>
            <w:r w:rsidRPr="00D800F0">
              <w:rPr>
                <w:rFonts w:ascii="Arial" w:hAnsi="Arial" w:cs="Arial"/>
                <w:sz w:val="13"/>
                <w:szCs w:val="13"/>
                <w:vertAlign w:val="subscript"/>
              </w:rPr>
              <w:t>2</w:t>
            </w:r>
            <w:r w:rsidRPr="00D800F0">
              <w:rPr>
                <w:rFonts w:ascii="Arial" w:hAnsi="Arial" w:cs="Arial"/>
              </w:rPr>
              <w:t xml:space="preserve"> [mol/mol]</w:t>
            </w:r>
          </w:p>
        </w:tc>
        <w:tc>
          <w:tcPr>
            <w:tcW w:w="1776" w:type="dxa"/>
          </w:tcPr>
          <w:p w14:paraId="1429C955" w14:textId="77777777" w:rsidR="007500EB" w:rsidRPr="00D800F0" w:rsidRDefault="007500EB" w:rsidP="007F228F">
            <w:pPr>
              <w:rPr>
                <w:rFonts w:ascii="Arial" w:eastAsia="Times New Roman" w:hAnsi="Arial" w:cs="Arial"/>
                <w:sz w:val="24"/>
                <w:szCs w:val="24"/>
              </w:rPr>
            </w:pPr>
            <w:r w:rsidRPr="00D800F0">
              <w:rPr>
                <w:rFonts w:ascii="Arial" w:hAnsi="Arial" w:cs="Arial"/>
              </w:rPr>
              <w:t>0.9998</w:t>
            </w:r>
          </w:p>
        </w:tc>
        <w:tc>
          <w:tcPr>
            <w:tcW w:w="1797" w:type="dxa"/>
          </w:tcPr>
          <w:p w14:paraId="221D7AAD" w14:textId="77777777" w:rsidR="007500EB" w:rsidRPr="00D800F0" w:rsidRDefault="007500EB" w:rsidP="007F228F">
            <w:pPr>
              <w:rPr>
                <w:rFonts w:ascii="Arial" w:eastAsia="Times New Roman" w:hAnsi="Arial" w:cs="Arial"/>
                <w:sz w:val="24"/>
                <w:szCs w:val="24"/>
              </w:rPr>
            </w:pPr>
            <w:r w:rsidRPr="00D800F0">
              <w:rPr>
                <w:rFonts w:ascii="Arial" w:hAnsi="Arial" w:cs="Arial"/>
              </w:rPr>
              <w:t>0.0000</w:t>
            </w:r>
          </w:p>
        </w:tc>
        <w:tc>
          <w:tcPr>
            <w:tcW w:w="1841" w:type="dxa"/>
          </w:tcPr>
          <w:p w14:paraId="5FF80C8C" w14:textId="77777777" w:rsidR="007500EB" w:rsidRPr="00D800F0" w:rsidRDefault="007500EB" w:rsidP="007F228F">
            <w:pPr>
              <w:rPr>
                <w:rFonts w:ascii="Arial" w:eastAsia="Times New Roman" w:hAnsi="Arial" w:cs="Arial"/>
                <w:sz w:val="24"/>
                <w:szCs w:val="24"/>
              </w:rPr>
            </w:pPr>
            <w:r w:rsidRPr="00D800F0">
              <w:rPr>
                <w:rFonts w:ascii="Arial" w:hAnsi="Arial" w:cs="Arial"/>
              </w:rPr>
              <w:t>0.0000</w:t>
            </w:r>
          </w:p>
        </w:tc>
        <w:tc>
          <w:tcPr>
            <w:tcW w:w="1939" w:type="dxa"/>
          </w:tcPr>
          <w:p w14:paraId="4A063E8F" w14:textId="77777777" w:rsidR="007500EB" w:rsidRPr="00D800F0" w:rsidRDefault="007500EB" w:rsidP="007F228F">
            <w:pPr>
              <w:rPr>
                <w:rFonts w:ascii="Arial" w:eastAsia="Times New Roman" w:hAnsi="Arial" w:cs="Arial"/>
                <w:sz w:val="24"/>
                <w:szCs w:val="24"/>
              </w:rPr>
            </w:pPr>
            <w:r w:rsidRPr="00D800F0">
              <w:rPr>
                <w:rFonts w:ascii="Arial" w:hAnsi="Arial" w:cs="Arial"/>
              </w:rPr>
              <w:t>0.7490</w:t>
            </w:r>
          </w:p>
        </w:tc>
      </w:tr>
      <w:tr w:rsidR="007500EB" w:rsidRPr="00D800F0" w14:paraId="258F0E9A" w14:textId="77777777" w:rsidTr="009967A4">
        <w:trPr>
          <w:cnfStyle w:val="000000100000" w:firstRow="0" w:lastRow="0" w:firstColumn="0" w:lastColumn="0" w:oddVBand="0" w:evenVBand="0" w:oddHBand="1" w:evenHBand="0" w:firstRowFirstColumn="0" w:firstRowLastColumn="0" w:lastRowFirstColumn="0" w:lastRowLastColumn="0"/>
          <w:trHeight w:val="144"/>
        </w:trPr>
        <w:tc>
          <w:tcPr>
            <w:tcW w:w="1997" w:type="dxa"/>
          </w:tcPr>
          <w:p w14:paraId="0C147631" w14:textId="77777777" w:rsidR="007500EB" w:rsidRPr="00D800F0" w:rsidRDefault="007500EB" w:rsidP="007F228F">
            <w:pPr>
              <w:rPr>
                <w:rFonts w:ascii="Arial" w:eastAsia="Times New Roman" w:hAnsi="Arial" w:cs="Arial"/>
                <w:sz w:val="24"/>
                <w:szCs w:val="24"/>
              </w:rPr>
            </w:pPr>
            <w:r w:rsidRPr="00D800F0">
              <w:rPr>
                <w:rFonts w:ascii="Arial" w:hAnsi="Arial" w:cs="Arial"/>
              </w:rPr>
              <w:t>N</w:t>
            </w:r>
            <w:r w:rsidRPr="00D800F0">
              <w:rPr>
                <w:rFonts w:ascii="Arial" w:hAnsi="Arial" w:cs="Arial"/>
                <w:sz w:val="13"/>
                <w:szCs w:val="13"/>
                <w:vertAlign w:val="subscript"/>
              </w:rPr>
              <w:t>2</w:t>
            </w:r>
            <w:r w:rsidRPr="00D800F0">
              <w:rPr>
                <w:rFonts w:ascii="Arial" w:hAnsi="Arial" w:cs="Arial"/>
              </w:rPr>
              <w:t xml:space="preserve"> [mol/mol]</w:t>
            </w:r>
          </w:p>
        </w:tc>
        <w:tc>
          <w:tcPr>
            <w:tcW w:w="1776" w:type="dxa"/>
          </w:tcPr>
          <w:p w14:paraId="0806FCC3" w14:textId="77777777" w:rsidR="007500EB" w:rsidRPr="00D800F0" w:rsidRDefault="007500EB" w:rsidP="007F228F">
            <w:pPr>
              <w:rPr>
                <w:rFonts w:ascii="Arial" w:eastAsia="Times New Roman" w:hAnsi="Arial" w:cs="Arial"/>
                <w:sz w:val="24"/>
                <w:szCs w:val="24"/>
              </w:rPr>
            </w:pPr>
            <w:r w:rsidRPr="00D800F0">
              <w:rPr>
                <w:rFonts w:ascii="Arial" w:hAnsi="Arial" w:cs="Arial"/>
              </w:rPr>
              <w:t>0.0002</w:t>
            </w:r>
          </w:p>
        </w:tc>
        <w:tc>
          <w:tcPr>
            <w:tcW w:w="1797" w:type="dxa"/>
          </w:tcPr>
          <w:p w14:paraId="0F1B78D8" w14:textId="77777777" w:rsidR="007500EB" w:rsidRPr="00D800F0" w:rsidRDefault="007500EB" w:rsidP="007F228F">
            <w:pPr>
              <w:rPr>
                <w:rFonts w:ascii="Arial" w:eastAsia="Times New Roman" w:hAnsi="Arial" w:cs="Arial"/>
                <w:sz w:val="24"/>
                <w:szCs w:val="24"/>
              </w:rPr>
            </w:pPr>
            <w:r w:rsidRPr="00D800F0">
              <w:rPr>
                <w:rFonts w:ascii="Arial" w:hAnsi="Arial" w:cs="Arial"/>
              </w:rPr>
              <w:t>1.0000</w:t>
            </w:r>
          </w:p>
        </w:tc>
        <w:tc>
          <w:tcPr>
            <w:tcW w:w="1841" w:type="dxa"/>
          </w:tcPr>
          <w:p w14:paraId="2BF7AC32" w14:textId="77777777" w:rsidR="007500EB" w:rsidRPr="00D800F0" w:rsidRDefault="007500EB" w:rsidP="007F228F">
            <w:pPr>
              <w:rPr>
                <w:rFonts w:ascii="Arial" w:eastAsia="Times New Roman" w:hAnsi="Arial" w:cs="Arial"/>
                <w:sz w:val="24"/>
                <w:szCs w:val="24"/>
              </w:rPr>
            </w:pPr>
            <w:r w:rsidRPr="00D800F0">
              <w:rPr>
                <w:rFonts w:ascii="Arial" w:hAnsi="Arial" w:cs="Arial"/>
              </w:rPr>
              <w:t>0.0000</w:t>
            </w:r>
          </w:p>
        </w:tc>
        <w:tc>
          <w:tcPr>
            <w:tcW w:w="1939" w:type="dxa"/>
          </w:tcPr>
          <w:p w14:paraId="5795B6B4" w14:textId="77777777" w:rsidR="007500EB" w:rsidRPr="00D800F0" w:rsidRDefault="007500EB" w:rsidP="007F228F">
            <w:pPr>
              <w:rPr>
                <w:rFonts w:ascii="Arial" w:eastAsia="Times New Roman" w:hAnsi="Arial" w:cs="Arial"/>
                <w:sz w:val="24"/>
                <w:szCs w:val="24"/>
              </w:rPr>
            </w:pPr>
            <w:r w:rsidRPr="00D800F0">
              <w:rPr>
                <w:rFonts w:ascii="Arial" w:hAnsi="Arial" w:cs="Arial"/>
              </w:rPr>
              <w:t>0.2500</w:t>
            </w:r>
          </w:p>
        </w:tc>
      </w:tr>
      <w:tr w:rsidR="007500EB" w:rsidRPr="00D800F0" w14:paraId="4D8213C2" w14:textId="77777777" w:rsidTr="009967A4">
        <w:trPr>
          <w:trHeight w:val="144"/>
        </w:trPr>
        <w:tc>
          <w:tcPr>
            <w:tcW w:w="1997" w:type="dxa"/>
          </w:tcPr>
          <w:p w14:paraId="7C300368" w14:textId="77777777" w:rsidR="007500EB" w:rsidRPr="00D800F0" w:rsidRDefault="007500EB" w:rsidP="007F228F">
            <w:pPr>
              <w:rPr>
                <w:rFonts w:ascii="Arial" w:eastAsia="Times New Roman" w:hAnsi="Arial" w:cs="Arial"/>
                <w:sz w:val="24"/>
                <w:szCs w:val="24"/>
              </w:rPr>
            </w:pPr>
            <w:r w:rsidRPr="00D800F0">
              <w:rPr>
                <w:rFonts w:ascii="Arial" w:hAnsi="Arial" w:cs="Arial"/>
              </w:rPr>
              <w:t>H</w:t>
            </w:r>
            <w:r w:rsidRPr="00D800F0">
              <w:rPr>
                <w:rFonts w:ascii="Arial" w:hAnsi="Arial" w:cs="Arial"/>
                <w:sz w:val="13"/>
                <w:szCs w:val="13"/>
                <w:vertAlign w:val="subscript"/>
              </w:rPr>
              <w:t>2</w:t>
            </w:r>
            <w:r w:rsidRPr="00D800F0">
              <w:rPr>
                <w:rFonts w:ascii="Arial" w:hAnsi="Arial" w:cs="Arial"/>
              </w:rPr>
              <w:t>0</w:t>
            </w:r>
          </w:p>
        </w:tc>
        <w:tc>
          <w:tcPr>
            <w:tcW w:w="1776" w:type="dxa"/>
          </w:tcPr>
          <w:p w14:paraId="58FFA856" w14:textId="77777777" w:rsidR="007500EB" w:rsidRPr="00D800F0" w:rsidRDefault="007500EB" w:rsidP="007F228F">
            <w:pPr>
              <w:rPr>
                <w:rFonts w:ascii="Arial" w:eastAsia="Times New Roman" w:hAnsi="Arial" w:cs="Arial"/>
                <w:sz w:val="24"/>
                <w:szCs w:val="24"/>
              </w:rPr>
            </w:pPr>
            <w:r w:rsidRPr="00D800F0">
              <w:rPr>
                <w:rFonts w:ascii="Arial" w:hAnsi="Arial" w:cs="Arial"/>
              </w:rPr>
              <w:t>0.0000</w:t>
            </w:r>
          </w:p>
        </w:tc>
        <w:tc>
          <w:tcPr>
            <w:tcW w:w="1797" w:type="dxa"/>
          </w:tcPr>
          <w:p w14:paraId="62E9D94F" w14:textId="77777777" w:rsidR="007500EB" w:rsidRPr="00D800F0" w:rsidRDefault="007500EB" w:rsidP="007F228F">
            <w:pPr>
              <w:rPr>
                <w:rFonts w:ascii="Arial" w:eastAsia="Times New Roman" w:hAnsi="Arial" w:cs="Arial"/>
                <w:sz w:val="24"/>
                <w:szCs w:val="24"/>
              </w:rPr>
            </w:pPr>
            <w:r w:rsidRPr="00D800F0">
              <w:rPr>
                <w:rFonts w:ascii="Arial" w:hAnsi="Arial" w:cs="Arial"/>
              </w:rPr>
              <w:t>0.0000</w:t>
            </w:r>
          </w:p>
        </w:tc>
        <w:tc>
          <w:tcPr>
            <w:tcW w:w="1841" w:type="dxa"/>
          </w:tcPr>
          <w:p w14:paraId="4042A562" w14:textId="77777777" w:rsidR="007500EB" w:rsidRPr="00D800F0" w:rsidRDefault="007500EB" w:rsidP="007F228F">
            <w:pPr>
              <w:rPr>
                <w:rFonts w:ascii="Arial" w:eastAsia="Times New Roman" w:hAnsi="Arial" w:cs="Arial"/>
                <w:sz w:val="24"/>
                <w:szCs w:val="24"/>
              </w:rPr>
            </w:pPr>
            <w:r w:rsidRPr="00D800F0">
              <w:rPr>
                <w:rFonts w:ascii="Arial" w:hAnsi="Arial" w:cs="Arial"/>
              </w:rPr>
              <w:t>1.0000</w:t>
            </w:r>
          </w:p>
        </w:tc>
        <w:tc>
          <w:tcPr>
            <w:tcW w:w="1939" w:type="dxa"/>
          </w:tcPr>
          <w:p w14:paraId="57CF79D7" w14:textId="77777777" w:rsidR="007500EB" w:rsidRPr="00D800F0" w:rsidRDefault="007500EB" w:rsidP="007F228F">
            <w:pPr>
              <w:rPr>
                <w:rFonts w:ascii="Arial" w:eastAsia="Times New Roman" w:hAnsi="Arial" w:cs="Arial"/>
                <w:sz w:val="24"/>
                <w:szCs w:val="24"/>
              </w:rPr>
            </w:pPr>
            <w:r w:rsidRPr="00D800F0">
              <w:rPr>
                <w:rFonts w:ascii="Arial" w:hAnsi="Arial" w:cs="Arial"/>
              </w:rPr>
              <w:t>0.0000</w:t>
            </w:r>
          </w:p>
        </w:tc>
      </w:tr>
      <w:tr w:rsidR="007500EB" w:rsidRPr="00D800F0" w14:paraId="0DC0B04B" w14:textId="77777777" w:rsidTr="009967A4">
        <w:trPr>
          <w:cnfStyle w:val="000000100000" w:firstRow="0" w:lastRow="0" w:firstColumn="0" w:lastColumn="0" w:oddVBand="0" w:evenVBand="0" w:oddHBand="1" w:evenHBand="0" w:firstRowFirstColumn="0" w:firstRowLastColumn="0" w:lastRowFirstColumn="0" w:lastRowLastColumn="0"/>
          <w:trHeight w:val="144"/>
        </w:trPr>
        <w:tc>
          <w:tcPr>
            <w:tcW w:w="1997" w:type="dxa"/>
          </w:tcPr>
          <w:p w14:paraId="123CCD79" w14:textId="77777777" w:rsidR="007500EB" w:rsidRPr="00D800F0" w:rsidRDefault="007500EB" w:rsidP="007F228F">
            <w:pPr>
              <w:rPr>
                <w:rFonts w:ascii="Arial" w:eastAsia="Times New Roman" w:hAnsi="Arial" w:cs="Arial"/>
                <w:sz w:val="24"/>
                <w:szCs w:val="24"/>
              </w:rPr>
            </w:pPr>
            <w:r w:rsidRPr="00D800F0">
              <w:rPr>
                <w:rFonts w:ascii="Arial" w:hAnsi="Arial" w:cs="Arial"/>
              </w:rPr>
              <w:t>O</w:t>
            </w:r>
            <w:r w:rsidRPr="00D800F0">
              <w:rPr>
                <w:rFonts w:ascii="Arial" w:hAnsi="Arial" w:cs="Arial"/>
                <w:sz w:val="13"/>
                <w:szCs w:val="13"/>
                <w:vertAlign w:val="subscript"/>
              </w:rPr>
              <w:t>2</w:t>
            </w:r>
          </w:p>
        </w:tc>
        <w:tc>
          <w:tcPr>
            <w:tcW w:w="1776" w:type="dxa"/>
          </w:tcPr>
          <w:p w14:paraId="41A3662F" w14:textId="77777777" w:rsidR="007500EB" w:rsidRPr="00D800F0" w:rsidRDefault="007500EB" w:rsidP="007F228F">
            <w:pPr>
              <w:rPr>
                <w:rFonts w:ascii="Arial" w:eastAsia="Times New Roman" w:hAnsi="Arial" w:cs="Arial"/>
                <w:sz w:val="24"/>
                <w:szCs w:val="24"/>
              </w:rPr>
            </w:pPr>
            <w:r w:rsidRPr="00D800F0">
              <w:rPr>
                <w:rFonts w:ascii="Arial" w:hAnsi="Arial" w:cs="Arial"/>
              </w:rPr>
              <w:t>0.0000</w:t>
            </w:r>
          </w:p>
        </w:tc>
        <w:tc>
          <w:tcPr>
            <w:tcW w:w="1797" w:type="dxa"/>
          </w:tcPr>
          <w:p w14:paraId="34940100" w14:textId="77777777" w:rsidR="007500EB" w:rsidRPr="00D800F0" w:rsidRDefault="007500EB" w:rsidP="007F228F">
            <w:pPr>
              <w:rPr>
                <w:rFonts w:ascii="Arial" w:eastAsia="Times New Roman" w:hAnsi="Arial" w:cs="Arial"/>
                <w:sz w:val="24"/>
                <w:szCs w:val="24"/>
              </w:rPr>
            </w:pPr>
            <w:r w:rsidRPr="00D800F0">
              <w:rPr>
                <w:rFonts w:ascii="Arial" w:hAnsi="Arial" w:cs="Arial"/>
              </w:rPr>
              <w:t>243 ppb</w:t>
            </w:r>
          </w:p>
        </w:tc>
        <w:tc>
          <w:tcPr>
            <w:tcW w:w="1841" w:type="dxa"/>
          </w:tcPr>
          <w:p w14:paraId="2CF7345E" w14:textId="77777777" w:rsidR="007500EB" w:rsidRPr="00D800F0" w:rsidRDefault="007500EB" w:rsidP="007F228F">
            <w:pPr>
              <w:rPr>
                <w:rFonts w:ascii="Arial" w:eastAsia="Times New Roman" w:hAnsi="Arial" w:cs="Arial"/>
                <w:sz w:val="24"/>
                <w:szCs w:val="24"/>
              </w:rPr>
            </w:pPr>
            <w:r w:rsidRPr="00D800F0">
              <w:rPr>
                <w:rFonts w:ascii="Arial" w:hAnsi="Arial" w:cs="Arial"/>
              </w:rPr>
              <w:t>0.0000</w:t>
            </w:r>
          </w:p>
        </w:tc>
        <w:tc>
          <w:tcPr>
            <w:tcW w:w="1939" w:type="dxa"/>
          </w:tcPr>
          <w:p w14:paraId="22A0CC0C" w14:textId="77777777" w:rsidR="007500EB" w:rsidRPr="00D800F0" w:rsidRDefault="007500EB" w:rsidP="007F228F">
            <w:pPr>
              <w:rPr>
                <w:rFonts w:ascii="Arial" w:eastAsia="Times New Roman" w:hAnsi="Arial" w:cs="Arial"/>
                <w:sz w:val="24"/>
                <w:szCs w:val="24"/>
              </w:rPr>
            </w:pPr>
            <w:r w:rsidRPr="00D800F0">
              <w:rPr>
                <w:rFonts w:ascii="Arial" w:hAnsi="Arial" w:cs="Arial"/>
              </w:rPr>
              <w:t>0.0000</w:t>
            </w:r>
          </w:p>
        </w:tc>
      </w:tr>
      <w:tr w:rsidR="007500EB" w:rsidRPr="00D800F0" w14:paraId="418F0A50" w14:textId="77777777" w:rsidTr="009967A4">
        <w:trPr>
          <w:trHeight w:val="144"/>
        </w:trPr>
        <w:tc>
          <w:tcPr>
            <w:tcW w:w="1997" w:type="dxa"/>
          </w:tcPr>
          <w:p w14:paraId="3437EF1C" w14:textId="77777777" w:rsidR="007500EB" w:rsidRPr="00D800F0" w:rsidRDefault="007500EB" w:rsidP="007F228F">
            <w:pPr>
              <w:rPr>
                <w:rFonts w:ascii="Arial" w:eastAsia="Times New Roman" w:hAnsi="Arial" w:cs="Arial"/>
                <w:sz w:val="24"/>
                <w:szCs w:val="24"/>
              </w:rPr>
            </w:pPr>
            <w:r w:rsidRPr="00D800F0">
              <w:rPr>
                <w:rFonts w:ascii="Arial" w:hAnsi="Arial" w:cs="Arial"/>
              </w:rPr>
              <w:t>Ar</w:t>
            </w:r>
          </w:p>
        </w:tc>
        <w:tc>
          <w:tcPr>
            <w:tcW w:w="1776" w:type="dxa"/>
          </w:tcPr>
          <w:p w14:paraId="60DCD20C" w14:textId="77777777" w:rsidR="007500EB" w:rsidRPr="00D800F0" w:rsidRDefault="007500EB" w:rsidP="007F228F">
            <w:pPr>
              <w:rPr>
                <w:rFonts w:ascii="Arial" w:eastAsia="Times New Roman" w:hAnsi="Arial" w:cs="Arial"/>
                <w:sz w:val="24"/>
                <w:szCs w:val="24"/>
              </w:rPr>
            </w:pPr>
            <w:r w:rsidRPr="00D800F0">
              <w:rPr>
                <w:rFonts w:ascii="Arial" w:hAnsi="Arial" w:cs="Arial"/>
              </w:rPr>
              <w:t>0.0000</w:t>
            </w:r>
          </w:p>
        </w:tc>
        <w:tc>
          <w:tcPr>
            <w:tcW w:w="1797" w:type="dxa"/>
          </w:tcPr>
          <w:p w14:paraId="1272FE23" w14:textId="77777777" w:rsidR="007500EB" w:rsidRPr="00D800F0" w:rsidRDefault="007500EB" w:rsidP="007F228F">
            <w:pPr>
              <w:rPr>
                <w:rFonts w:ascii="Arial" w:eastAsia="Times New Roman" w:hAnsi="Arial" w:cs="Arial"/>
                <w:sz w:val="24"/>
                <w:szCs w:val="24"/>
              </w:rPr>
            </w:pPr>
            <w:r w:rsidRPr="00D800F0">
              <w:rPr>
                <w:rFonts w:ascii="Arial" w:hAnsi="Arial" w:cs="Arial"/>
              </w:rPr>
              <w:t>18 ppm</w:t>
            </w:r>
          </w:p>
        </w:tc>
        <w:tc>
          <w:tcPr>
            <w:tcW w:w="1841" w:type="dxa"/>
          </w:tcPr>
          <w:p w14:paraId="608C4E25" w14:textId="77777777" w:rsidR="007500EB" w:rsidRPr="00D800F0" w:rsidRDefault="007500EB" w:rsidP="007F228F">
            <w:pPr>
              <w:rPr>
                <w:rFonts w:ascii="Arial" w:eastAsia="Times New Roman" w:hAnsi="Arial" w:cs="Arial"/>
                <w:sz w:val="24"/>
                <w:szCs w:val="24"/>
              </w:rPr>
            </w:pPr>
            <w:r w:rsidRPr="00D800F0">
              <w:rPr>
                <w:rFonts w:ascii="Arial" w:hAnsi="Arial" w:cs="Arial"/>
              </w:rPr>
              <w:t>0.0000</w:t>
            </w:r>
          </w:p>
        </w:tc>
        <w:tc>
          <w:tcPr>
            <w:tcW w:w="1939" w:type="dxa"/>
          </w:tcPr>
          <w:p w14:paraId="019EBB96" w14:textId="77777777" w:rsidR="007500EB" w:rsidRPr="00D800F0" w:rsidRDefault="007500EB" w:rsidP="007F228F">
            <w:pPr>
              <w:rPr>
                <w:rFonts w:ascii="Arial" w:eastAsia="Times New Roman" w:hAnsi="Arial" w:cs="Arial"/>
                <w:sz w:val="24"/>
                <w:szCs w:val="24"/>
              </w:rPr>
            </w:pPr>
            <w:r w:rsidRPr="00D800F0">
              <w:rPr>
                <w:rFonts w:ascii="Arial" w:hAnsi="Arial" w:cs="Arial"/>
              </w:rPr>
              <w:t>0.0010</w:t>
            </w:r>
          </w:p>
        </w:tc>
      </w:tr>
      <w:tr w:rsidR="007500EB" w:rsidRPr="00D800F0" w14:paraId="46202D76" w14:textId="77777777" w:rsidTr="009967A4">
        <w:trPr>
          <w:cnfStyle w:val="000000100000" w:firstRow="0" w:lastRow="0" w:firstColumn="0" w:lastColumn="0" w:oddVBand="0" w:evenVBand="0" w:oddHBand="1" w:evenHBand="0" w:firstRowFirstColumn="0" w:firstRowLastColumn="0" w:lastRowFirstColumn="0" w:lastRowLastColumn="0"/>
          <w:trHeight w:val="144"/>
        </w:trPr>
        <w:tc>
          <w:tcPr>
            <w:tcW w:w="1997" w:type="dxa"/>
          </w:tcPr>
          <w:p w14:paraId="278B67F9" w14:textId="77777777" w:rsidR="007500EB" w:rsidRPr="00D800F0" w:rsidRDefault="007500EB" w:rsidP="007F228F">
            <w:pPr>
              <w:rPr>
                <w:rFonts w:ascii="Arial" w:eastAsia="Times New Roman" w:hAnsi="Arial" w:cs="Arial"/>
                <w:sz w:val="24"/>
                <w:szCs w:val="24"/>
              </w:rPr>
            </w:pPr>
            <w:r w:rsidRPr="00D800F0">
              <w:rPr>
                <w:rFonts w:ascii="Arial" w:hAnsi="Arial" w:cs="Arial"/>
              </w:rPr>
              <w:t>Total</w:t>
            </w:r>
          </w:p>
        </w:tc>
        <w:tc>
          <w:tcPr>
            <w:tcW w:w="1776" w:type="dxa"/>
          </w:tcPr>
          <w:p w14:paraId="2A207048" w14:textId="77777777" w:rsidR="007500EB" w:rsidRPr="00D800F0" w:rsidRDefault="007500EB" w:rsidP="007F228F">
            <w:pPr>
              <w:rPr>
                <w:rFonts w:ascii="Arial" w:eastAsia="Times New Roman" w:hAnsi="Arial" w:cs="Arial"/>
                <w:sz w:val="24"/>
                <w:szCs w:val="24"/>
              </w:rPr>
            </w:pPr>
            <w:r w:rsidRPr="00D800F0">
              <w:rPr>
                <w:rFonts w:ascii="Arial" w:hAnsi="Arial" w:cs="Arial"/>
              </w:rPr>
              <w:t>1.0000</w:t>
            </w:r>
          </w:p>
        </w:tc>
        <w:tc>
          <w:tcPr>
            <w:tcW w:w="1797" w:type="dxa"/>
          </w:tcPr>
          <w:p w14:paraId="3980562B" w14:textId="77777777" w:rsidR="007500EB" w:rsidRPr="00D800F0" w:rsidRDefault="007500EB" w:rsidP="007F228F">
            <w:pPr>
              <w:rPr>
                <w:rFonts w:ascii="Arial" w:eastAsia="Times New Roman" w:hAnsi="Arial" w:cs="Arial"/>
                <w:sz w:val="24"/>
                <w:szCs w:val="24"/>
              </w:rPr>
            </w:pPr>
            <w:r w:rsidRPr="00D800F0">
              <w:rPr>
                <w:rFonts w:ascii="Arial" w:hAnsi="Arial" w:cs="Arial"/>
              </w:rPr>
              <w:t>1.0000</w:t>
            </w:r>
          </w:p>
        </w:tc>
        <w:tc>
          <w:tcPr>
            <w:tcW w:w="1841" w:type="dxa"/>
          </w:tcPr>
          <w:p w14:paraId="0B768B90" w14:textId="77777777" w:rsidR="007500EB" w:rsidRPr="00D800F0" w:rsidRDefault="007500EB" w:rsidP="007F228F">
            <w:pPr>
              <w:rPr>
                <w:rFonts w:ascii="Arial" w:eastAsia="Times New Roman" w:hAnsi="Arial" w:cs="Arial"/>
                <w:sz w:val="24"/>
                <w:szCs w:val="24"/>
              </w:rPr>
            </w:pPr>
            <w:r w:rsidRPr="00D800F0">
              <w:rPr>
                <w:rFonts w:ascii="Arial" w:hAnsi="Arial" w:cs="Arial"/>
              </w:rPr>
              <w:t>1.0000</w:t>
            </w:r>
          </w:p>
        </w:tc>
        <w:tc>
          <w:tcPr>
            <w:tcW w:w="1939" w:type="dxa"/>
          </w:tcPr>
          <w:p w14:paraId="5DD4C1EB" w14:textId="77777777" w:rsidR="007500EB" w:rsidRPr="00D800F0" w:rsidRDefault="007500EB" w:rsidP="007F228F">
            <w:pPr>
              <w:rPr>
                <w:rFonts w:ascii="Arial" w:eastAsia="Times New Roman" w:hAnsi="Arial" w:cs="Arial"/>
                <w:sz w:val="24"/>
                <w:szCs w:val="24"/>
              </w:rPr>
            </w:pPr>
            <w:r w:rsidRPr="00D800F0">
              <w:rPr>
                <w:rFonts w:ascii="Arial" w:hAnsi="Arial" w:cs="Arial"/>
              </w:rPr>
              <w:t>1.0000</w:t>
            </w:r>
          </w:p>
        </w:tc>
      </w:tr>
      <w:tr w:rsidR="00F959C1" w:rsidRPr="00D800F0" w14:paraId="63B3FDB7" w14:textId="77777777" w:rsidTr="008500AF">
        <w:trPr>
          <w:trHeight w:val="144"/>
        </w:trPr>
        <w:tc>
          <w:tcPr>
            <w:tcW w:w="9350" w:type="dxa"/>
            <w:gridSpan w:val="5"/>
          </w:tcPr>
          <w:p w14:paraId="726A8135" w14:textId="6A7F8859" w:rsidR="00F959C1" w:rsidRPr="00D800F0" w:rsidRDefault="00F959C1" w:rsidP="00F959C1">
            <w:pPr>
              <w:rPr>
                <w:rFonts w:ascii="Arial" w:hAnsi="Arial" w:cs="Arial"/>
              </w:rPr>
            </w:pPr>
            <w:r w:rsidRPr="00D800F0">
              <w:rPr>
                <w:rFonts w:ascii="Arial" w:hAnsi="Arial" w:cs="Arial"/>
                <w:vertAlign w:val="superscript"/>
              </w:rPr>
              <w:t xml:space="preserve">a </w:t>
            </w:r>
            <w:r w:rsidRPr="00D800F0">
              <w:rPr>
                <w:rFonts w:ascii="Arial" w:hAnsi="Arial" w:cs="Arial"/>
              </w:rPr>
              <w:t xml:space="preserve">Surplus steam is only available for conventional SMR. In SMR CCS, the surplus steam is used to heat the amine regenerator </w:t>
            </w:r>
            <w:r w:rsidR="00AC7231" w:rsidRPr="00D800F0">
              <w:rPr>
                <w:rFonts w:ascii="Arial" w:hAnsi="Arial" w:cs="Arial"/>
              </w:rPr>
              <w:t>(Lewis et al., 2021)</w:t>
            </w:r>
            <w:r w:rsidRPr="00D800F0">
              <w:rPr>
                <w:rFonts w:ascii="Arial" w:hAnsi="Arial" w:cs="Arial"/>
              </w:rPr>
              <w:t>.</w:t>
            </w:r>
          </w:p>
          <w:p w14:paraId="56750E57" w14:textId="71BEABC0" w:rsidR="00F959C1" w:rsidRPr="00D800F0" w:rsidRDefault="00F959C1" w:rsidP="00F959C1">
            <w:pPr>
              <w:spacing w:after="160" w:line="259" w:lineRule="auto"/>
              <w:rPr>
                <w:rFonts w:ascii="Arial" w:hAnsi="Arial" w:cs="Arial"/>
              </w:rPr>
            </w:pPr>
            <w:r w:rsidRPr="00D800F0">
              <w:rPr>
                <w:rFonts w:ascii="Arial" w:hAnsi="Arial" w:cs="Arial"/>
                <w:vertAlign w:val="superscript"/>
              </w:rPr>
              <w:t xml:space="preserve">b </w:t>
            </w:r>
            <w:r w:rsidRPr="00D800F0">
              <w:rPr>
                <w:rFonts w:ascii="Arial" w:hAnsi="Arial" w:cs="Arial"/>
              </w:rPr>
              <w:t>Oxygen and Argon are neglected from this study’s mass balance because these species are within specification, and their effects on HB catalyst deactivation are accounted for through the variable O&amp;M from (Brasington et al., 2011).</w:t>
            </w:r>
          </w:p>
        </w:tc>
      </w:tr>
    </w:tbl>
    <w:p w14:paraId="55894B36" w14:textId="77777777" w:rsidR="00F959C1" w:rsidRPr="00D800F0" w:rsidRDefault="00F959C1" w:rsidP="007C177A">
      <w:pPr>
        <w:rPr>
          <w:rFonts w:ascii="Arial" w:hAnsi="Arial" w:cs="Arial"/>
        </w:rPr>
      </w:pPr>
    </w:p>
    <w:p w14:paraId="00000011" w14:textId="3ACFEB79" w:rsidR="00DA5071" w:rsidRPr="00D800F0" w:rsidRDefault="00000000">
      <w:pPr>
        <w:pStyle w:val="Heading3"/>
        <w:rPr>
          <w:rFonts w:ascii="Arial" w:hAnsi="Arial" w:cs="Arial"/>
        </w:rPr>
      </w:pPr>
      <w:bookmarkStart w:id="12" w:name="_Toc148296615"/>
      <w:r w:rsidRPr="00D800F0">
        <w:rPr>
          <w:rFonts w:ascii="Arial" w:hAnsi="Arial" w:cs="Arial"/>
        </w:rPr>
        <w:t>AP BH2S</w:t>
      </w:r>
      <w:bookmarkEnd w:id="12"/>
    </w:p>
    <w:p w14:paraId="00000012" w14:textId="02AAACC2" w:rsidR="00DA5071" w:rsidRPr="00D800F0" w:rsidRDefault="00671D55" w:rsidP="003449BF">
      <w:pPr>
        <w:rPr>
          <w:rFonts w:ascii="Arial" w:hAnsi="Arial" w:cs="Arial"/>
        </w:rPr>
      </w:pPr>
      <w:r w:rsidRPr="00D800F0">
        <w:rPr>
          <w:rFonts w:ascii="Arial" w:hAnsi="Arial" w:cs="Arial"/>
        </w:rPr>
        <w:t>The AP BH2S unit was obtained from (Spath et al.</w:t>
      </w:r>
      <w:r w:rsidR="008155BD" w:rsidRPr="00D800F0">
        <w:rPr>
          <w:rFonts w:ascii="Arial" w:hAnsi="Arial" w:cs="Arial"/>
        </w:rPr>
        <w:t>,</w:t>
      </w:r>
      <w:r w:rsidRPr="00D800F0">
        <w:rPr>
          <w:rFonts w:ascii="Arial" w:hAnsi="Arial" w:cs="Arial"/>
        </w:rPr>
        <w:t xml:space="preserve"> 2005</w:t>
      </w:r>
      <w:r w:rsidR="008155BD" w:rsidRPr="00D800F0">
        <w:rPr>
          <w:rFonts w:ascii="Arial" w:hAnsi="Arial" w:cs="Arial"/>
        </w:rPr>
        <w:t>) and</w:t>
      </w:r>
      <w:r w:rsidRPr="00D800F0">
        <w:rPr>
          <w:rFonts w:ascii="Arial" w:hAnsi="Arial" w:cs="Arial"/>
        </w:rPr>
        <w:t xml:space="preserve"> was combined with the inlet of the SMR-WGS hydrogen production process. Specifically, stream 327 of the current design for BH2S was combined with stream 3 of Case 1 of Lewis et al. (Lewis et al., 2022; Spath et al.</w:t>
      </w:r>
      <w:r w:rsidR="008155BD" w:rsidRPr="00D800F0">
        <w:rPr>
          <w:rFonts w:ascii="Arial" w:hAnsi="Arial" w:cs="Arial"/>
        </w:rPr>
        <w:t>,</w:t>
      </w:r>
      <w:r w:rsidRPr="00D800F0">
        <w:rPr>
          <w:rFonts w:ascii="Arial" w:hAnsi="Arial" w:cs="Arial"/>
        </w:rPr>
        <w:t xml:space="preserve"> 2005). </w:t>
      </w:r>
      <w:r w:rsidR="00D402D9" w:rsidRPr="00D800F0">
        <w:rPr>
          <w:rFonts w:ascii="Arial" w:hAnsi="Arial" w:cs="Arial"/>
          <w:highlight w:val="yellow"/>
        </w:rPr>
        <w:fldChar w:fldCharType="begin"/>
      </w:r>
      <w:r w:rsidR="00D402D9" w:rsidRPr="00D800F0">
        <w:rPr>
          <w:rFonts w:ascii="Arial" w:hAnsi="Arial" w:cs="Arial"/>
        </w:rPr>
        <w:instrText xml:space="preserve"> REF _Ref146714333 \h </w:instrText>
      </w:r>
      <w:r w:rsidR="00D800F0">
        <w:rPr>
          <w:rFonts w:ascii="Arial" w:hAnsi="Arial" w:cs="Arial"/>
          <w:highlight w:val="yellow"/>
        </w:rPr>
        <w:instrText xml:space="preserve"> \* MERGEFORMAT </w:instrText>
      </w:r>
      <w:r w:rsidR="00D402D9" w:rsidRPr="00D800F0">
        <w:rPr>
          <w:rFonts w:ascii="Arial" w:hAnsi="Arial" w:cs="Arial"/>
          <w:highlight w:val="yellow"/>
        </w:rPr>
      </w:r>
      <w:r w:rsidR="00D402D9" w:rsidRPr="00D800F0">
        <w:rPr>
          <w:rFonts w:ascii="Arial" w:hAnsi="Arial" w:cs="Arial"/>
          <w:highlight w:val="yellow"/>
        </w:rPr>
        <w:fldChar w:fldCharType="separate"/>
      </w:r>
      <w:r w:rsidR="00802EAA" w:rsidRPr="00D800F0">
        <w:rPr>
          <w:rFonts w:ascii="Arial" w:hAnsi="Arial" w:cs="Arial"/>
        </w:rPr>
        <w:t xml:space="preserve">Table </w:t>
      </w:r>
      <w:r w:rsidR="00802EAA" w:rsidRPr="00D800F0">
        <w:rPr>
          <w:rFonts w:ascii="Arial" w:hAnsi="Arial" w:cs="Arial"/>
          <w:noProof/>
        </w:rPr>
        <w:t>A</w:t>
      </w:r>
      <w:r w:rsidR="00802EAA" w:rsidRPr="00D800F0">
        <w:rPr>
          <w:rFonts w:ascii="Arial" w:hAnsi="Arial" w:cs="Arial"/>
        </w:rPr>
        <w:noBreakHyphen/>
      </w:r>
      <w:r w:rsidR="00802EAA" w:rsidRPr="00D800F0">
        <w:rPr>
          <w:rFonts w:ascii="Arial" w:hAnsi="Arial" w:cs="Arial"/>
          <w:noProof/>
        </w:rPr>
        <w:t>3</w:t>
      </w:r>
      <w:r w:rsidR="00D402D9" w:rsidRPr="00D800F0">
        <w:rPr>
          <w:rFonts w:ascii="Arial" w:hAnsi="Arial" w:cs="Arial"/>
          <w:highlight w:val="yellow"/>
        </w:rPr>
        <w:fldChar w:fldCharType="end"/>
      </w:r>
      <w:r w:rsidR="00D402D9" w:rsidRPr="00D800F0">
        <w:rPr>
          <w:rFonts w:ascii="Arial" w:hAnsi="Arial" w:cs="Arial"/>
        </w:rPr>
        <w:t xml:space="preserve"> </w:t>
      </w:r>
      <w:r w:rsidRPr="00D800F0">
        <w:rPr>
          <w:rFonts w:ascii="Arial" w:hAnsi="Arial" w:cs="Arial"/>
        </w:rPr>
        <w:t xml:space="preserve">includes the difference in the stream compositions before entering the SMR reactor. The SMR reactors for both studies are modeled as equilibrium reactors with similar </w:t>
      </w:r>
      <w:r w:rsidRPr="00D800F0">
        <w:rPr>
          <w:rFonts w:ascii="Arial" w:hAnsi="Arial" w:cs="Arial"/>
        </w:rPr>
        <w:lastRenderedPageBreak/>
        <w:t>design parameters (S/C ratio, pressure, and temperature) (Lewis et al., 2022; Spath et al.</w:t>
      </w:r>
      <w:r w:rsidR="008155BD" w:rsidRPr="00D800F0">
        <w:rPr>
          <w:rFonts w:ascii="Arial" w:hAnsi="Arial" w:cs="Arial"/>
        </w:rPr>
        <w:t>,</w:t>
      </w:r>
      <w:r w:rsidRPr="00D800F0">
        <w:rPr>
          <w:rFonts w:ascii="Arial" w:hAnsi="Arial" w:cs="Arial"/>
        </w:rPr>
        <w:t xml:space="preserve"> 2005). Hence, for the BH2S scenario, we assume that the SMR outlet composition, temperature, and pressure differences are negligible for this techno-economic analysis. Given this assumption, we assume the process equipment before the SMR reactor comes from (Spath et al., 2005). After the SMR reactor, we assume the equipment from (Lewis et al., 2022) is used. To ascertain the amount of biomass required to fulfill the hydrogen production of the SMR process in (Lewis et al., 2022), we use the hydrogen yield from dry biomass </w:t>
      </w:r>
      <w:r w:rsidR="00B1060A" w:rsidRPr="00D800F0">
        <w:rPr>
          <w:rFonts w:ascii="Arial" w:hAnsi="Arial" w:cs="Arial"/>
        </w:rPr>
        <w:t xml:space="preserve">by </w:t>
      </w:r>
      <w:r w:rsidRPr="00D800F0">
        <w:rPr>
          <w:rFonts w:ascii="Arial" w:hAnsi="Arial" w:cs="Arial"/>
        </w:rPr>
        <w:t>(Spath et al., 2005).</w:t>
      </w:r>
    </w:p>
    <w:tbl>
      <w:tblPr>
        <w:tblW w:w="9360" w:type="dxa"/>
        <w:tblLayout w:type="fixed"/>
        <w:tblLook w:val="0600" w:firstRow="0" w:lastRow="0" w:firstColumn="0" w:lastColumn="0" w:noHBand="1" w:noVBand="1"/>
      </w:tblPr>
      <w:tblGrid>
        <w:gridCol w:w="8505"/>
        <w:gridCol w:w="855"/>
      </w:tblGrid>
      <w:tr w:rsidR="00AB49EF" w:rsidRPr="00D800F0" w14:paraId="49820661" w14:textId="77777777" w:rsidTr="003B5CEF">
        <w:trPr>
          <w:cantSplit/>
        </w:trPr>
        <w:tc>
          <w:tcPr>
            <w:tcW w:w="8505" w:type="dxa"/>
            <w:shd w:val="clear" w:color="auto" w:fill="auto"/>
            <w:tcMar>
              <w:top w:w="100" w:type="dxa"/>
              <w:left w:w="100" w:type="dxa"/>
              <w:bottom w:w="100" w:type="dxa"/>
              <w:right w:w="100" w:type="dxa"/>
            </w:tcMar>
            <w:vAlign w:val="center"/>
          </w:tcPr>
          <w:p w14:paraId="09A85509" w14:textId="2B0593F7" w:rsidR="00AB49EF" w:rsidRPr="00D800F0" w:rsidRDefault="00000000" w:rsidP="003B5CEF">
            <w:pPr>
              <w:jc w:val="center"/>
              <w:rPr>
                <w:rFonts w:ascii="Arial" w:eastAsia="Cambria Math" w:hAnsi="Arial" w:cs="Arial"/>
              </w:rPr>
            </w:pPr>
            <m:oMathPara>
              <m:oMath>
                <m:sSubSup>
                  <m:sSubSupPr>
                    <m:ctrlPr>
                      <w:rPr>
                        <w:rFonts w:ascii="Cambria Math" w:eastAsia="Cambria Math" w:hAnsi="Cambria Math" w:cs="Arial"/>
                        <w:b/>
                        <w:i/>
                      </w:rPr>
                    </m:ctrlPr>
                  </m:sSubSupPr>
                  <m:e>
                    <m:r>
                      <m:rPr>
                        <m:sty m:val="bi"/>
                      </m:rPr>
                      <w:rPr>
                        <w:rFonts w:ascii="Cambria Math" w:eastAsia="Cambria Math" w:hAnsi="Cambria Math" w:cs="Arial"/>
                      </w:rPr>
                      <m:t>M</m:t>
                    </m:r>
                  </m:e>
                  <m:sub>
                    <m:r>
                      <m:rPr>
                        <m:sty m:val="bi"/>
                      </m:rPr>
                      <w:rPr>
                        <w:rFonts w:ascii="Cambria Math" w:eastAsia="Cambria Math" w:hAnsi="Cambria Math" w:cs="Arial"/>
                      </w:rPr>
                      <m:t>biomass</m:t>
                    </m:r>
                  </m:sub>
                  <m:sup>
                    <m:r>
                      <m:rPr>
                        <m:sty m:val="bi"/>
                      </m:rPr>
                      <w:rPr>
                        <w:rFonts w:ascii="Cambria Math" w:eastAsia="Cambria Math" w:hAnsi="Cambria Math" w:cs="Arial"/>
                      </w:rPr>
                      <m:t>.</m:t>
                    </m:r>
                  </m:sup>
                </m:sSubSup>
                <m:r>
                  <m:rPr>
                    <m:sty m:val="bi"/>
                  </m:rPr>
                  <w:rPr>
                    <w:rFonts w:ascii="Cambria Math" w:eastAsia="Cambria Math" w:hAnsi="Cambria Math" w:cs="Arial"/>
                  </w:rPr>
                  <m:t>= </m:t>
                </m:r>
                <m:sSubSup>
                  <m:sSubSupPr>
                    <m:ctrlPr>
                      <w:rPr>
                        <w:rFonts w:ascii="Cambria Math" w:eastAsia="Cambria Math" w:hAnsi="Cambria Math" w:cs="Arial"/>
                        <w:b/>
                        <w:bCs/>
                        <w:i/>
                      </w:rPr>
                    </m:ctrlPr>
                  </m:sSubSupPr>
                  <m:e>
                    <m:r>
                      <m:rPr>
                        <m:sty m:val="bi"/>
                      </m:rPr>
                      <w:rPr>
                        <w:rFonts w:ascii="Cambria Math" w:eastAsia="Cambria Math" w:hAnsi="Cambria Math" w:cs="Arial"/>
                      </w:rPr>
                      <m:t>M</m:t>
                    </m:r>
                  </m:e>
                  <m:sub>
                    <m:sSub>
                      <m:sSubPr>
                        <m:ctrlPr>
                          <w:rPr>
                            <w:rFonts w:ascii="Cambria Math" w:eastAsia="Cambria Math" w:hAnsi="Cambria Math" w:cs="Arial"/>
                            <w:b/>
                            <w:bCs/>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sub>
                  <m:sup>
                    <m:r>
                      <m:rPr>
                        <m:sty m:val="bi"/>
                      </m:rPr>
                      <w:rPr>
                        <w:rFonts w:ascii="Cambria Math" w:eastAsia="Cambria Math" w:hAnsi="Cambria Math" w:cs="Arial"/>
                      </w:rPr>
                      <m:t>.</m:t>
                    </m:r>
                  </m:sup>
                </m:sSubSup>
                <m:r>
                  <m:rPr>
                    <m:sty m:val="bi"/>
                  </m:rPr>
                  <w:rPr>
                    <w:rFonts w:ascii="Cambria Math" w:eastAsia="Cambria Math" w:hAnsi="Cambria Math" w:cs="Arial"/>
                  </w:rPr>
                  <m:t>*1000*</m:t>
                </m:r>
                <m:f>
                  <m:fPr>
                    <m:ctrlPr>
                      <w:rPr>
                        <w:rFonts w:ascii="Cambria Math" w:eastAsia="Cambria Math" w:hAnsi="Cambria Math" w:cs="Arial"/>
                        <w:b/>
                        <w:bCs/>
                        <w:i/>
                      </w:rPr>
                    </m:ctrlPr>
                  </m:fPr>
                  <m:num>
                    <m:r>
                      <m:rPr>
                        <m:sty m:val="bi"/>
                      </m:rPr>
                      <w:rPr>
                        <w:rFonts w:ascii="Cambria Math" w:eastAsia="Cambria Math" w:hAnsi="Cambria Math" w:cs="Arial"/>
                      </w:rPr>
                      <m:t>1</m:t>
                    </m:r>
                  </m:num>
                  <m:den>
                    <m:sSub>
                      <m:sSubPr>
                        <m:ctrlPr>
                          <w:rPr>
                            <w:rFonts w:ascii="Cambria Math" w:eastAsia="Cambria Math" w:hAnsi="Cambria Math" w:cs="Arial"/>
                            <w:b/>
                            <w:bCs/>
                            <w:i/>
                          </w:rPr>
                        </m:ctrlPr>
                      </m:sSubPr>
                      <m:e>
                        <m:r>
                          <m:rPr>
                            <m:sty m:val="bi"/>
                          </m:rPr>
                          <w:rPr>
                            <w:rFonts w:ascii="Cambria Math" w:eastAsia="Cambria Math" w:hAnsi="Cambria Math" w:cs="Arial"/>
                          </w:rPr>
                          <m:t>Y</m:t>
                        </m:r>
                      </m:e>
                      <m:sub>
                        <m:r>
                          <m:rPr>
                            <m:sty m:val="bi"/>
                          </m:rPr>
                          <w:rPr>
                            <w:rFonts w:ascii="Cambria Math" w:eastAsia="Cambria Math" w:hAnsi="Cambria Math" w:cs="Arial"/>
                          </w:rPr>
                          <m:t>biomass</m:t>
                        </m:r>
                      </m:sub>
                    </m:sSub>
                  </m:den>
                </m:f>
              </m:oMath>
            </m:oMathPara>
          </w:p>
        </w:tc>
        <w:tc>
          <w:tcPr>
            <w:tcW w:w="855" w:type="dxa"/>
            <w:shd w:val="clear" w:color="auto" w:fill="auto"/>
            <w:tcMar>
              <w:top w:w="100" w:type="dxa"/>
              <w:left w:w="100" w:type="dxa"/>
              <w:bottom w:w="100" w:type="dxa"/>
              <w:right w:w="100" w:type="dxa"/>
            </w:tcMar>
            <w:vAlign w:val="center"/>
          </w:tcPr>
          <w:p w14:paraId="19D2DD57" w14:textId="7A908BF4" w:rsidR="00AB49EF" w:rsidRPr="00D800F0" w:rsidRDefault="00AB49EF" w:rsidP="00AB49EF">
            <w:pPr>
              <w:pStyle w:val="Caption"/>
              <w:spacing w:after="0"/>
              <w:rPr>
                <w:rFonts w:ascii="Arial" w:eastAsia="Cambria Math"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00802EAA" w:rsidRPr="00D800F0">
              <w:rPr>
                <w:rFonts w:ascii="Arial" w:eastAsia="Cambria Math" w:hAnsi="Arial" w:cs="Arial"/>
                <w:noProof/>
              </w:rPr>
              <w:t>A</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00802EAA" w:rsidRPr="00D800F0">
              <w:rPr>
                <w:rFonts w:ascii="Arial" w:eastAsia="Cambria Math" w:hAnsi="Arial" w:cs="Arial"/>
                <w:noProof/>
              </w:rPr>
              <w:t>1</w:t>
            </w:r>
            <w:r w:rsidRPr="00D800F0">
              <w:rPr>
                <w:rFonts w:ascii="Arial" w:eastAsia="Cambria Math" w:hAnsi="Arial" w:cs="Arial"/>
              </w:rPr>
              <w:fldChar w:fldCharType="end"/>
            </w:r>
            <w:r w:rsidRPr="00D800F0">
              <w:rPr>
                <w:rFonts w:ascii="Arial" w:eastAsia="Cambria Math" w:hAnsi="Arial" w:cs="Arial"/>
              </w:rPr>
              <w:t>)</w:t>
            </w:r>
          </w:p>
        </w:tc>
      </w:tr>
    </w:tbl>
    <w:p w14:paraId="2C85D876" w14:textId="05EBCD2C" w:rsidR="00A24EB3" w:rsidRPr="00D800F0" w:rsidRDefault="00A24EB3" w:rsidP="00A24EB3">
      <w:pPr>
        <w:pStyle w:val="Caption"/>
        <w:rPr>
          <w:rFonts w:ascii="Arial" w:hAnsi="Arial" w:cs="Arial"/>
        </w:rPr>
      </w:pPr>
      <w:bookmarkStart w:id="13" w:name="_Ref146714333"/>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00802EAA" w:rsidRPr="00D800F0">
        <w:rPr>
          <w:rFonts w:ascii="Arial" w:hAnsi="Arial" w:cs="Arial"/>
          <w:noProof/>
        </w:rPr>
        <w:t>A</w:t>
      </w:r>
      <w:r w:rsidRPr="00D800F0">
        <w:rPr>
          <w:rFonts w:ascii="Arial" w:hAnsi="Arial" w:cs="Arial"/>
          <w:noProof/>
        </w:rPr>
        <w:fldChar w:fldCharType="end"/>
      </w:r>
      <w:r w:rsidR="00EA7652"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00802EAA" w:rsidRPr="00D800F0">
        <w:rPr>
          <w:rFonts w:ascii="Arial" w:hAnsi="Arial" w:cs="Arial"/>
          <w:noProof/>
        </w:rPr>
        <w:t>3</w:t>
      </w:r>
      <w:r w:rsidRPr="00D800F0">
        <w:rPr>
          <w:rFonts w:ascii="Arial" w:hAnsi="Arial" w:cs="Arial"/>
          <w:noProof/>
        </w:rPr>
        <w:fldChar w:fldCharType="end"/>
      </w:r>
      <w:bookmarkEnd w:id="13"/>
      <w:r w:rsidRPr="00D800F0">
        <w:rPr>
          <w:rFonts w:ascii="Arial" w:hAnsi="Arial" w:cs="Arial"/>
        </w:rPr>
        <w:t>: BH2S composition difference between Lewis et al. (2022) and Spath et al. (2005) at the SMR inlet.</w:t>
      </w:r>
    </w:p>
    <w:tbl>
      <w:tblPr>
        <w:tblStyle w:val="GridTable2"/>
        <w:tblW w:w="9350" w:type="dxa"/>
        <w:tblLayout w:type="fixed"/>
        <w:tblLook w:val="0400" w:firstRow="0" w:lastRow="0" w:firstColumn="0" w:lastColumn="0" w:noHBand="0" w:noVBand="1"/>
      </w:tblPr>
      <w:tblGrid>
        <w:gridCol w:w="3116"/>
        <w:gridCol w:w="3117"/>
        <w:gridCol w:w="3117"/>
      </w:tblGrid>
      <w:tr w:rsidR="003C61D3" w:rsidRPr="00D800F0" w14:paraId="66FB5FED" w14:textId="77777777" w:rsidTr="009967A4">
        <w:trPr>
          <w:cnfStyle w:val="000000100000" w:firstRow="0" w:lastRow="0" w:firstColumn="0" w:lastColumn="0" w:oddVBand="0" w:evenVBand="0" w:oddHBand="1" w:evenHBand="0" w:firstRowFirstColumn="0" w:firstRowLastColumn="0" w:lastRowFirstColumn="0" w:lastRowLastColumn="0"/>
        </w:trPr>
        <w:tc>
          <w:tcPr>
            <w:tcW w:w="3116" w:type="dxa"/>
          </w:tcPr>
          <w:p w14:paraId="0FAFA8A4" w14:textId="77777777" w:rsidR="003C61D3" w:rsidRPr="00D800F0" w:rsidRDefault="003C61D3" w:rsidP="007F228F">
            <w:pPr>
              <w:rPr>
                <w:rFonts w:ascii="Arial" w:hAnsi="Arial" w:cs="Arial"/>
                <w:b/>
                <w:bCs/>
              </w:rPr>
            </w:pPr>
            <w:r w:rsidRPr="00D800F0">
              <w:rPr>
                <w:rFonts w:ascii="Arial" w:hAnsi="Arial" w:cs="Arial"/>
                <w:b/>
                <w:bCs/>
              </w:rPr>
              <w:t>Species</w:t>
            </w:r>
          </w:p>
        </w:tc>
        <w:tc>
          <w:tcPr>
            <w:tcW w:w="3117" w:type="dxa"/>
          </w:tcPr>
          <w:p w14:paraId="60E54CF4" w14:textId="77777777" w:rsidR="003C61D3" w:rsidRPr="00D800F0" w:rsidRDefault="003C61D3" w:rsidP="007F228F">
            <w:pPr>
              <w:rPr>
                <w:rFonts w:ascii="Arial" w:hAnsi="Arial" w:cs="Arial"/>
                <w:b/>
                <w:bCs/>
              </w:rPr>
            </w:pPr>
            <w:r w:rsidRPr="00D800F0">
              <w:rPr>
                <w:rFonts w:ascii="Arial" w:hAnsi="Arial" w:cs="Arial"/>
                <w:b/>
                <w:bCs/>
              </w:rPr>
              <w:t>X</w:t>
            </w:r>
            <w:r w:rsidRPr="00D800F0">
              <w:rPr>
                <w:rFonts w:ascii="Arial" w:hAnsi="Arial" w:cs="Arial"/>
                <w:b/>
                <w:bCs/>
                <w:vertAlign w:val="subscript"/>
              </w:rPr>
              <w:t>i</w:t>
            </w:r>
            <w:r w:rsidRPr="00D800F0">
              <w:rPr>
                <w:rFonts w:ascii="Arial" w:hAnsi="Arial" w:cs="Arial"/>
                <w:b/>
                <w:bCs/>
              </w:rPr>
              <w:t xml:space="preserve"> AP</w:t>
            </w:r>
          </w:p>
        </w:tc>
        <w:tc>
          <w:tcPr>
            <w:tcW w:w="3117" w:type="dxa"/>
          </w:tcPr>
          <w:p w14:paraId="57C62161" w14:textId="77777777" w:rsidR="003C61D3" w:rsidRPr="00D800F0" w:rsidRDefault="003C61D3" w:rsidP="007F228F">
            <w:pPr>
              <w:rPr>
                <w:rFonts w:ascii="Arial" w:hAnsi="Arial" w:cs="Arial"/>
                <w:b/>
                <w:bCs/>
              </w:rPr>
            </w:pPr>
            <w:r w:rsidRPr="00D800F0">
              <w:rPr>
                <w:rFonts w:ascii="Arial" w:hAnsi="Arial" w:cs="Arial"/>
                <w:b/>
                <w:bCs/>
              </w:rPr>
              <w:t>X</w:t>
            </w:r>
            <w:r w:rsidRPr="00D800F0">
              <w:rPr>
                <w:rFonts w:ascii="Arial" w:hAnsi="Arial" w:cs="Arial"/>
                <w:b/>
                <w:bCs/>
                <w:vertAlign w:val="subscript"/>
              </w:rPr>
              <w:t>i</w:t>
            </w:r>
            <w:r w:rsidRPr="00D800F0">
              <w:rPr>
                <w:rFonts w:ascii="Arial" w:hAnsi="Arial" w:cs="Arial"/>
                <w:b/>
                <w:bCs/>
              </w:rPr>
              <w:t xml:space="preserve"> AP BH2S</w:t>
            </w:r>
          </w:p>
        </w:tc>
      </w:tr>
      <w:tr w:rsidR="003C61D3" w:rsidRPr="00D800F0" w14:paraId="36741C70" w14:textId="77777777" w:rsidTr="009967A4">
        <w:tc>
          <w:tcPr>
            <w:tcW w:w="3116" w:type="dxa"/>
          </w:tcPr>
          <w:p w14:paraId="549BF132" w14:textId="77777777" w:rsidR="003C61D3" w:rsidRPr="00D800F0" w:rsidRDefault="003C61D3" w:rsidP="007F228F">
            <w:pPr>
              <w:rPr>
                <w:rFonts w:ascii="Arial" w:hAnsi="Arial" w:cs="Arial"/>
              </w:rPr>
            </w:pPr>
            <w:r w:rsidRPr="00D800F0">
              <w:rPr>
                <w:rFonts w:ascii="Arial" w:hAnsi="Arial" w:cs="Arial"/>
              </w:rPr>
              <w:t>H2O</w:t>
            </w:r>
          </w:p>
        </w:tc>
        <w:tc>
          <w:tcPr>
            <w:tcW w:w="3117" w:type="dxa"/>
          </w:tcPr>
          <w:p w14:paraId="7D80ECCB" w14:textId="77777777" w:rsidR="003C61D3" w:rsidRPr="00D800F0" w:rsidRDefault="003C61D3" w:rsidP="007F228F">
            <w:pPr>
              <w:rPr>
                <w:rFonts w:ascii="Arial" w:hAnsi="Arial" w:cs="Arial"/>
              </w:rPr>
            </w:pPr>
            <w:r w:rsidRPr="00D800F0">
              <w:rPr>
                <w:rFonts w:ascii="Arial" w:hAnsi="Arial" w:cs="Arial"/>
              </w:rPr>
              <w:t>67.6%</w:t>
            </w:r>
          </w:p>
        </w:tc>
        <w:tc>
          <w:tcPr>
            <w:tcW w:w="3117" w:type="dxa"/>
          </w:tcPr>
          <w:p w14:paraId="56091B96" w14:textId="77777777" w:rsidR="003C61D3" w:rsidRPr="00D800F0" w:rsidRDefault="003C61D3" w:rsidP="007F228F">
            <w:pPr>
              <w:rPr>
                <w:rFonts w:ascii="Arial" w:hAnsi="Arial" w:cs="Arial"/>
              </w:rPr>
            </w:pPr>
            <w:r w:rsidRPr="00D800F0">
              <w:rPr>
                <w:rFonts w:ascii="Arial" w:hAnsi="Arial" w:cs="Arial"/>
              </w:rPr>
              <w:t>40%</w:t>
            </w:r>
          </w:p>
        </w:tc>
      </w:tr>
      <w:tr w:rsidR="003C61D3" w:rsidRPr="00D800F0" w14:paraId="7AAEF424" w14:textId="77777777" w:rsidTr="009967A4">
        <w:trPr>
          <w:cnfStyle w:val="000000100000" w:firstRow="0" w:lastRow="0" w:firstColumn="0" w:lastColumn="0" w:oddVBand="0" w:evenVBand="0" w:oddHBand="1" w:evenHBand="0" w:firstRowFirstColumn="0" w:firstRowLastColumn="0" w:lastRowFirstColumn="0" w:lastRowLastColumn="0"/>
        </w:trPr>
        <w:tc>
          <w:tcPr>
            <w:tcW w:w="3116" w:type="dxa"/>
          </w:tcPr>
          <w:p w14:paraId="1F73D173" w14:textId="77777777" w:rsidR="003C61D3" w:rsidRPr="00D800F0" w:rsidRDefault="003C61D3" w:rsidP="007F228F">
            <w:pPr>
              <w:rPr>
                <w:rFonts w:ascii="Arial" w:hAnsi="Arial" w:cs="Arial"/>
              </w:rPr>
            </w:pPr>
            <w:r w:rsidRPr="00D800F0">
              <w:rPr>
                <w:rFonts w:ascii="Arial" w:hAnsi="Arial" w:cs="Arial"/>
              </w:rPr>
              <w:t>H2</w:t>
            </w:r>
          </w:p>
        </w:tc>
        <w:tc>
          <w:tcPr>
            <w:tcW w:w="3117" w:type="dxa"/>
          </w:tcPr>
          <w:p w14:paraId="3936FDAC" w14:textId="77777777" w:rsidR="003C61D3" w:rsidRPr="00D800F0" w:rsidRDefault="003C61D3" w:rsidP="007F228F">
            <w:pPr>
              <w:rPr>
                <w:rFonts w:ascii="Arial" w:hAnsi="Arial" w:cs="Arial"/>
              </w:rPr>
            </w:pPr>
            <w:r w:rsidRPr="00D800F0">
              <w:rPr>
                <w:rFonts w:ascii="Arial" w:hAnsi="Arial" w:cs="Arial"/>
              </w:rPr>
              <w:t>4.3%</w:t>
            </w:r>
          </w:p>
        </w:tc>
        <w:tc>
          <w:tcPr>
            <w:tcW w:w="3117" w:type="dxa"/>
          </w:tcPr>
          <w:p w14:paraId="0DAE819C" w14:textId="77777777" w:rsidR="003C61D3" w:rsidRPr="00D800F0" w:rsidRDefault="003C61D3" w:rsidP="007F228F">
            <w:pPr>
              <w:rPr>
                <w:rFonts w:ascii="Arial" w:hAnsi="Arial" w:cs="Arial"/>
              </w:rPr>
            </w:pPr>
            <w:r w:rsidRPr="00D800F0">
              <w:rPr>
                <w:rFonts w:ascii="Arial" w:hAnsi="Arial" w:cs="Arial"/>
              </w:rPr>
              <w:t>32%</w:t>
            </w:r>
          </w:p>
        </w:tc>
      </w:tr>
      <w:tr w:rsidR="003C61D3" w:rsidRPr="00D800F0" w14:paraId="599BF343" w14:textId="77777777" w:rsidTr="009967A4">
        <w:tc>
          <w:tcPr>
            <w:tcW w:w="3116" w:type="dxa"/>
          </w:tcPr>
          <w:p w14:paraId="24D90B4E" w14:textId="77777777" w:rsidR="003C61D3" w:rsidRPr="00D800F0" w:rsidRDefault="003C61D3" w:rsidP="007F228F">
            <w:pPr>
              <w:rPr>
                <w:rFonts w:ascii="Arial" w:hAnsi="Arial" w:cs="Arial"/>
              </w:rPr>
            </w:pPr>
            <w:r w:rsidRPr="00D800F0">
              <w:rPr>
                <w:rFonts w:ascii="Arial" w:hAnsi="Arial" w:cs="Arial"/>
              </w:rPr>
              <w:t>CO</w:t>
            </w:r>
          </w:p>
        </w:tc>
        <w:tc>
          <w:tcPr>
            <w:tcW w:w="3117" w:type="dxa"/>
          </w:tcPr>
          <w:p w14:paraId="35937D7D" w14:textId="77777777" w:rsidR="003C61D3" w:rsidRPr="00D800F0" w:rsidRDefault="003C61D3" w:rsidP="007F228F">
            <w:pPr>
              <w:rPr>
                <w:rFonts w:ascii="Arial" w:hAnsi="Arial" w:cs="Arial"/>
              </w:rPr>
            </w:pPr>
            <w:r w:rsidRPr="00D800F0">
              <w:rPr>
                <w:rFonts w:ascii="Arial" w:hAnsi="Arial" w:cs="Arial"/>
              </w:rPr>
              <w:t>0%</w:t>
            </w:r>
          </w:p>
        </w:tc>
        <w:tc>
          <w:tcPr>
            <w:tcW w:w="3117" w:type="dxa"/>
          </w:tcPr>
          <w:p w14:paraId="7641E931" w14:textId="77777777" w:rsidR="003C61D3" w:rsidRPr="00D800F0" w:rsidRDefault="003C61D3" w:rsidP="007F228F">
            <w:pPr>
              <w:rPr>
                <w:rFonts w:ascii="Arial" w:hAnsi="Arial" w:cs="Arial"/>
              </w:rPr>
            </w:pPr>
            <w:r w:rsidRPr="00D800F0">
              <w:rPr>
                <w:rFonts w:ascii="Arial" w:hAnsi="Arial" w:cs="Arial"/>
              </w:rPr>
              <w:t>19%</w:t>
            </w:r>
          </w:p>
        </w:tc>
      </w:tr>
      <w:tr w:rsidR="003C61D3" w:rsidRPr="00D800F0" w14:paraId="69B835BF" w14:textId="77777777" w:rsidTr="009967A4">
        <w:trPr>
          <w:cnfStyle w:val="000000100000" w:firstRow="0" w:lastRow="0" w:firstColumn="0" w:lastColumn="0" w:oddVBand="0" w:evenVBand="0" w:oddHBand="1" w:evenHBand="0" w:firstRowFirstColumn="0" w:firstRowLastColumn="0" w:lastRowFirstColumn="0" w:lastRowLastColumn="0"/>
        </w:trPr>
        <w:tc>
          <w:tcPr>
            <w:tcW w:w="3116" w:type="dxa"/>
          </w:tcPr>
          <w:p w14:paraId="4ED031EC" w14:textId="77777777" w:rsidR="003C61D3" w:rsidRPr="00D800F0" w:rsidRDefault="003C61D3" w:rsidP="007F228F">
            <w:pPr>
              <w:rPr>
                <w:rFonts w:ascii="Arial" w:hAnsi="Arial" w:cs="Arial"/>
              </w:rPr>
            </w:pPr>
            <w:r w:rsidRPr="00D800F0">
              <w:rPr>
                <w:rFonts w:ascii="Arial" w:hAnsi="Arial" w:cs="Arial"/>
              </w:rPr>
              <w:t>CO2</w:t>
            </w:r>
          </w:p>
        </w:tc>
        <w:tc>
          <w:tcPr>
            <w:tcW w:w="3117" w:type="dxa"/>
          </w:tcPr>
          <w:p w14:paraId="241809BF" w14:textId="77777777" w:rsidR="003C61D3" w:rsidRPr="00D800F0" w:rsidRDefault="003C61D3" w:rsidP="007F228F">
            <w:pPr>
              <w:rPr>
                <w:rFonts w:ascii="Arial" w:hAnsi="Arial" w:cs="Arial"/>
              </w:rPr>
            </w:pPr>
            <w:r w:rsidRPr="00D800F0">
              <w:rPr>
                <w:rFonts w:ascii="Arial" w:hAnsi="Arial" w:cs="Arial"/>
              </w:rPr>
              <w:t>1.7%</w:t>
            </w:r>
          </w:p>
        </w:tc>
        <w:tc>
          <w:tcPr>
            <w:tcW w:w="3117" w:type="dxa"/>
          </w:tcPr>
          <w:p w14:paraId="493AA427" w14:textId="77777777" w:rsidR="003C61D3" w:rsidRPr="00D800F0" w:rsidRDefault="003C61D3" w:rsidP="007F228F">
            <w:pPr>
              <w:rPr>
                <w:rFonts w:ascii="Arial" w:hAnsi="Arial" w:cs="Arial"/>
              </w:rPr>
            </w:pPr>
            <w:r w:rsidRPr="00D800F0">
              <w:rPr>
                <w:rFonts w:ascii="Arial" w:hAnsi="Arial" w:cs="Arial"/>
              </w:rPr>
              <w:t>8%</w:t>
            </w:r>
          </w:p>
        </w:tc>
      </w:tr>
      <w:tr w:rsidR="003C61D3" w:rsidRPr="00D800F0" w14:paraId="66D9B542" w14:textId="77777777" w:rsidTr="009967A4">
        <w:tc>
          <w:tcPr>
            <w:tcW w:w="3116" w:type="dxa"/>
          </w:tcPr>
          <w:p w14:paraId="5AF2C876" w14:textId="77777777" w:rsidR="003C61D3" w:rsidRPr="00D800F0" w:rsidRDefault="003C61D3" w:rsidP="007F228F">
            <w:pPr>
              <w:rPr>
                <w:rFonts w:ascii="Arial" w:hAnsi="Arial" w:cs="Arial"/>
              </w:rPr>
            </w:pPr>
            <w:r w:rsidRPr="00D800F0">
              <w:rPr>
                <w:rFonts w:ascii="Arial" w:hAnsi="Arial" w:cs="Arial"/>
              </w:rPr>
              <w:t>CH4</w:t>
            </w:r>
          </w:p>
        </w:tc>
        <w:tc>
          <w:tcPr>
            <w:tcW w:w="3117" w:type="dxa"/>
          </w:tcPr>
          <w:p w14:paraId="2F013C2C" w14:textId="77777777" w:rsidR="003C61D3" w:rsidRPr="00D800F0" w:rsidRDefault="003C61D3" w:rsidP="007F228F">
            <w:pPr>
              <w:rPr>
                <w:rFonts w:ascii="Arial" w:hAnsi="Arial" w:cs="Arial"/>
              </w:rPr>
            </w:pPr>
            <w:r w:rsidRPr="00D800F0">
              <w:rPr>
                <w:rFonts w:ascii="Arial" w:hAnsi="Arial" w:cs="Arial"/>
              </w:rPr>
              <w:t>25.8%</w:t>
            </w:r>
          </w:p>
        </w:tc>
        <w:tc>
          <w:tcPr>
            <w:tcW w:w="3117" w:type="dxa"/>
          </w:tcPr>
          <w:p w14:paraId="5D6E2DA3" w14:textId="77777777" w:rsidR="003C61D3" w:rsidRPr="00D800F0" w:rsidRDefault="003C61D3" w:rsidP="007F228F">
            <w:pPr>
              <w:rPr>
                <w:rFonts w:ascii="Arial" w:hAnsi="Arial" w:cs="Arial"/>
              </w:rPr>
            </w:pPr>
            <w:r w:rsidRPr="00D800F0">
              <w:rPr>
                <w:rFonts w:ascii="Arial" w:hAnsi="Arial" w:cs="Arial"/>
              </w:rPr>
              <w:t>1%</w:t>
            </w:r>
          </w:p>
        </w:tc>
      </w:tr>
    </w:tbl>
    <w:p w14:paraId="00000013" w14:textId="77777777" w:rsidR="00DA5071" w:rsidRPr="00D800F0" w:rsidRDefault="00DA5071">
      <w:pPr>
        <w:rPr>
          <w:rFonts w:ascii="Arial" w:hAnsi="Arial" w:cs="Arial"/>
        </w:rPr>
      </w:pPr>
    </w:p>
    <w:p w14:paraId="00000014" w14:textId="77777777" w:rsidR="00DA5071" w:rsidRPr="00D800F0" w:rsidRDefault="00000000">
      <w:pPr>
        <w:pStyle w:val="Heading3"/>
        <w:rPr>
          <w:rFonts w:ascii="Arial" w:hAnsi="Arial" w:cs="Arial"/>
        </w:rPr>
      </w:pPr>
      <w:bookmarkStart w:id="14" w:name="_Toc148296616"/>
      <w:r w:rsidRPr="00D800F0">
        <w:rPr>
          <w:rFonts w:ascii="Arial" w:hAnsi="Arial" w:cs="Arial"/>
        </w:rPr>
        <w:t>AP AEC</w:t>
      </w:r>
      <w:bookmarkEnd w:id="14"/>
    </w:p>
    <w:p w14:paraId="756E3ED3" w14:textId="314E24ED" w:rsidR="00BD6A64" w:rsidRPr="00D800F0" w:rsidRDefault="00671D55">
      <w:pPr>
        <w:rPr>
          <w:rFonts w:ascii="Arial" w:hAnsi="Arial" w:cs="Arial"/>
        </w:rPr>
      </w:pPr>
      <w:r w:rsidRPr="00D800F0">
        <w:rPr>
          <w:rFonts w:ascii="Arial" w:hAnsi="Arial" w:cs="Arial"/>
        </w:rPr>
        <w:t xml:space="preserve">For the electrolysis system, the CAPEX and OPEX values were obtained from </w:t>
      </w:r>
      <w:r w:rsidR="0001079C" w:rsidRPr="00D800F0">
        <w:rPr>
          <w:rFonts w:ascii="Arial" w:hAnsi="Arial" w:cs="Arial"/>
        </w:rPr>
        <w:t xml:space="preserve">the </w:t>
      </w:r>
      <w:r w:rsidRPr="00D800F0">
        <w:rPr>
          <w:rFonts w:ascii="Arial" w:hAnsi="Arial" w:cs="Arial"/>
        </w:rPr>
        <w:t xml:space="preserve">literature (Bohm et al., 2020; Schmidt et al., 2017). A robust study by Sousa and colleagues estimated the outlet conditions of the electrolysis hydrogen stream – their values were used to model the inlet in the compression module (Sousa et al., 2022). We acknowledge that Sousa and colleagues </w:t>
      </w:r>
      <w:r w:rsidR="0001079C" w:rsidRPr="00D800F0">
        <w:rPr>
          <w:rFonts w:ascii="Arial" w:hAnsi="Arial" w:cs="Arial"/>
        </w:rPr>
        <w:t>prefer PEM</w:t>
      </w:r>
      <w:r w:rsidR="008155BD" w:rsidRPr="00D800F0">
        <w:rPr>
          <w:rFonts w:ascii="Arial" w:hAnsi="Arial" w:cs="Arial"/>
        </w:rPr>
        <w:t>, not AEC,</w:t>
      </w:r>
      <w:r w:rsidR="0001079C" w:rsidRPr="00D800F0">
        <w:rPr>
          <w:rFonts w:ascii="Arial" w:hAnsi="Arial" w:cs="Arial"/>
        </w:rPr>
        <w:t xml:space="preserve"> as the technology option</w:t>
      </w:r>
      <w:r w:rsidRPr="00D800F0">
        <w:rPr>
          <w:rFonts w:ascii="Arial" w:hAnsi="Arial" w:cs="Arial"/>
        </w:rPr>
        <w:t xml:space="preserve">. Nevertheless, this assumption is appropriate. The outlet hydrogen stream out of PEM and AEC are found under similar conditions. </w:t>
      </w:r>
      <w:r w:rsidR="0001079C" w:rsidRPr="00D800F0">
        <w:rPr>
          <w:rFonts w:ascii="Arial" w:hAnsi="Arial" w:cs="Arial"/>
        </w:rPr>
        <w:t>Schmidt</w:t>
      </w:r>
      <w:r w:rsidRPr="00D800F0">
        <w:rPr>
          <w:rFonts w:ascii="Arial" w:hAnsi="Arial" w:cs="Arial"/>
        </w:rPr>
        <w:t xml:space="preserve"> et al. (2017) indicate that AEC H2 outlet conditions are less than 30 bar and 60-80C. Sousa et al.’s H2 outlet conditions are 29 bar and 65C</w:t>
      </w:r>
      <w:r w:rsidR="0001079C" w:rsidRPr="00D800F0">
        <w:rPr>
          <w:rFonts w:ascii="Arial" w:hAnsi="Arial" w:cs="Arial"/>
        </w:rPr>
        <w:t>; therefore,</w:t>
      </w:r>
      <w:r w:rsidRPr="00D800F0">
        <w:rPr>
          <w:rFonts w:ascii="Arial" w:hAnsi="Arial" w:cs="Arial"/>
        </w:rPr>
        <w:t xml:space="preserve"> this assumption holds (Sousa et al., 2022). </w:t>
      </w:r>
      <w:r w:rsidR="00BD6A64" w:rsidRPr="00D800F0">
        <w:rPr>
          <w:rFonts w:ascii="Arial" w:hAnsi="Arial" w:cs="Arial"/>
        </w:rPr>
        <w:t xml:space="preserve">Hence, the only difference between AEC and PEM using our modeling methodology would be the cost per kW of capacity, energy efficiency, and </w:t>
      </w:r>
      <w:r w:rsidR="00990AC0" w:rsidRPr="00D800F0">
        <w:rPr>
          <w:rFonts w:ascii="Arial" w:hAnsi="Arial" w:cs="Arial"/>
        </w:rPr>
        <w:t>cell lifetime. We tune these parameters to AP AEC</w:t>
      </w:r>
      <w:r w:rsidR="00B2135F" w:rsidRPr="00D800F0">
        <w:rPr>
          <w:rFonts w:ascii="Arial" w:hAnsi="Arial" w:cs="Arial"/>
        </w:rPr>
        <w:t xml:space="preserve"> (see </w:t>
      </w:r>
      <w:r w:rsidR="008155BD" w:rsidRPr="00D800F0">
        <w:rPr>
          <w:rFonts w:ascii="Arial" w:hAnsi="Arial" w:cs="Arial"/>
        </w:rPr>
        <w:t>SI</w:t>
      </w:r>
      <w:r w:rsidR="00B2135F" w:rsidRPr="00D800F0">
        <w:rPr>
          <w:rFonts w:ascii="Arial" w:hAnsi="Arial" w:cs="Arial"/>
        </w:rPr>
        <w:t xml:space="preserve"> C)</w:t>
      </w:r>
      <w:r w:rsidR="00990AC0" w:rsidRPr="00D800F0">
        <w:rPr>
          <w:rFonts w:ascii="Arial" w:hAnsi="Arial" w:cs="Arial"/>
        </w:rPr>
        <w:t xml:space="preserve">.  </w:t>
      </w:r>
    </w:p>
    <w:p w14:paraId="00000016" w14:textId="472DB974" w:rsidR="00DA5071" w:rsidRPr="00D800F0" w:rsidRDefault="00000000">
      <w:pPr>
        <w:rPr>
          <w:rFonts w:ascii="Arial" w:hAnsi="Arial" w:cs="Arial"/>
        </w:rPr>
      </w:pPr>
      <w:r w:rsidRPr="00D800F0">
        <w:rPr>
          <w:rFonts w:ascii="Arial" w:hAnsi="Arial" w:cs="Arial"/>
        </w:rPr>
        <w:tab/>
        <w:t>The water content in the hydrogen stream is separated by a separator block on ASPEN and is cost-estimated as a cylindrical vertical vessel (2m diameter by 10m length) using the heuristics proposed by Turton et al. (2018)</w:t>
      </w:r>
      <w:r w:rsidR="00A326C2" w:rsidRPr="00D800F0">
        <w:rPr>
          <w:rFonts w:ascii="Arial" w:hAnsi="Arial" w:cs="Arial"/>
        </w:rPr>
        <w:t xml:space="preserve"> (see Excel file named </w:t>
      </w:r>
      <w:r w:rsidR="00E54676" w:rsidRPr="00D800F0">
        <w:rPr>
          <w:rFonts w:ascii="Arial" w:hAnsi="Arial" w:cs="Arial"/>
          <w:b/>
          <w:bCs/>
          <w:i/>
          <w:iCs/>
        </w:rPr>
        <w:t>AP_NE_Equipment_List.xlsx</w:t>
      </w:r>
      <w:r w:rsidR="00A326C2" w:rsidRPr="00D800F0">
        <w:rPr>
          <w:rFonts w:ascii="Arial" w:hAnsi="Arial" w:cs="Arial"/>
        </w:rPr>
        <w:t>)</w:t>
      </w:r>
      <w:r w:rsidRPr="00D800F0">
        <w:rPr>
          <w:rFonts w:ascii="Arial" w:hAnsi="Arial" w:cs="Arial"/>
        </w:rPr>
        <w:t>.</w:t>
      </w:r>
    </w:p>
    <w:p w14:paraId="0FA1F127" w14:textId="77777777" w:rsidR="00A24EB3" w:rsidRPr="00D800F0" w:rsidRDefault="003C61D3" w:rsidP="00A24EB3">
      <w:pPr>
        <w:keepNext/>
        <w:rPr>
          <w:rFonts w:ascii="Arial" w:hAnsi="Arial" w:cs="Arial"/>
        </w:rPr>
      </w:pPr>
      <w:r w:rsidRPr="00D800F0">
        <w:rPr>
          <w:rFonts w:ascii="Arial" w:hAnsi="Arial" w:cs="Arial"/>
          <w:noProof/>
        </w:rPr>
        <w:lastRenderedPageBreak/>
        <w:drawing>
          <wp:inline distT="0" distB="0" distL="0" distR="0" wp14:anchorId="390DC0A8" wp14:editId="5FA4B2B7">
            <wp:extent cx="5943600" cy="2280920"/>
            <wp:effectExtent l="0" t="0" r="0" b="0"/>
            <wp:docPr id="1383207314" name="image1.png" descr="A diagram of a mach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diagram of a machine&#10;&#10;Description automatically generated"/>
                    <pic:cNvPicPr preferRelativeResize="0"/>
                  </pic:nvPicPr>
                  <pic:blipFill>
                    <a:blip r:embed="rId12"/>
                    <a:srcRect/>
                    <a:stretch>
                      <a:fillRect/>
                    </a:stretch>
                  </pic:blipFill>
                  <pic:spPr>
                    <a:xfrm>
                      <a:off x="0" y="0"/>
                      <a:ext cx="5943600" cy="2280920"/>
                    </a:xfrm>
                    <a:prstGeom prst="rect">
                      <a:avLst/>
                    </a:prstGeom>
                    <a:ln/>
                  </pic:spPr>
                </pic:pic>
              </a:graphicData>
            </a:graphic>
          </wp:inline>
        </w:drawing>
      </w:r>
    </w:p>
    <w:p w14:paraId="0BDEDC94" w14:textId="616034C1" w:rsidR="003C61D3" w:rsidRPr="00D800F0" w:rsidRDefault="00A24EB3" w:rsidP="00A24EB3">
      <w:pPr>
        <w:pStyle w:val="Caption"/>
        <w:rPr>
          <w:rFonts w:ascii="Arial" w:hAnsi="Arial" w:cs="Arial"/>
        </w:rPr>
      </w:pPr>
      <w:r w:rsidRPr="00D800F0">
        <w:rPr>
          <w:rFonts w:ascii="Arial" w:hAnsi="Arial" w:cs="Arial"/>
        </w:rPr>
        <w:t xml:space="preserve">Figure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00802EAA" w:rsidRPr="00D800F0">
        <w:rPr>
          <w:rFonts w:ascii="Arial" w:hAnsi="Arial" w:cs="Arial"/>
          <w:noProof/>
        </w:rPr>
        <w:t>A</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Figure \* ARABIC \s 2 </w:instrText>
      </w:r>
      <w:r w:rsidRPr="00D800F0">
        <w:rPr>
          <w:rFonts w:ascii="Arial" w:hAnsi="Arial" w:cs="Arial"/>
        </w:rPr>
        <w:fldChar w:fldCharType="separate"/>
      </w:r>
      <w:r w:rsidR="00802EAA" w:rsidRPr="00D800F0">
        <w:rPr>
          <w:rFonts w:ascii="Arial" w:hAnsi="Arial" w:cs="Arial"/>
          <w:noProof/>
        </w:rPr>
        <w:t>3</w:t>
      </w:r>
      <w:r w:rsidRPr="00D800F0">
        <w:rPr>
          <w:rFonts w:ascii="Arial" w:hAnsi="Arial" w:cs="Arial"/>
          <w:noProof/>
        </w:rPr>
        <w:fldChar w:fldCharType="end"/>
      </w:r>
      <w:r w:rsidRPr="00D800F0">
        <w:rPr>
          <w:rFonts w:ascii="Arial" w:hAnsi="Arial" w:cs="Arial"/>
        </w:rPr>
        <w:t>: Compression system for AP AEC.</w:t>
      </w:r>
    </w:p>
    <w:p w14:paraId="32A39C83" w14:textId="228AFA2E" w:rsidR="00A24EB3" w:rsidRPr="00D800F0" w:rsidRDefault="00A24EB3" w:rsidP="00A24EB3">
      <w:pPr>
        <w:pStyle w:val="Caption"/>
        <w:rPr>
          <w:rFonts w:ascii="Arial" w:hAnsi="Arial" w:cs="Arial"/>
        </w:rPr>
      </w:pPr>
      <w:bookmarkStart w:id="15" w:name="_Ref146714279"/>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00802EAA" w:rsidRPr="00D800F0">
        <w:rPr>
          <w:rFonts w:ascii="Arial" w:hAnsi="Arial" w:cs="Arial"/>
          <w:noProof/>
        </w:rPr>
        <w:t>A</w:t>
      </w:r>
      <w:r w:rsidRPr="00D800F0">
        <w:rPr>
          <w:rFonts w:ascii="Arial" w:hAnsi="Arial" w:cs="Arial"/>
          <w:noProof/>
        </w:rPr>
        <w:fldChar w:fldCharType="end"/>
      </w:r>
      <w:r w:rsidR="00EA7652"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00802EAA" w:rsidRPr="00D800F0">
        <w:rPr>
          <w:rFonts w:ascii="Arial" w:hAnsi="Arial" w:cs="Arial"/>
          <w:noProof/>
        </w:rPr>
        <w:t>4</w:t>
      </w:r>
      <w:r w:rsidRPr="00D800F0">
        <w:rPr>
          <w:rFonts w:ascii="Arial" w:hAnsi="Arial" w:cs="Arial"/>
          <w:noProof/>
        </w:rPr>
        <w:fldChar w:fldCharType="end"/>
      </w:r>
      <w:bookmarkEnd w:id="15"/>
      <w:r w:rsidRPr="00D800F0">
        <w:rPr>
          <w:rFonts w:ascii="Arial" w:hAnsi="Arial" w:cs="Arial"/>
        </w:rPr>
        <w:t>: Stream information for make-up compression and steam turbine for AP SMR, AP CCS, and AP BH2S.</w:t>
      </w:r>
    </w:p>
    <w:tbl>
      <w:tblPr>
        <w:tblStyle w:val="GridTable2"/>
        <w:tblW w:w="8449" w:type="dxa"/>
        <w:tblLayout w:type="fixed"/>
        <w:tblLook w:val="0400" w:firstRow="0" w:lastRow="0" w:firstColumn="0" w:lastColumn="0" w:noHBand="0" w:noVBand="1"/>
      </w:tblPr>
      <w:tblGrid>
        <w:gridCol w:w="1710"/>
        <w:gridCol w:w="990"/>
        <w:gridCol w:w="990"/>
        <w:gridCol w:w="1260"/>
        <w:gridCol w:w="1015"/>
        <w:gridCol w:w="1242"/>
        <w:gridCol w:w="1242"/>
      </w:tblGrid>
      <w:tr w:rsidR="003C61D3" w:rsidRPr="00D800F0" w14:paraId="4BF9AA1C" w14:textId="77777777" w:rsidTr="009967A4">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4C132242" w14:textId="77777777" w:rsidR="003C61D3" w:rsidRPr="00D800F0" w:rsidRDefault="003C61D3" w:rsidP="007F228F">
            <w:pPr>
              <w:rPr>
                <w:rFonts w:ascii="Arial" w:eastAsia="Times New Roman" w:hAnsi="Arial" w:cs="Arial"/>
                <w:sz w:val="24"/>
                <w:szCs w:val="24"/>
              </w:rPr>
            </w:pPr>
            <w:r w:rsidRPr="00D800F0">
              <w:rPr>
                <w:rFonts w:ascii="Arial" w:hAnsi="Arial" w:cs="Arial"/>
              </w:rPr>
              <w:t> </w:t>
            </w:r>
          </w:p>
        </w:tc>
        <w:tc>
          <w:tcPr>
            <w:tcW w:w="990" w:type="dxa"/>
          </w:tcPr>
          <w:p w14:paraId="151626A8" w14:textId="77777777" w:rsidR="003C61D3" w:rsidRPr="00D800F0" w:rsidRDefault="003C61D3" w:rsidP="007F228F">
            <w:pPr>
              <w:rPr>
                <w:rFonts w:ascii="Arial" w:eastAsia="Times New Roman" w:hAnsi="Arial" w:cs="Arial"/>
                <w:b/>
                <w:bCs/>
                <w:sz w:val="24"/>
                <w:szCs w:val="24"/>
              </w:rPr>
            </w:pPr>
            <w:r w:rsidRPr="00D800F0">
              <w:rPr>
                <w:rFonts w:ascii="Arial" w:hAnsi="Arial" w:cs="Arial"/>
                <w:b/>
                <w:bCs/>
              </w:rPr>
              <w:t>H2FEED</w:t>
            </w:r>
          </w:p>
        </w:tc>
        <w:tc>
          <w:tcPr>
            <w:tcW w:w="990" w:type="dxa"/>
          </w:tcPr>
          <w:p w14:paraId="0DD5A4FF" w14:textId="77777777" w:rsidR="003C61D3" w:rsidRPr="00D800F0" w:rsidRDefault="003C61D3" w:rsidP="007F228F">
            <w:pPr>
              <w:rPr>
                <w:rFonts w:ascii="Arial" w:eastAsia="Times New Roman" w:hAnsi="Arial" w:cs="Arial"/>
                <w:b/>
                <w:bCs/>
                <w:sz w:val="24"/>
                <w:szCs w:val="24"/>
              </w:rPr>
            </w:pPr>
            <w:r w:rsidRPr="00D800F0">
              <w:rPr>
                <w:rFonts w:ascii="Arial" w:hAnsi="Arial" w:cs="Arial"/>
                <w:b/>
                <w:bCs/>
              </w:rPr>
              <w:t>N2FEED</w:t>
            </w:r>
          </w:p>
        </w:tc>
        <w:tc>
          <w:tcPr>
            <w:tcW w:w="1260" w:type="dxa"/>
          </w:tcPr>
          <w:p w14:paraId="58277352" w14:textId="77777777" w:rsidR="003C61D3" w:rsidRPr="00D800F0" w:rsidRDefault="003C61D3" w:rsidP="007F228F">
            <w:pPr>
              <w:rPr>
                <w:rFonts w:ascii="Arial" w:eastAsia="Times New Roman" w:hAnsi="Arial" w:cs="Arial"/>
                <w:b/>
                <w:bCs/>
                <w:sz w:val="24"/>
                <w:szCs w:val="24"/>
              </w:rPr>
            </w:pPr>
            <w:r w:rsidRPr="00D800F0">
              <w:rPr>
                <w:rFonts w:ascii="Arial" w:hAnsi="Arial" w:cs="Arial"/>
                <w:b/>
                <w:bCs/>
              </w:rPr>
              <w:t>REACTANT</w:t>
            </w:r>
          </w:p>
        </w:tc>
        <w:tc>
          <w:tcPr>
            <w:tcW w:w="1015" w:type="dxa"/>
          </w:tcPr>
          <w:p w14:paraId="7C8002D4" w14:textId="77777777" w:rsidR="003C61D3" w:rsidRPr="00D800F0" w:rsidRDefault="003C61D3" w:rsidP="007F228F">
            <w:pPr>
              <w:rPr>
                <w:rFonts w:ascii="Arial" w:eastAsia="Times New Roman" w:hAnsi="Arial" w:cs="Arial"/>
                <w:b/>
                <w:bCs/>
                <w:sz w:val="24"/>
                <w:szCs w:val="24"/>
              </w:rPr>
            </w:pPr>
            <w:r w:rsidRPr="00D800F0">
              <w:rPr>
                <w:rFonts w:ascii="Arial" w:hAnsi="Arial" w:cs="Arial"/>
                <w:b/>
                <w:bCs/>
              </w:rPr>
              <w:t>STEAM IN</w:t>
            </w:r>
          </w:p>
        </w:tc>
        <w:tc>
          <w:tcPr>
            <w:tcW w:w="1242" w:type="dxa"/>
          </w:tcPr>
          <w:p w14:paraId="55F96A63" w14:textId="77777777" w:rsidR="003C61D3" w:rsidRPr="00D800F0" w:rsidRDefault="003C61D3" w:rsidP="007F228F">
            <w:pPr>
              <w:rPr>
                <w:rFonts w:ascii="Arial" w:eastAsia="Times New Roman" w:hAnsi="Arial" w:cs="Arial"/>
                <w:b/>
                <w:bCs/>
                <w:sz w:val="24"/>
                <w:szCs w:val="24"/>
              </w:rPr>
            </w:pPr>
            <w:r w:rsidRPr="00D800F0">
              <w:rPr>
                <w:rFonts w:ascii="Arial" w:hAnsi="Arial" w:cs="Arial"/>
                <w:b/>
                <w:bCs/>
              </w:rPr>
              <w:t>STEAM OUT</w:t>
            </w:r>
          </w:p>
        </w:tc>
        <w:tc>
          <w:tcPr>
            <w:tcW w:w="1242" w:type="dxa"/>
          </w:tcPr>
          <w:p w14:paraId="5C733D0B" w14:textId="77777777" w:rsidR="003C61D3" w:rsidRPr="00D800F0" w:rsidRDefault="003C61D3" w:rsidP="007F228F">
            <w:pPr>
              <w:rPr>
                <w:rFonts w:ascii="Arial" w:hAnsi="Arial" w:cs="Arial"/>
                <w:b/>
                <w:bCs/>
              </w:rPr>
            </w:pPr>
            <w:r w:rsidRPr="00D800F0">
              <w:rPr>
                <w:rFonts w:ascii="Arial" w:hAnsi="Arial" w:cs="Arial"/>
                <w:b/>
                <w:bCs/>
              </w:rPr>
              <w:t>NH3_OUT</w:t>
            </w:r>
          </w:p>
        </w:tc>
      </w:tr>
      <w:tr w:rsidR="003C61D3" w:rsidRPr="00D800F0" w14:paraId="17198551" w14:textId="77777777" w:rsidTr="009967A4">
        <w:trPr>
          <w:trHeight w:val="20"/>
        </w:trPr>
        <w:tc>
          <w:tcPr>
            <w:tcW w:w="1710" w:type="dxa"/>
          </w:tcPr>
          <w:p w14:paraId="43FFC937" w14:textId="77777777" w:rsidR="003C61D3" w:rsidRPr="00D800F0" w:rsidRDefault="003C61D3" w:rsidP="007F228F">
            <w:pPr>
              <w:rPr>
                <w:rFonts w:ascii="Arial" w:eastAsia="Times New Roman" w:hAnsi="Arial" w:cs="Arial"/>
                <w:sz w:val="24"/>
                <w:szCs w:val="24"/>
              </w:rPr>
            </w:pPr>
            <w:r w:rsidRPr="00D800F0">
              <w:rPr>
                <w:rFonts w:ascii="Arial" w:hAnsi="Arial" w:cs="Arial"/>
              </w:rPr>
              <w:t>Flowrate [TPD]</w:t>
            </w:r>
          </w:p>
        </w:tc>
        <w:tc>
          <w:tcPr>
            <w:tcW w:w="990" w:type="dxa"/>
          </w:tcPr>
          <w:p w14:paraId="46D7230A" w14:textId="77777777" w:rsidR="003C61D3" w:rsidRPr="00D800F0" w:rsidRDefault="003C61D3" w:rsidP="007F228F">
            <w:pPr>
              <w:rPr>
                <w:rFonts w:ascii="Arial" w:eastAsia="Times New Roman" w:hAnsi="Arial" w:cs="Arial"/>
                <w:sz w:val="24"/>
                <w:szCs w:val="24"/>
              </w:rPr>
            </w:pPr>
            <w:r w:rsidRPr="00D800F0">
              <w:rPr>
                <w:rFonts w:ascii="Arial" w:hAnsi="Arial" w:cs="Arial"/>
              </w:rPr>
              <w:t>483.0</w:t>
            </w:r>
          </w:p>
        </w:tc>
        <w:tc>
          <w:tcPr>
            <w:tcW w:w="990" w:type="dxa"/>
          </w:tcPr>
          <w:p w14:paraId="46680B3A" w14:textId="77777777" w:rsidR="003C61D3" w:rsidRPr="00D800F0" w:rsidRDefault="003C61D3" w:rsidP="007F228F">
            <w:pPr>
              <w:rPr>
                <w:rFonts w:ascii="Arial" w:eastAsia="Times New Roman" w:hAnsi="Arial" w:cs="Arial"/>
                <w:sz w:val="24"/>
                <w:szCs w:val="24"/>
              </w:rPr>
            </w:pPr>
            <w:r w:rsidRPr="00D800F0">
              <w:rPr>
                <w:rFonts w:ascii="Arial" w:hAnsi="Arial" w:cs="Arial"/>
              </w:rPr>
              <w:t>2237.0</w:t>
            </w:r>
          </w:p>
        </w:tc>
        <w:tc>
          <w:tcPr>
            <w:tcW w:w="1260" w:type="dxa"/>
          </w:tcPr>
          <w:p w14:paraId="20838CAF" w14:textId="77777777" w:rsidR="003C61D3" w:rsidRPr="00D800F0" w:rsidRDefault="003C61D3" w:rsidP="007F228F">
            <w:pPr>
              <w:rPr>
                <w:rFonts w:ascii="Arial" w:eastAsia="Times New Roman" w:hAnsi="Arial" w:cs="Arial"/>
                <w:sz w:val="24"/>
                <w:szCs w:val="24"/>
              </w:rPr>
            </w:pPr>
            <w:r w:rsidRPr="00D800F0">
              <w:rPr>
                <w:rFonts w:ascii="Arial" w:hAnsi="Arial" w:cs="Arial"/>
              </w:rPr>
              <w:t>2720.0</w:t>
            </w:r>
          </w:p>
        </w:tc>
        <w:tc>
          <w:tcPr>
            <w:tcW w:w="1015" w:type="dxa"/>
          </w:tcPr>
          <w:p w14:paraId="71B8DC87" w14:textId="77777777" w:rsidR="003C61D3" w:rsidRPr="00D800F0" w:rsidRDefault="003C61D3" w:rsidP="007F228F">
            <w:pPr>
              <w:rPr>
                <w:rFonts w:ascii="Arial" w:eastAsia="Times New Roman" w:hAnsi="Arial" w:cs="Arial"/>
                <w:sz w:val="24"/>
                <w:szCs w:val="24"/>
              </w:rPr>
            </w:pPr>
            <w:r w:rsidRPr="00D800F0">
              <w:rPr>
                <w:rFonts w:ascii="Arial" w:hAnsi="Arial" w:cs="Arial"/>
              </w:rPr>
              <w:t>18617.0</w:t>
            </w:r>
          </w:p>
        </w:tc>
        <w:tc>
          <w:tcPr>
            <w:tcW w:w="1242" w:type="dxa"/>
          </w:tcPr>
          <w:p w14:paraId="5BF127C5" w14:textId="77777777" w:rsidR="003C61D3" w:rsidRPr="00D800F0" w:rsidRDefault="003C61D3" w:rsidP="007F228F">
            <w:pPr>
              <w:rPr>
                <w:rFonts w:ascii="Arial" w:eastAsia="Times New Roman" w:hAnsi="Arial" w:cs="Arial"/>
                <w:sz w:val="24"/>
                <w:szCs w:val="24"/>
              </w:rPr>
            </w:pPr>
            <w:r w:rsidRPr="00D800F0">
              <w:rPr>
                <w:rFonts w:ascii="Arial" w:hAnsi="Arial" w:cs="Arial"/>
              </w:rPr>
              <w:t>18617.0</w:t>
            </w:r>
          </w:p>
        </w:tc>
        <w:tc>
          <w:tcPr>
            <w:tcW w:w="1242" w:type="dxa"/>
          </w:tcPr>
          <w:p w14:paraId="4D8F8CCD" w14:textId="77777777" w:rsidR="003C61D3" w:rsidRPr="00D800F0" w:rsidRDefault="003C61D3" w:rsidP="007F228F">
            <w:pPr>
              <w:rPr>
                <w:rFonts w:ascii="Arial" w:hAnsi="Arial" w:cs="Arial"/>
              </w:rPr>
            </w:pPr>
            <w:r w:rsidRPr="00D800F0">
              <w:rPr>
                <w:rFonts w:ascii="Arial" w:hAnsi="Arial" w:cs="Arial"/>
              </w:rPr>
              <w:t>2717</w:t>
            </w:r>
          </w:p>
        </w:tc>
      </w:tr>
      <w:tr w:rsidR="003C61D3" w:rsidRPr="00D800F0" w14:paraId="2B5438AC" w14:textId="77777777" w:rsidTr="009967A4">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491C3D08" w14:textId="77777777" w:rsidR="003C61D3" w:rsidRPr="00D800F0" w:rsidRDefault="003C61D3" w:rsidP="007F228F">
            <w:pPr>
              <w:rPr>
                <w:rFonts w:ascii="Arial" w:eastAsia="Times New Roman" w:hAnsi="Arial" w:cs="Arial"/>
                <w:sz w:val="24"/>
                <w:szCs w:val="24"/>
              </w:rPr>
            </w:pPr>
            <w:r w:rsidRPr="00D800F0">
              <w:rPr>
                <w:rFonts w:ascii="Arial" w:hAnsi="Arial" w:cs="Arial"/>
              </w:rPr>
              <w:t>Flowrate [kmol/hr]</w:t>
            </w:r>
          </w:p>
        </w:tc>
        <w:tc>
          <w:tcPr>
            <w:tcW w:w="990" w:type="dxa"/>
          </w:tcPr>
          <w:p w14:paraId="5B5E361E" w14:textId="77777777" w:rsidR="003C61D3" w:rsidRPr="00D800F0" w:rsidRDefault="003C61D3" w:rsidP="007F228F">
            <w:pPr>
              <w:rPr>
                <w:rFonts w:ascii="Arial" w:eastAsia="Times New Roman" w:hAnsi="Arial" w:cs="Arial"/>
                <w:sz w:val="24"/>
                <w:szCs w:val="24"/>
              </w:rPr>
            </w:pPr>
            <w:r w:rsidRPr="00D800F0">
              <w:rPr>
                <w:rFonts w:ascii="Arial" w:hAnsi="Arial" w:cs="Arial"/>
              </w:rPr>
              <w:t>9958.0</w:t>
            </w:r>
          </w:p>
        </w:tc>
        <w:tc>
          <w:tcPr>
            <w:tcW w:w="990" w:type="dxa"/>
          </w:tcPr>
          <w:p w14:paraId="484F1169" w14:textId="77777777" w:rsidR="003C61D3" w:rsidRPr="00D800F0" w:rsidRDefault="003C61D3" w:rsidP="007F228F">
            <w:pPr>
              <w:rPr>
                <w:rFonts w:ascii="Arial" w:eastAsia="Times New Roman" w:hAnsi="Arial" w:cs="Arial"/>
                <w:sz w:val="24"/>
                <w:szCs w:val="24"/>
              </w:rPr>
            </w:pPr>
            <w:r w:rsidRPr="00D800F0">
              <w:rPr>
                <w:rFonts w:ascii="Arial" w:hAnsi="Arial" w:cs="Arial"/>
              </w:rPr>
              <w:t>3327.3</w:t>
            </w:r>
          </w:p>
        </w:tc>
        <w:tc>
          <w:tcPr>
            <w:tcW w:w="1260" w:type="dxa"/>
          </w:tcPr>
          <w:p w14:paraId="1C5BD44B" w14:textId="77777777" w:rsidR="003C61D3" w:rsidRPr="00D800F0" w:rsidRDefault="003C61D3" w:rsidP="007F228F">
            <w:pPr>
              <w:rPr>
                <w:rFonts w:ascii="Arial" w:eastAsia="Times New Roman" w:hAnsi="Arial" w:cs="Arial"/>
                <w:sz w:val="24"/>
                <w:szCs w:val="24"/>
              </w:rPr>
            </w:pPr>
            <w:r w:rsidRPr="00D800F0">
              <w:rPr>
                <w:rFonts w:ascii="Arial" w:hAnsi="Arial" w:cs="Arial"/>
              </w:rPr>
              <w:t>13285.3</w:t>
            </w:r>
          </w:p>
        </w:tc>
        <w:tc>
          <w:tcPr>
            <w:tcW w:w="1015" w:type="dxa"/>
          </w:tcPr>
          <w:p w14:paraId="09EC1159" w14:textId="77777777" w:rsidR="003C61D3" w:rsidRPr="00D800F0" w:rsidRDefault="003C61D3" w:rsidP="007F228F">
            <w:pPr>
              <w:rPr>
                <w:rFonts w:ascii="Arial" w:eastAsia="Times New Roman" w:hAnsi="Arial" w:cs="Arial"/>
                <w:sz w:val="24"/>
                <w:szCs w:val="24"/>
              </w:rPr>
            </w:pPr>
            <w:r w:rsidRPr="00D800F0">
              <w:rPr>
                <w:rFonts w:ascii="Arial" w:hAnsi="Arial" w:cs="Arial"/>
              </w:rPr>
              <w:t>43058.4</w:t>
            </w:r>
          </w:p>
        </w:tc>
        <w:tc>
          <w:tcPr>
            <w:tcW w:w="1242" w:type="dxa"/>
          </w:tcPr>
          <w:p w14:paraId="40623D7A" w14:textId="77777777" w:rsidR="003C61D3" w:rsidRPr="00D800F0" w:rsidRDefault="003C61D3" w:rsidP="007F228F">
            <w:pPr>
              <w:rPr>
                <w:rFonts w:ascii="Arial" w:eastAsia="Times New Roman" w:hAnsi="Arial" w:cs="Arial"/>
                <w:sz w:val="24"/>
                <w:szCs w:val="24"/>
              </w:rPr>
            </w:pPr>
            <w:r w:rsidRPr="00D800F0">
              <w:rPr>
                <w:rFonts w:ascii="Arial" w:hAnsi="Arial" w:cs="Arial"/>
              </w:rPr>
              <w:t>43058.4</w:t>
            </w:r>
          </w:p>
        </w:tc>
        <w:tc>
          <w:tcPr>
            <w:tcW w:w="1242" w:type="dxa"/>
          </w:tcPr>
          <w:p w14:paraId="13DD495D" w14:textId="77777777" w:rsidR="003C61D3" w:rsidRPr="00D800F0" w:rsidRDefault="003C61D3" w:rsidP="007F228F">
            <w:pPr>
              <w:rPr>
                <w:rFonts w:ascii="Arial" w:hAnsi="Arial" w:cs="Arial"/>
              </w:rPr>
            </w:pPr>
            <w:r w:rsidRPr="00D800F0">
              <w:rPr>
                <w:rFonts w:ascii="Arial" w:hAnsi="Arial" w:cs="Arial"/>
              </w:rPr>
              <w:t>6647.4</w:t>
            </w:r>
          </w:p>
        </w:tc>
      </w:tr>
      <w:tr w:rsidR="003C61D3" w:rsidRPr="00D800F0" w14:paraId="11FA9E2E" w14:textId="77777777" w:rsidTr="009967A4">
        <w:trPr>
          <w:trHeight w:val="20"/>
        </w:trPr>
        <w:tc>
          <w:tcPr>
            <w:tcW w:w="1710" w:type="dxa"/>
          </w:tcPr>
          <w:p w14:paraId="590EE7B0" w14:textId="77777777" w:rsidR="003C61D3" w:rsidRPr="00D800F0" w:rsidRDefault="003C61D3" w:rsidP="007F228F">
            <w:pPr>
              <w:rPr>
                <w:rFonts w:ascii="Arial" w:eastAsia="Times New Roman" w:hAnsi="Arial" w:cs="Arial"/>
                <w:sz w:val="24"/>
                <w:szCs w:val="24"/>
              </w:rPr>
            </w:pPr>
            <w:r w:rsidRPr="00D800F0">
              <w:rPr>
                <w:rFonts w:ascii="Arial" w:hAnsi="Arial" w:cs="Arial"/>
              </w:rPr>
              <w:t>Temperature [C]</w:t>
            </w:r>
          </w:p>
        </w:tc>
        <w:tc>
          <w:tcPr>
            <w:tcW w:w="990" w:type="dxa"/>
          </w:tcPr>
          <w:p w14:paraId="2BDB3689" w14:textId="77777777" w:rsidR="003C61D3" w:rsidRPr="00D800F0" w:rsidRDefault="003C61D3" w:rsidP="007F228F">
            <w:pPr>
              <w:rPr>
                <w:rFonts w:ascii="Arial" w:eastAsia="Times New Roman" w:hAnsi="Arial" w:cs="Arial"/>
                <w:sz w:val="24"/>
                <w:szCs w:val="24"/>
              </w:rPr>
            </w:pPr>
            <w:r w:rsidRPr="00D800F0">
              <w:rPr>
                <w:rFonts w:ascii="Arial" w:hAnsi="Arial" w:cs="Arial"/>
              </w:rPr>
              <w:t>30</w:t>
            </w:r>
          </w:p>
        </w:tc>
        <w:tc>
          <w:tcPr>
            <w:tcW w:w="990" w:type="dxa"/>
          </w:tcPr>
          <w:p w14:paraId="13C7F951" w14:textId="77777777" w:rsidR="003C61D3" w:rsidRPr="00D800F0" w:rsidRDefault="003C61D3" w:rsidP="007F228F">
            <w:pPr>
              <w:rPr>
                <w:rFonts w:ascii="Arial" w:eastAsia="Times New Roman" w:hAnsi="Arial" w:cs="Arial"/>
                <w:sz w:val="24"/>
                <w:szCs w:val="24"/>
              </w:rPr>
            </w:pPr>
            <w:r w:rsidRPr="00D800F0">
              <w:rPr>
                <w:rFonts w:ascii="Arial" w:hAnsi="Arial" w:cs="Arial"/>
              </w:rPr>
              <w:t>40</w:t>
            </w:r>
          </w:p>
        </w:tc>
        <w:tc>
          <w:tcPr>
            <w:tcW w:w="1260" w:type="dxa"/>
          </w:tcPr>
          <w:p w14:paraId="79B46034" w14:textId="77777777" w:rsidR="003C61D3" w:rsidRPr="00D800F0" w:rsidRDefault="003C61D3" w:rsidP="007F228F">
            <w:pPr>
              <w:rPr>
                <w:rFonts w:ascii="Arial" w:eastAsia="Times New Roman" w:hAnsi="Arial" w:cs="Arial"/>
                <w:sz w:val="24"/>
                <w:szCs w:val="24"/>
              </w:rPr>
            </w:pPr>
            <w:r w:rsidRPr="00D800F0">
              <w:rPr>
                <w:rFonts w:ascii="Arial" w:hAnsi="Arial" w:cs="Arial"/>
              </w:rPr>
              <w:t>26.5949</w:t>
            </w:r>
          </w:p>
        </w:tc>
        <w:tc>
          <w:tcPr>
            <w:tcW w:w="1015" w:type="dxa"/>
          </w:tcPr>
          <w:p w14:paraId="17DBAB8C" w14:textId="77777777" w:rsidR="003C61D3" w:rsidRPr="00D800F0" w:rsidRDefault="003C61D3" w:rsidP="007F228F">
            <w:pPr>
              <w:rPr>
                <w:rFonts w:ascii="Arial" w:eastAsia="Times New Roman" w:hAnsi="Arial" w:cs="Arial"/>
                <w:sz w:val="24"/>
                <w:szCs w:val="24"/>
              </w:rPr>
            </w:pPr>
            <w:r w:rsidRPr="00D800F0">
              <w:rPr>
                <w:rFonts w:ascii="Arial" w:hAnsi="Arial" w:cs="Arial"/>
              </w:rPr>
              <w:t>399</w:t>
            </w:r>
          </w:p>
        </w:tc>
        <w:tc>
          <w:tcPr>
            <w:tcW w:w="1242" w:type="dxa"/>
          </w:tcPr>
          <w:p w14:paraId="6150C8B0" w14:textId="77777777" w:rsidR="003C61D3" w:rsidRPr="00D800F0" w:rsidRDefault="003C61D3" w:rsidP="007F228F">
            <w:pPr>
              <w:rPr>
                <w:rFonts w:ascii="Arial" w:eastAsia="Times New Roman" w:hAnsi="Arial" w:cs="Arial"/>
                <w:sz w:val="24"/>
                <w:szCs w:val="24"/>
              </w:rPr>
            </w:pPr>
            <w:r w:rsidRPr="00D800F0">
              <w:rPr>
                <w:rFonts w:ascii="Arial" w:hAnsi="Arial" w:cs="Arial"/>
              </w:rPr>
              <w:t>109.3491</w:t>
            </w:r>
          </w:p>
        </w:tc>
        <w:tc>
          <w:tcPr>
            <w:tcW w:w="1242" w:type="dxa"/>
          </w:tcPr>
          <w:p w14:paraId="732FF5EE" w14:textId="77777777" w:rsidR="003C61D3" w:rsidRPr="00D800F0" w:rsidRDefault="003C61D3" w:rsidP="007F228F">
            <w:pPr>
              <w:rPr>
                <w:rFonts w:ascii="Arial" w:hAnsi="Arial" w:cs="Arial"/>
              </w:rPr>
            </w:pPr>
            <w:r w:rsidRPr="00D800F0">
              <w:rPr>
                <w:rFonts w:ascii="Arial" w:hAnsi="Arial" w:cs="Arial"/>
              </w:rPr>
              <w:t>21</w:t>
            </w:r>
          </w:p>
        </w:tc>
      </w:tr>
      <w:tr w:rsidR="003C61D3" w:rsidRPr="00D800F0" w14:paraId="2B6043BB" w14:textId="77777777" w:rsidTr="009967A4">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569301C8" w14:textId="77777777" w:rsidR="003C61D3" w:rsidRPr="00D800F0" w:rsidRDefault="003C61D3" w:rsidP="007F228F">
            <w:pPr>
              <w:rPr>
                <w:rFonts w:ascii="Arial" w:eastAsia="Times New Roman" w:hAnsi="Arial" w:cs="Arial"/>
                <w:sz w:val="24"/>
                <w:szCs w:val="24"/>
              </w:rPr>
            </w:pPr>
            <w:r w:rsidRPr="00D800F0">
              <w:rPr>
                <w:rFonts w:ascii="Arial" w:hAnsi="Arial" w:cs="Arial"/>
              </w:rPr>
              <w:t>Pressure [MPa]</w:t>
            </w:r>
          </w:p>
        </w:tc>
        <w:tc>
          <w:tcPr>
            <w:tcW w:w="990" w:type="dxa"/>
          </w:tcPr>
          <w:p w14:paraId="60B842E6" w14:textId="77777777" w:rsidR="003C61D3" w:rsidRPr="00D800F0" w:rsidRDefault="003C61D3" w:rsidP="007F228F">
            <w:pPr>
              <w:rPr>
                <w:rFonts w:ascii="Arial" w:eastAsia="Times New Roman" w:hAnsi="Arial" w:cs="Arial"/>
                <w:sz w:val="24"/>
                <w:szCs w:val="24"/>
              </w:rPr>
            </w:pPr>
            <w:r w:rsidRPr="00D800F0">
              <w:rPr>
                <w:rFonts w:ascii="Arial" w:hAnsi="Arial" w:cs="Arial"/>
              </w:rPr>
              <w:t>6.48</w:t>
            </w:r>
          </w:p>
        </w:tc>
        <w:tc>
          <w:tcPr>
            <w:tcW w:w="990" w:type="dxa"/>
          </w:tcPr>
          <w:p w14:paraId="17EB6B51" w14:textId="77777777" w:rsidR="003C61D3" w:rsidRPr="00D800F0" w:rsidRDefault="003C61D3" w:rsidP="007F228F">
            <w:pPr>
              <w:rPr>
                <w:rFonts w:ascii="Arial" w:eastAsia="Times New Roman" w:hAnsi="Arial" w:cs="Arial"/>
                <w:sz w:val="24"/>
                <w:szCs w:val="24"/>
              </w:rPr>
            </w:pPr>
            <w:r w:rsidRPr="00D800F0">
              <w:rPr>
                <w:rFonts w:ascii="Arial" w:hAnsi="Arial" w:cs="Arial"/>
              </w:rPr>
              <w:t>0.098</w:t>
            </w:r>
          </w:p>
        </w:tc>
        <w:tc>
          <w:tcPr>
            <w:tcW w:w="1260" w:type="dxa"/>
          </w:tcPr>
          <w:p w14:paraId="3D80BC45" w14:textId="77777777" w:rsidR="003C61D3" w:rsidRPr="00D800F0" w:rsidRDefault="003C61D3" w:rsidP="007F228F">
            <w:pPr>
              <w:rPr>
                <w:rFonts w:ascii="Arial" w:eastAsia="Times New Roman" w:hAnsi="Arial" w:cs="Arial"/>
                <w:sz w:val="24"/>
                <w:szCs w:val="24"/>
              </w:rPr>
            </w:pPr>
            <w:r w:rsidRPr="00D800F0">
              <w:rPr>
                <w:rFonts w:ascii="Arial" w:hAnsi="Arial" w:cs="Arial"/>
              </w:rPr>
              <w:t>13.614</w:t>
            </w:r>
          </w:p>
        </w:tc>
        <w:tc>
          <w:tcPr>
            <w:tcW w:w="1015" w:type="dxa"/>
          </w:tcPr>
          <w:p w14:paraId="0EC3859A" w14:textId="77777777" w:rsidR="003C61D3" w:rsidRPr="00D800F0" w:rsidRDefault="003C61D3" w:rsidP="007F228F">
            <w:pPr>
              <w:rPr>
                <w:rFonts w:ascii="Arial" w:eastAsia="Times New Roman" w:hAnsi="Arial" w:cs="Arial"/>
                <w:sz w:val="24"/>
                <w:szCs w:val="24"/>
              </w:rPr>
            </w:pPr>
            <w:r w:rsidRPr="00D800F0">
              <w:rPr>
                <w:rFonts w:ascii="Arial" w:hAnsi="Arial" w:cs="Arial"/>
              </w:rPr>
              <w:t>3.1</w:t>
            </w:r>
          </w:p>
        </w:tc>
        <w:tc>
          <w:tcPr>
            <w:tcW w:w="1242" w:type="dxa"/>
          </w:tcPr>
          <w:p w14:paraId="7DE912F3" w14:textId="77777777" w:rsidR="003C61D3" w:rsidRPr="00D800F0" w:rsidRDefault="003C61D3" w:rsidP="007F228F">
            <w:pPr>
              <w:rPr>
                <w:rFonts w:ascii="Arial" w:eastAsia="Times New Roman" w:hAnsi="Arial" w:cs="Arial"/>
                <w:sz w:val="24"/>
                <w:szCs w:val="24"/>
              </w:rPr>
            </w:pPr>
            <w:r w:rsidRPr="00D800F0">
              <w:rPr>
                <w:rFonts w:ascii="Arial" w:hAnsi="Arial" w:cs="Arial"/>
              </w:rPr>
              <w:t>0.1</w:t>
            </w:r>
          </w:p>
        </w:tc>
        <w:tc>
          <w:tcPr>
            <w:tcW w:w="1242" w:type="dxa"/>
          </w:tcPr>
          <w:p w14:paraId="7188E258" w14:textId="77777777" w:rsidR="003C61D3" w:rsidRPr="00D800F0" w:rsidRDefault="003C61D3" w:rsidP="007F228F">
            <w:pPr>
              <w:rPr>
                <w:rFonts w:ascii="Arial" w:hAnsi="Arial" w:cs="Arial"/>
              </w:rPr>
            </w:pPr>
            <w:r w:rsidRPr="00D800F0">
              <w:rPr>
                <w:rFonts w:ascii="Arial" w:hAnsi="Arial" w:cs="Arial"/>
              </w:rPr>
              <w:t>13.614</w:t>
            </w:r>
          </w:p>
        </w:tc>
      </w:tr>
      <w:tr w:rsidR="003C61D3" w:rsidRPr="00D800F0" w14:paraId="33EDA4D0" w14:textId="77777777" w:rsidTr="009967A4">
        <w:trPr>
          <w:trHeight w:val="20"/>
        </w:trPr>
        <w:tc>
          <w:tcPr>
            <w:tcW w:w="1710" w:type="dxa"/>
          </w:tcPr>
          <w:p w14:paraId="271316DB" w14:textId="77777777" w:rsidR="003C61D3" w:rsidRPr="00D800F0" w:rsidRDefault="003C61D3" w:rsidP="007F228F">
            <w:pPr>
              <w:rPr>
                <w:rFonts w:ascii="Arial" w:eastAsia="Times New Roman" w:hAnsi="Arial" w:cs="Arial"/>
                <w:sz w:val="24"/>
                <w:szCs w:val="24"/>
              </w:rPr>
            </w:pPr>
            <w:r w:rsidRPr="00D800F0">
              <w:rPr>
                <w:rFonts w:ascii="Arial" w:hAnsi="Arial" w:cs="Arial"/>
              </w:rPr>
              <w:t>Vapor Fraction</w:t>
            </w:r>
          </w:p>
        </w:tc>
        <w:tc>
          <w:tcPr>
            <w:tcW w:w="990" w:type="dxa"/>
          </w:tcPr>
          <w:p w14:paraId="226092B2" w14:textId="77777777" w:rsidR="003C61D3" w:rsidRPr="00D800F0" w:rsidRDefault="003C61D3" w:rsidP="007F228F">
            <w:pPr>
              <w:rPr>
                <w:rFonts w:ascii="Arial" w:eastAsia="Times New Roman" w:hAnsi="Arial" w:cs="Arial"/>
                <w:sz w:val="24"/>
                <w:szCs w:val="24"/>
              </w:rPr>
            </w:pPr>
            <w:r w:rsidRPr="00D800F0">
              <w:rPr>
                <w:rFonts w:ascii="Arial" w:hAnsi="Arial" w:cs="Arial"/>
              </w:rPr>
              <w:t>1</w:t>
            </w:r>
          </w:p>
        </w:tc>
        <w:tc>
          <w:tcPr>
            <w:tcW w:w="990" w:type="dxa"/>
          </w:tcPr>
          <w:p w14:paraId="6DE886E9" w14:textId="77777777" w:rsidR="003C61D3" w:rsidRPr="00D800F0" w:rsidRDefault="003C61D3" w:rsidP="007F228F">
            <w:pPr>
              <w:rPr>
                <w:rFonts w:ascii="Arial" w:eastAsia="Times New Roman" w:hAnsi="Arial" w:cs="Arial"/>
                <w:sz w:val="24"/>
                <w:szCs w:val="24"/>
              </w:rPr>
            </w:pPr>
            <w:r w:rsidRPr="00D800F0">
              <w:rPr>
                <w:rFonts w:ascii="Arial" w:hAnsi="Arial" w:cs="Arial"/>
              </w:rPr>
              <w:t>1</w:t>
            </w:r>
          </w:p>
        </w:tc>
        <w:tc>
          <w:tcPr>
            <w:tcW w:w="1260" w:type="dxa"/>
          </w:tcPr>
          <w:p w14:paraId="0C8C8718" w14:textId="77777777" w:rsidR="003C61D3" w:rsidRPr="00D800F0" w:rsidRDefault="003C61D3" w:rsidP="007F228F">
            <w:pPr>
              <w:rPr>
                <w:rFonts w:ascii="Arial" w:eastAsia="Times New Roman" w:hAnsi="Arial" w:cs="Arial"/>
                <w:sz w:val="24"/>
                <w:szCs w:val="24"/>
              </w:rPr>
            </w:pPr>
            <w:r w:rsidRPr="00D800F0">
              <w:rPr>
                <w:rFonts w:ascii="Arial" w:hAnsi="Arial" w:cs="Arial"/>
              </w:rPr>
              <w:t>1</w:t>
            </w:r>
          </w:p>
        </w:tc>
        <w:tc>
          <w:tcPr>
            <w:tcW w:w="1015" w:type="dxa"/>
          </w:tcPr>
          <w:p w14:paraId="06274D4F" w14:textId="77777777" w:rsidR="003C61D3" w:rsidRPr="00D800F0" w:rsidRDefault="003C61D3" w:rsidP="007F228F">
            <w:pPr>
              <w:rPr>
                <w:rFonts w:ascii="Arial" w:eastAsia="Times New Roman" w:hAnsi="Arial" w:cs="Arial"/>
                <w:sz w:val="24"/>
                <w:szCs w:val="24"/>
              </w:rPr>
            </w:pPr>
            <w:r w:rsidRPr="00D800F0">
              <w:rPr>
                <w:rFonts w:ascii="Arial" w:hAnsi="Arial" w:cs="Arial"/>
              </w:rPr>
              <w:t>1</w:t>
            </w:r>
          </w:p>
        </w:tc>
        <w:tc>
          <w:tcPr>
            <w:tcW w:w="1242" w:type="dxa"/>
          </w:tcPr>
          <w:p w14:paraId="2CCD7BE9" w14:textId="77777777" w:rsidR="003C61D3" w:rsidRPr="00D800F0" w:rsidRDefault="003C61D3" w:rsidP="007F228F">
            <w:pPr>
              <w:rPr>
                <w:rFonts w:ascii="Arial" w:eastAsia="Times New Roman" w:hAnsi="Arial" w:cs="Arial"/>
                <w:sz w:val="24"/>
                <w:szCs w:val="24"/>
              </w:rPr>
            </w:pPr>
            <w:r w:rsidRPr="00D800F0">
              <w:rPr>
                <w:rFonts w:ascii="Arial" w:hAnsi="Arial" w:cs="Arial"/>
              </w:rPr>
              <w:t>1</w:t>
            </w:r>
          </w:p>
        </w:tc>
        <w:tc>
          <w:tcPr>
            <w:tcW w:w="1242" w:type="dxa"/>
          </w:tcPr>
          <w:p w14:paraId="62175390" w14:textId="77777777" w:rsidR="003C61D3" w:rsidRPr="00D800F0" w:rsidRDefault="003C61D3" w:rsidP="007F228F">
            <w:pPr>
              <w:rPr>
                <w:rFonts w:ascii="Arial" w:hAnsi="Arial" w:cs="Arial"/>
              </w:rPr>
            </w:pPr>
            <w:r w:rsidRPr="00D800F0">
              <w:rPr>
                <w:rFonts w:ascii="Arial" w:hAnsi="Arial" w:cs="Arial"/>
              </w:rPr>
              <w:t>1</w:t>
            </w:r>
          </w:p>
        </w:tc>
      </w:tr>
      <w:tr w:rsidR="003C61D3" w:rsidRPr="00D800F0" w14:paraId="03B515B4" w14:textId="77777777" w:rsidTr="009967A4">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3ED88FD0" w14:textId="77777777" w:rsidR="003C61D3" w:rsidRPr="00D800F0" w:rsidRDefault="003C61D3" w:rsidP="007F228F">
            <w:pPr>
              <w:rPr>
                <w:rFonts w:ascii="Arial" w:eastAsia="Times New Roman" w:hAnsi="Arial" w:cs="Arial"/>
                <w:sz w:val="24"/>
                <w:szCs w:val="24"/>
              </w:rPr>
            </w:pPr>
            <w:r w:rsidRPr="00D800F0">
              <w:rPr>
                <w:rFonts w:ascii="Arial" w:hAnsi="Arial" w:cs="Arial"/>
              </w:rPr>
              <w:t>H</w:t>
            </w:r>
            <w:r w:rsidRPr="00D800F0">
              <w:rPr>
                <w:rFonts w:ascii="Arial" w:hAnsi="Arial" w:cs="Arial"/>
                <w:sz w:val="13"/>
                <w:szCs w:val="13"/>
                <w:vertAlign w:val="subscript"/>
              </w:rPr>
              <w:t>2</w:t>
            </w:r>
            <w:r w:rsidRPr="00D800F0">
              <w:rPr>
                <w:rFonts w:ascii="Arial" w:hAnsi="Arial" w:cs="Arial"/>
              </w:rPr>
              <w:t xml:space="preserve"> [mol/mol]</w:t>
            </w:r>
          </w:p>
        </w:tc>
        <w:tc>
          <w:tcPr>
            <w:tcW w:w="990" w:type="dxa"/>
          </w:tcPr>
          <w:p w14:paraId="1511E6A5" w14:textId="77777777" w:rsidR="003C61D3" w:rsidRPr="00D800F0" w:rsidRDefault="003C61D3" w:rsidP="007F228F">
            <w:pPr>
              <w:rPr>
                <w:rFonts w:ascii="Arial" w:eastAsia="Times New Roman" w:hAnsi="Arial" w:cs="Arial"/>
                <w:sz w:val="24"/>
                <w:szCs w:val="24"/>
              </w:rPr>
            </w:pPr>
            <w:r w:rsidRPr="00D800F0">
              <w:rPr>
                <w:rFonts w:ascii="Arial" w:hAnsi="Arial" w:cs="Arial"/>
              </w:rPr>
              <w:t>1.000</w:t>
            </w:r>
          </w:p>
        </w:tc>
        <w:tc>
          <w:tcPr>
            <w:tcW w:w="990" w:type="dxa"/>
          </w:tcPr>
          <w:p w14:paraId="6ACA17BD"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60" w:type="dxa"/>
          </w:tcPr>
          <w:p w14:paraId="65FD98A8" w14:textId="77777777" w:rsidR="003C61D3" w:rsidRPr="00D800F0" w:rsidRDefault="003C61D3" w:rsidP="007F228F">
            <w:pPr>
              <w:rPr>
                <w:rFonts w:ascii="Arial" w:eastAsia="Times New Roman" w:hAnsi="Arial" w:cs="Arial"/>
                <w:sz w:val="24"/>
                <w:szCs w:val="24"/>
              </w:rPr>
            </w:pPr>
            <w:r w:rsidRPr="00D800F0">
              <w:rPr>
                <w:rFonts w:ascii="Arial" w:hAnsi="Arial" w:cs="Arial"/>
              </w:rPr>
              <w:t>0.749</w:t>
            </w:r>
          </w:p>
        </w:tc>
        <w:tc>
          <w:tcPr>
            <w:tcW w:w="1015" w:type="dxa"/>
          </w:tcPr>
          <w:p w14:paraId="4CD64D8E"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42" w:type="dxa"/>
          </w:tcPr>
          <w:p w14:paraId="546A2956"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42" w:type="dxa"/>
          </w:tcPr>
          <w:p w14:paraId="07C09F8A" w14:textId="77777777" w:rsidR="003C61D3" w:rsidRPr="00D800F0" w:rsidRDefault="003C61D3" w:rsidP="007F228F">
            <w:pPr>
              <w:rPr>
                <w:rFonts w:ascii="Arial" w:hAnsi="Arial" w:cs="Arial"/>
              </w:rPr>
            </w:pPr>
            <w:r w:rsidRPr="00D800F0">
              <w:rPr>
                <w:rFonts w:ascii="Arial" w:hAnsi="Arial" w:cs="Arial"/>
              </w:rPr>
              <w:t>0.000</w:t>
            </w:r>
          </w:p>
        </w:tc>
      </w:tr>
      <w:tr w:rsidR="003C61D3" w:rsidRPr="00D800F0" w14:paraId="47DFC8C4" w14:textId="77777777" w:rsidTr="009967A4">
        <w:trPr>
          <w:trHeight w:val="20"/>
        </w:trPr>
        <w:tc>
          <w:tcPr>
            <w:tcW w:w="1710" w:type="dxa"/>
          </w:tcPr>
          <w:p w14:paraId="550E4014" w14:textId="77777777" w:rsidR="003C61D3" w:rsidRPr="00D800F0" w:rsidRDefault="003C61D3" w:rsidP="007F228F">
            <w:pPr>
              <w:rPr>
                <w:rFonts w:ascii="Arial" w:eastAsia="Times New Roman" w:hAnsi="Arial" w:cs="Arial"/>
                <w:sz w:val="24"/>
                <w:szCs w:val="24"/>
              </w:rPr>
            </w:pPr>
            <w:r w:rsidRPr="00D800F0">
              <w:rPr>
                <w:rFonts w:ascii="Arial" w:hAnsi="Arial" w:cs="Arial"/>
              </w:rPr>
              <w:t>N</w:t>
            </w:r>
            <w:r w:rsidRPr="00D800F0">
              <w:rPr>
                <w:rFonts w:ascii="Arial" w:hAnsi="Arial" w:cs="Arial"/>
                <w:sz w:val="13"/>
                <w:szCs w:val="13"/>
                <w:vertAlign w:val="subscript"/>
              </w:rPr>
              <w:t>2</w:t>
            </w:r>
            <w:r w:rsidRPr="00D800F0">
              <w:rPr>
                <w:rFonts w:ascii="Arial" w:hAnsi="Arial" w:cs="Arial"/>
              </w:rPr>
              <w:t xml:space="preserve"> [mol/mol]</w:t>
            </w:r>
          </w:p>
        </w:tc>
        <w:tc>
          <w:tcPr>
            <w:tcW w:w="990" w:type="dxa"/>
          </w:tcPr>
          <w:p w14:paraId="1EBD271E"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990" w:type="dxa"/>
          </w:tcPr>
          <w:p w14:paraId="59927A4C" w14:textId="77777777" w:rsidR="003C61D3" w:rsidRPr="00D800F0" w:rsidRDefault="003C61D3" w:rsidP="007F228F">
            <w:pPr>
              <w:rPr>
                <w:rFonts w:ascii="Arial" w:eastAsia="Times New Roman" w:hAnsi="Arial" w:cs="Arial"/>
                <w:sz w:val="24"/>
                <w:szCs w:val="24"/>
              </w:rPr>
            </w:pPr>
            <w:r w:rsidRPr="00D800F0">
              <w:rPr>
                <w:rFonts w:ascii="Arial" w:hAnsi="Arial" w:cs="Arial"/>
              </w:rPr>
              <w:t>1.000</w:t>
            </w:r>
          </w:p>
        </w:tc>
        <w:tc>
          <w:tcPr>
            <w:tcW w:w="1260" w:type="dxa"/>
          </w:tcPr>
          <w:p w14:paraId="636A8BA0" w14:textId="77777777" w:rsidR="003C61D3" w:rsidRPr="00D800F0" w:rsidRDefault="003C61D3" w:rsidP="007F228F">
            <w:pPr>
              <w:rPr>
                <w:rFonts w:ascii="Arial" w:eastAsia="Times New Roman" w:hAnsi="Arial" w:cs="Arial"/>
                <w:sz w:val="24"/>
                <w:szCs w:val="24"/>
              </w:rPr>
            </w:pPr>
            <w:r w:rsidRPr="00D800F0">
              <w:rPr>
                <w:rFonts w:ascii="Arial" w:hAnsi="Arial" w:cs="Arial"/>
              </w:rPr>
              <w:t>0.251</w:t>
            </w:r>
          </w:p>
        </w:tc>
        <w:tc>
          <w:tcPr>
            <w:tcW w:w="1015" w:type="dxa"/>
          </w:tcPr>
          <w:p w14:paraId="097B670C"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42" w:type="dxa"/>
          </w:tcPr>
          <w:p w14:paraId="5E2CFCBE"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42" w:type="dxa"/>
          </w:tcPr>
          <w:p w14:paraId="7EE8E680" w14:textId="77777777" w:rsidR="003C61D3" w:rsidRPr="00D800F0" w:rsidRDefault="003C61D3" w:rsidP="007F228F">
            <w:pPr>
              <w:rPr>
                <w:rFonts w:ascii="Arial" w:hAnsi="Arial" w:cs="Arial"/>
              </w:rPr>
            </w:pPr>
            <w:r w:rsidRPr="00D800F0">
              <w:rPr>
                <w:rFonts w:ascii="Arial" w:hAnsi="Arial" w:cs="Arial"/>
              </w:rPr>
              <w:t>0.000</w:t>
            </w:r>
          </w:p>
        </w:tc>
      </w:tr>
      <w:tr w:rsidR="003C61D3" w:rsidRPr="00D800F0" w14:paraId="32C55CE4" w14:textId="77777777" w:rsidTr="009967A4">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6F25E23D" w14:textId="77777777" w:rsidR="003C61D3" w:rsidRPr="00D800F0" w:rsidRDefault="003C61D3" w:rsidP="007F228F">
            <w:pPr>
              <w:rPr>
                <w:rFonts w:ascii="Arial" w:eastAsia="Times New Roman" w:hAnsi="Arial" w:cs="Arial"/>
                <w:sz w:val="24"/>
                <w:szCs w:val="24"/>
              </w:rPr>
            </w:pPr>
            <w:r w:rsidRPr="00D800F0">
              <w:rPr>
                <w:rFonts w:ascii="Arial" w:hAnsi="Arial" w:cs="Arial"/>
              </w:rPr>
              <w:t>H</w:t>
            </w:r>
            <w:r w:rsidRPr="00D800F0">
              <w:rPr>
                <w:rFonts w:ascii="Arial" w:hAnsi="Arial" w:cs="Arial"/>
                <w:sz w:val="13"/>
                <w:szCs w:val="13"/>
                <w:vertAlign w:val="subscript"/>
              </w:rPr>
              <w:t>2</w:t>
            </w:r>
            <w:r w:rsidRPr="00D800F0">
              <w:rPr>
                <w:rFonts w:ascii="Arial" w:hAnsi="Arial" w:cs="Arial"/>
              </w:rPr>
              <w:t>0 [mol/mol]</w:t>
            </w:r>
          </w:p>
        </w:tc>
        <w:tc>
          <w:tcPr>
            <w:tcW w:w="990" w:type="dxa"/>
          </w:tcPr>
          <w:p w14:paraId="1B65329A"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990" w:type="dxa"/>
          </w:tcPr>
          <w:p w14:paraId="1452FBEA"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60" w:type="dxa"/>
          </w:tcPr>
          <w:p w14:paraId="4E96FBCD"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015" w:type="dxa"/>
          </w:tcPr>
          <w:p w14:paraId="1146BF5E" w14:textId="77777777" w:rsidR="003C61D3" w:rsidRPr="00D800F0" w:rsidRDefault="003C61D3" w:rsidP="007F228F">
            <w:pPr>
              <w:rPr>
                <w:rFonts w:ascii="Arial" w:eastAsia="Times New Roman" w:hAnsi="Arial" w:cs="Arial"/>
                <w:sz w:val="24"/>
                <w:szCs w:val="24"/>
              </w:rPr>
            </w:pPr>
            <w:r w:rsidRPr="00D800F0">
              <w:rPr>
                <w:rFonts w:ascii="Arial" w:hAnsi="Arial" w:cs="Arial"/>
              </w:rPr>
              <w:t>1.000</w:t>
            </w:r>
          </w:p>
        </w:tc>
        <w:tc>
          <w:tcPr>
            <w:tcW w:w="1242" w:type="dxa"/>
          </w:tcPr>
          <w:p w14:paraId="62282F18" w14:textId="77777777" w:rsidR="003C61D3" w:rsidRPr="00D800F0" w:rsidRDefault="003C61D3" w:rsidP="007F228F">
            <w:pPr>
              <w:rPr>
                <w:rFonts w:ascii="Arial" w:eastAsia="Times New Roman" w:hAnsi="Arial" w:cs="Arial"/>
                <w:sz w:val="24"/>
                <w:szCs w:val="24"/>
              </w:rPr>
            </w:pPr>
            <w:r w:rsidRPr="00D800F0">
              <w:rPr>
                <w:rFonts w:ascii="Arial" w:hAnsi="Arial" w:cs="Arial"/>
              </w:rPr>
              <w:t>1.000</w:t>
            </w:r>
          </w:p>
        </w:tc>
        <w:tc>
          <w:tcPr>
            <w:tcW w:w="1242" w:type="dxa"/>
          </w:tcPr>
          <w:p w14:paraId="3AA3A388" w14:textId="77777777" w:rsidR="003C61D3" w:rsidRPr="00D800F0" w:rsidRDefault="003C61D3" w:rsidP="007F228F">
            <w:pPr>
              <w:rPr>
                <w:rFonts w:ascii="Arial" w:hAnsi="Arial" w:cs="Arial"/>
              </w:rPr>
            </w:pPr>
            <w:r w:rsidRPr="00D800F0">
              <w:rPr>
                <w:rFonts w:ascii="Arial" w:hAnsi="Arial" w:cs="Arial"/>
              </w:rPr>
              <w:t>0.000</w:t>
            </w:r>
          </w:p>
        </w:tc>
      </w:tr>
      <w:tr w:rsidR="003C61D3" w:rsidRPr="00D800F0" w14:paraId="1C5E5B8F" w14:textId="77777777" w:rsidTr="009967A4">
        <w:trPr>
          <w:trHeight w:val="20"/>
        </w:trPr>
        <w:tc>
          <w:tcPr>
            <w:tcW w:w="1710" w:type="dxa"/>
          </w:tcPr>
          <w:p w14:paraId="5889716A" w14:textId="77777777" w:rsidR="003C61D3" w:rsidRPr="00D800F0" w:rsidRDefault="003C61D3" w:rsidP="007F228F">
            <w:pPr>
              <w:rPr>
                <w:rFonts w:ascii="Arial" w:eastAsia="Times New Roman" w:hAnsi="Arial" w:cs="Arial"/>
                <w:sz w:val="24"/>
                <w:szCs w:val="24"/>
              </w:rPr>
            </w:pPr>
            <w:r w:rsidRPr="00D800F0">
              <w:rPr>
                <w:rFonts w:ascii="Arial" w:hAnsi="Arial" w:cs="Arial"/>
              </w:rPr>
              <w:t>O</w:t>
            </w:r>
            <w:r w:rsidRPr="00D800F0">
              <w:rPr>
                <w:rFonts w:ascii="Arial" w:hAnsi="Arial" w:cs="Arial"/>
                <w:sz w:val="13"/>
                <w:szCs w:val="13"/>
                <w:vertAlign w:val="subscript"/>
              </w:rPr>
              <w:t>2</w:t>
            </w:r>
            <w:r w:rsidRPr="00D800F0">
              <w:rPr>
                <w:rFonts w:ascii="Arial" w:hAnsi="Arial" w:cs="Arial"/>
              </w:rPr>
              <w:t xml:space="preserve"> [mol/mol]</w:t>
            </w:r>
          </w:p>
        </w:tc>
        <w:tc>
          <w:tcPr>
            <w:tcW w:w="990" w:type="dxa"/>
          </w:tcPr>
          <w:p w14:paraId="2BD0E080"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990" w:type="dxa"/>
          </w:tcPr>
          <w:p w14:paraId="0741650C"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60" w:type="dxa"/>
          </w:tcPr>
          <w:p w14:paraId="72CE28F7"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015" w:type="dxa"/>
          </w:tcPr>
          <w:p w14:paraId="6A0680FE"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42" w:type="dxa"/>
          </w:tcPr>
          <w:p w14:paraId="168F7475"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42" w:type="dxa"/>
          </w:tcPr>
          <w:p w14:paraId="18735A5D" w14:textId="77777777" w:rsidR="003C61D3" w:rsidRPr="00D800F0" w:rsidRDefault="003C61D3" w:rsidP="007F228F">
            <w:pPr>
              <w:rPr>
                <w:rFonts w:ascii="Arial" w:hAnsi="Arial" w:cs="Arial"/>
              </w:rPr>
            </w:pPr>
            <w:r w:rsidRPr="00D800F0">
              <w:rPr>
                <w:rFonts w:ascii="Arial" w:hAnsi="Arial" w:cs="Arial"/>
              </w:rPr>
              <w:t>0.000</w:t>
            </w:r>
          </w:p>
        </w:tc>
      </w:tr>
      <w:tr w:rsidR="003C61D3" w:rsidRPr="00D800F0" w14:paraId="53C1FF60" w14:textId="77777777" w:rsidTr="009967A4">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6AEB3225" w14:textId="77777777" w:rsidR="003C61D3" w:rsidRPr="00D800F0" w:rsidRDefault="003C61D3" w:rsidP="007F228F">
            <w:pPr>
              <w:rPr>
                <w:rFonts w:ascii="Arial" w:eastAsia="Times New Roman" w:hAnsi="Arial" w:cs="Arial"/>
                <w:sz w:val="24"/>
                <w:szCs w:val="24"/>
              </w:rPr>
            </w:pPr>
            <w:r w:rsidRPr="00D800F0">
              <w:rPr>
                <w:rFonts w:ascii="Arial" w:hAnsi="Arial" w:cs="Arial"/>
              </w:rPr>
              <w:t>Ar [mol/mol]</w:t>
            </w:r>
          </w:p>
        </w:tc>
        <w:tc>
          <w:tcPr>
            <w:tcW w:w="990" w:type="dxa"/>
          </w:tcPr>
          <w:p w14:paraId="5BEFB44B"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990" w:type="dxa"/>
          </w:tcPr>
          <w:p w14:paraId="15E48F05"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60" w:type="dxa"/>
          </w:tcPr>
          <w:p w14:paraId="7C4F6A43"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015" w:type="dxa"/>
          </w:tcPr>
          <w:p w14:paraId="0DAC7611"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42" w:type="dxa"/>
          </w:tcPr>
          <w:p w14:paraId="2C3A290B" w14:textId="77777777" w:rsidR="003C61D3" w:rsidRPr="00D800F0" w:rsidRDefault="003C61D3" w:rsidP="007F228F">
            <w:pPr>
              <w:rPr>
                <w:rFonts w:ascii="Arial" w:eastAsia="Times New Roman" w:hAnsi="Arial" w:cs="Arial"/>
                <w:sz w:val="24"/>
                <w:szCs w:val="24"/>
              </w:rPr>
            </w:pPr>
            <w:r w:rsidRPr="00D800F0">
              <w:rPr>
                <w:rFonts w:ascii="Arial" w:hAnsi="Arial" w:cs="Arial"/>
              </w:rPr>
              <w:t>0.000</w:t>
            </w:r>
          </w:p>
        </w:tc>
        <w:tc>
          <w:tcPr>
            <w:tcW w:w="1242" w:type="dxa"/>
          </w:tcPr>
          <w:p w14:paraId="4E454DAF" w14:textId="77777777" w:rsidR="003C61D3" w:rsidRPr="00D800F0" w:rsidRDefault="003C61D3" w:rsidP="007F228F">
            <w:pPr>
              <w:rPr>
                <w:rFonts w:ascii="Arial" w:hAnsi="Arial" w:cs="Arial"/>
              </w:rPr>
            </w:pPr>
            <w:r w:rsidRPr="00D800F0">
              <w:rPr>
                <w:rFonts w:ascii="Arial" w:hAnsi="Arial" w:cs="Arial"/>
              </w:rPr>
              <w:t>0.000</w:t>
            </w:r>
          </w:p>
        </w:tc>
      </w:tr>
      <w:tr w:rsidR="003C61D3" w:rsidRPr="00D800F0" w14:paraId="6D43D244" w14:textId="77777777" w:rsidTr="009967A4">
        <w:trPr>
          <w:trHeight w:val="20"/>
        </w:trPr>
        <w:tc>
          <w:tcPr>
            <w:tcW w:w="1710" w:type="dxa"/>
          </w:tcPr>
          <w:p w14:paraId="546EE6AE" w14:textId="77777777" w:rsidR="003C61D3" w:rsidRPr="00D800F0" w:rsidRDefault="003C61D3" w:rsidP="007F228F">
            <w:pPr>
              <w:rPr>
                <w:rFonts w:ascii="Arial" w:hAnsi="Arial" w:cs="Arial"/>
              </w:rPr>
            </w:pPr>
            <w:r w:rsidRPr="00D800F0">
              <w:rPr>
                <w:rFonts w:ascii="Arial" w:hAnsi="Arial" w:cs="Arial"/>
              </w:rPr>
              <w:t>Nh3 [mol/mol]</w:t>
            </w:r>
          </w:p>
        </w:tc>
        <w:tc>
          <w:tcPr>
            <w:tcW w:w="990" w:type="dxa"/>
          </w:tcPr>
          <w:p w14:paraId="3D949520" w14:textId="77777777" w:rsidR="003C61D3" w:rsidRPr="00D800F0" w:rsidRDefault="003C61D3" w:rsidP="007F228F">
            <w:pPr>
              <w:rPr>
                <w:rFonts w:ascii="Arial" w:hAnsi="Arial" w:cs="Arial"/>
              </w:rPr>
            </w:pPr>
            <w:r w:rsidRPr="00D800F0">
              <w:rPr>
                <w:rFonts w:ascii="Arial" w:hAnsi="Arial" w:cs="Arial"/>
              </w:rPr>
              <w:t>0.000</w:t>
            </w:r>
          </w:p>
        </w:tc>
        <w:tc>
          <w:tcPr>
            <w:tcW w:w="990" w:type="dxa"/>
          </w:tcPr>
          <w:p w14:paraId="0829C665" w14:textId="77777777" w:rsidR="003C61D3" w:rsidRPr="00D800F0" w:rsidRDefault="003C61D3" w:rsidP="007F228F">
            <w:pPr>
              <w:rPr>
                <w:rFonts w:ascii="Arial" w:hAnsi="Arial" w:cs="Arial"/>
              </w:rPr>
            </w:pPr>
            <w:r w:rsidRPr="00D800F0">
              <w:rPr>
                <w:rFonts w:ascii="Arial" w:hAnsi="Arial" w:cs="Arial"/>
              </w:rPr>
              <w:t>0.000</w:t>
            </w:r>
          </w:p>
        </w:tc>
        <w:tc>
          <w:tcPr>
            <w:tcW w:w="1260" w:type="dxa"/>
          </w:tcPr>
          <w:p w14:paraId="45ACB508" w14:textId="77777777" w:rsidR="003C61D3" w:rsidRPr="00D800F0" w:rsidRDefault="003C61D3" w:rsidP="007F228F">
            <w:pPr>
              <w:rPr>
                <w:rFonts w:ascii="Arial" w:hAnsi="Arial" w:cs="Arial"/>
              </w:rPr>
            </w:pPr>
            <w:r w:rsidRPr="00D800F0">
              <w:rPr>
                <w:rFonts w:ascii="Arial" w:hAnsi="Arial" w:cs="Arial"/>
              </w:rPr>
              <w:t>0.000</w:t>
            </w:r>
          </w:p>
        </w:tc>
        <w:tc>
          <w:tcPr>
            <w:tcW w:w="1015" w:type="dxa"/>
          </w:tcPr>
          <w:p w14:paraId="0DA9D16C" w14:textId="77777777" w:rsidR="003C61D3" w:rsidRPr="00D800F0" w:rsidRDefault="003C61D3" w:rsidP="007F228F">
            <w:pPr>
              <w:rPr>
                <w:rFonts w:ascii="Arial" w:hAnsi="Arial" w:cs="Arial"/>
              </w:rPr>
            </w:pPr>
            <w:r w:rsidRPr="00D800F0">
              <w:rPr>
                <w:rFonts w:ascii="Arial" w:hAnsi="Arial" w:cs="Arial"/>
              </w:rPr>
              <w:t>0.000</w:t>
            </w:r>
          </w:p>
        </w:tc>
        <w:tc>
          <w:tcPr>
            <w:tcW w:w="1242" w:type="dxa"/>
          </w:tcPr>
          <w:p w14:paraId="46D3C3B9" w14:textId="77777777" w:rsidR="003C61D3" w:rsidRPr="00D800F0" w:rsidRDefault="003C61D3" w:rsidP="007F228F">
            <w:pPr>
              <w:rPr>
                <w:rFonts w:ascii="Arial" w:hAnsi="Arial" w:cs="Arial"/>
              </w:rPr>
            </w:pPr>
            <w:r w:rsidRPr="00D800F0">
              <w:rPr>
                <w:rFonts w:ascii="Arial" w:hAnsi="Arial" w:cs="Arial"/>
              </w:rPr>
              <w:t>0.000</w:t>
            </w:r>
          </w:p>
        </w:tc>
        <w:tc>
          <w:tcPr>
            <w:tcW w:w="1242" w:type="dxa"/>
          </w:tcPr>
          <w:p w14:paraId="45085F7B" w14:textId="77777777" w:rsidR="003C61D3" w:rsidRPr="00D800F0" w:rsidRDefault="003C61D3" w:rsidP="007F228F">
            <w:pPr>
              <w:rPr>
                <w:rFonts w:ascii="Arial" w:hAnsi="Arial" w:cs="Arial"/>
              </w:rPr>
            </w:pPr>
            <w:r w:rsidRPr="00D800F0">
              <w:rPr>
                <w:rFonts w:ascii="Arial" w:hAnsi="Arial" w:cs="Arial"/>
              </w:rPr>
              <w:t>1.000</w:t>
            </w:r>
          </w:p>
        </w:tc>
      </w:tr>
      <w:tr w:rsidR="003C61D3" w:rsidRPr="00D800F0" w14:paraId="65A59D80" w14:textId="77777777" w:rsidTr="009967A4">
        <w:trPr>
          <w:cnfStyle w:val="000000100000" w:firstRow="0" w:lastRow="0" w:firstColumn="0" w:lastColumn="0" w:oddVBand="0" w:evenVBand="0" w:oddHBand="1" w:evenHBand="0" w:firstRowFirstColumn="0" w:firstRowLastColumn="0" w:lastRowFirstColumn="0" w:lastRowLastColumn="0"/>
          <w:trHeight w:val="20"/>
        </w:trPr>
        <w:tc>
          <w:tcPr>
            <w:tcW w:w="1710" w:type="dxa"/>
          </w:tcPr>
          <w:p w14:paraId="5DE659B6" w14:textId="77777777" w:rsidR="003C61D3" w:rsidRPr="00D800F0" w:rsidRDefault="003C61D3" w:rsidP="007F228F">
            <w:pPr>
              <w:rPr>
                <w:rFonts w:ascii="Arial" w:eastAsia="Times New Roman" w:hAnsi="Arial" w:cs="Arial"/>
                <w:sz w:val="24"/>
                <w:szCs w:val="24"/>
              </w:rPr>
            </w:pPr>
            <w:r w:rsidRPr="00D800F0">
              <w:rPr>
                <w:rFonts w:ascii="Arial" w:hAnsi="Arial" w:cs="Arial"/>
              </w:rPr>
              <w:t>Total</w:t>
            </w:r>
          </w:p>
        </w:tc>
        <w:tc>
          <w:tcPr>
            <w:tcW w:w="990" w:type="dxa"/>
          </w:tcPr>
          <w:p w14:paraId="690C813E" w14:textId="77777777" w:rsidR="003C61D3" w:rsidRPr="00D800F0" w:rsidRDefault="003C61D3" w:rsidP="007F228F">
            <w:pPr>
              <w:rPr>
                <w:rFonts w:ascii="Arial" w:eastAsia="Times New Roman" w:hAnsi="Arial" w:cs="Arial"/>
                <w:sz w:val="24"/>
                <w:szCs w:val="24"/>
              </w:rPr>
            </w:pPr>
            <w:r w:rsidRPr="00D800F0">
              <w:rPr>
                <w:rFonts w:ascii="Arial" w:hAnsi="Arial" w:cs="Arial"/>
              </w:rPr>
              <w:t>1.000</w:t>
            </w:r>
          </w:p>
        </w:tc>
        <w:tc>
          <w:tcPr>
            <w:tcW w:w="990" w:type="dxa"/>
          </w:tcPr>
          <w:p w14:paraId="1FC71778" w14:textId="77777777" w:rsidR="003C61D3" w:rsidRPr="00D800F0" w:rsidRDefault="003C61D3" w:rsidP="007F228F">
            <w:pPr>
              <w:rPr>
                <w:rFonts w:ascii="Arial" w:eastAsia="Times New Roman" w:hAnsi="Arial" w:cs="Arial"/>
                <w:sz w:val="24"/>
                <w:szCs w:val="24"/>
              </w:rPr>
            </w:pPr>
            <w:r w:rsidRPr="00D800F0">
              <w:rPr>
                <w:rFonts w:ascii="Arial" w:hAnsi="Arial" w:cs="Arial"/>
              </w:rPr>
              <w:t>1.000</w:t>
            </w:r>
          </w:p>
        </w:tc>
        <w:tc>
          <w:tcPr>
            <w:tcW w:w="1260" w:type="dxa"/>
          </w:tcPr>
          <w:p w14:paraId="33DC184F" w14:textId="77777777" w:rsidR="003C61D3" w:rsidRPr="00D800F0" w:rsidRDefault="003C61D3" w:rsidP="007F228F">
            <w:pPr>
              <w:rPr>
                <w:rFonts w:ascii="Arial" w:eastAsia="Times New Roman" w:hAnsi="Arial" w:cs="Arial"/>
                <w:sz w:val="24"/>
                <w:szCs w:val="24"/>
              </w:rPr>
            </w:pPr>
            <w:r w:rsidRPr="00D800F0">
              <w:rPr>
                <w:rFonts w:ascii="Arial" w:hAnsi="Arial" w:cs="Arial"/>
              </w:rPr>
              <w:t>1.000</w:t>
            </w:r>
          </w:p>
        </w:tc>
        <w:tc>
          <w:tcPr>
            <w:tcW w:w="1015" w:type="dxa"/>
          </w:tcPr>
          <w:p w14:paraId="1D9D4DA4" w14:textId="77777777" w:rsidR="003C61D3" w:rsidRPr="00D800F0" w:rsidRDefault="003C61D3" w:rsidP="007F228F">
            <w:pPr>
              <w:rPr>
                <w:rFonts w:ascii="Arial" w:eastAsia="Times New Roman" w:hAnsi="Arial" w:cs="Arial"/>
                <w:sz w:val="24"/>
                <w:szCs w:val="24"/>
              </w:rPr>
            </w:pPr>
            <w:r w:rsidRPr="00D800F0">
              <w:rPr>
                <w:rFonts w:ascii="Arial" w:hAnsi="Arial" w:cs="Arial"/>
              </w:rPr>
              <w:t>1.000</w:t>
            </w:r>
          </w:p>
        </w:tc>
        <w:tc>
          <w:tcPr>
            <w:tcW w:w="1242" w:type="dxa"/>
          </w:tcPr>
          <w:p w14:paraId="36B8563C" w14:textId="77777777" w:rsidR="003C61D3" w:rsidRPr="00D800F0" w:rsidRDefault="003C61D3" w:rsidP="007F228F">
            <w:pPr>
              <w:rPr>
                <w:rFonts w:ascii="Arial" w:eastAsia="Times New Roman" w:hAnsi="Arial" w:cs="Arial"/>
                <w:sz w:val="24"/>
                <w:szCs w:val="24"/>
              </w:rPr>
            </w:pPr>
            <w:r w:rsidRPr="00D800F0">
              <w:rPr>
                <w:rFonts w:ascii="Arial" w:hAnsi="Arial" w:cs="Arial"/>
              </w:rPr>
              <w:t>1.000</w:t>
            </w:r>
          </w:p>
        </w:tc>
        <w:tc>
          <w:tcPr>
            <w:tcW w:w="1242" w:type="dxa"/>
          </w:tcPr>
          <w:p w14:paraId="58D1047A" w14:textId="77777777" w:rsidR="003C61D3" w:rsidRPr="00D800F0" w:rsidRDefault="003C61D3" w:rsidP="007F228F">
            <w:pPr>
              <w:rPr>
                <w:rFonts w:ascii="Arial" w:hAnsi="Arial" w:cs="Arial"/>
              </w:rPr>
            </w:pPr>
            <w:r w:rsidRPr="00D800F0">
              <w:rPr>
                <w:rFonts w:ascii="Arial" w:hAnsi="Arial" w:cs="Arial"/>
              </w:rPr>
              <w:t>1.000</w:t>
            </w:r>
          </w:p>
        </w:tc>
      </w:tr>
    </w:tbl>
    <w:p w14:paraId="00000019" w14:textId="77777777" w:rsidR="00DA5071" w:rsidRPr="00D800F0" w:rsidRDefault="00DA5071">
      <w:pPr>
        <w:rPr>
          <w:rFonts w:ascii="Arial" w:hAnsi="Arial" w:cs="Arial"/>
        </w:rPr>
      </w:pPr>
    </w:p>
    <w:p w14:paraId="6C3F4787" w14:textId="6D3520EC" w:rsidR="0019533E" w:rsidRPr="00D800F0" w:rsidRDefault="0019533E" w:rsidP="0019533E">
      <w:pPr>
        <w:pStyle w:val="Heading3"/>
        <w:rPr>
          <w:rFonts w:ascii="Arial" w:hAnsi="Arial" w:cs="Arial"/>
        </w:rPr>
      </w:pPr>
      <w:bookmarkStart w:id="16" w:name="_Toc148296617"/>
      <w:r w:rsidRPr="00D800F0">
        <w:rPr>
          <w:rFonts w:ascii="Arial" w:hAnsi="Arial" w:cs="Arial"/>
        </w:rPr>
        <w:t>Utility, feedstock, and product flowrates and miscellaneous technical variables.</w:t>
      </w:r>
      <w:bookmarkEnd w:id="16"/>
    </w:p>
    <w:p w14:paraId="27F1C038" w14:textId="0354E676" w:rsidR="0019533E" w:rsidRPr="00D800F0" w:rsidRDefault="0019533E" w:rsidP="0019533E">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00802EAA" w:rsidRPr="00D800F0">
        <w:rPr>
          <w:rFonts w:ascii="Arial" w:hAnsi="Arial" w:cs="Arial"/>
          <w:noProof/>
        </w:rPr>
        <w:t>A</w:t>
      </w:r>
      <w:r w:rsidRPr="00D800F0">
        <w:rPr>
          <w:rFonts w:ascii="Arial" w:hAnsi="Arial" w:cs="Arial"/>
          <w:noProof/>
        </w:rPr>
        <w:fldChar w:fldCharType="end"/>
      </w:r>
      <w:r w:rsidR="00EA7652"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00802EAA" w:rsidRPr="00D800F0">
        <w:rPr>
          <w:rFonts w:ascii="Arial" w:hAnsi="Arial" w:cs="Arial"/>
          <w:noProof/>
        </w:rPr>
        <w:t>5</w:t>
      </w:r>
      <w:r w:rsidRPr="00D800F0">
        <w:rPr>
          <w:rFonts w:ascii="Arial" w:hAnsi="Arial" w:cs="Arial"/>
          <w:noProof/>
        </w:rPr>
        <w:fldChar w:fldCharType="end"/>
      </w:r>
      <w:r w:rsidRPr="00D800F0">
        <w:rPr>
          <w:rFonts w:ascii="Arial" w:hAnsi="Arial" w:cs="Arial"/>
        </w:rPr>
        <w:t>: Key technical parameters.</w:t>
      </w:r>
    </w:p>
    <w:tbl>
      <w:tblPr>
        <w:tblStyle w:val="a"/>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85"/>
        <w:gridCol w:w="2537"/>
        <w:gridCol w:w="1936"/>
        <w:gridCol w:w="1802"/>
      </w:tblGrid>
      <w:tr w:rsidR="00DA5071" w:rsidRPr="00D800F0" w14:paraId="6215D37C" w14:textId="77777777">
        <w:trPr>
          <w:cantSplit/>
          <w:trHeight w:val="405"/>
        </w:trPr>
        <w:tc>
          <w:tcPr>
            <w:tcW w:w="3085" w:type="dxa"/>
            <w:tcBorders>
              <w:top w:val="single" w:sz="8" w:space="0" w:color="666666"/>
              <w:left w:val="single" w:sz="8" w:space="0" w:color="F7F7F8"/>
              <w:bottom w:val="single" w:sz="8" w:space="0" w:color="000000"/>
              <w:right w:val="single" w:sz="8" w:space="0" w:color="F7F7F8"/>
            </w:tcBorders>
            <w:tcMar>
              <w:top w:w="0" w:type="dxa"/>
              <w:left w:w="100" w:type="dxa"/>
              <w:bottom w:w="0" w:type="dxa"/>
              <w:right w:w="100" w:type="dxa"/>
            </w:tcMar>
          </w:tcPr>
          <w:p w14:paraId="0000001B" w14:textId="77777777" w:rsidR="00DA5071" w:rsidRPr="00D800F0" w:rsidRDefault="00000000">
            <w:pPr>
              <w:spacing w:line="256" w:lineRule="auto"/>
              <w:jc w:val="center"/>
              <w:rPr>
                <w:rFonts w:ascii="Arial" w:hAnsi="Arial" w:cs="Arial"/>
                <w:b/>
              </w:rPr>
            </w:pPr>
            <w:r w:rsidRPr="00D800F0">
              <w:rPr>
                <w:rFonts w:ascii="Arial" w:hAnsi="Arial" w:cs="Arial"/>
                <w:b/>
              </w:rPr>
              <w:t>Input Name</w:t>
            </w:r>
          </w:p>
        </w:tc>
        <w:tc>
          <w:tcPr>
            <w:tcW w:w="2537" w:type="dxa"/>
            <w:tcBorders>
              <w:top w:val="single" w:sz="8" w:space="0" w:color="666666"/>
              <w:left w:val="single" w:sz="8" w:space="0" w:color="F7F7F8"/>
              <w:bottom w:val="single" w:sz="8" w:space="0" w:color="000000"/>
              <w:right w:val="single" w:sz="8" w:space="0" w:color="F7F7F8"/>
            </w:tcBorders>
            <w:tcMar>
              <w:top w:w="0" w:type="dxa"/>
              <w:left w:w="100" w:type="dxa"/>
              <w:bottom w:w="0" w:type="dxa"/>
              <w:right w:w="100" w:type="dxa"/>
            </w:tcMar>
          </w:tcPr>
          <w:p w14:paraId="0000001C" w14:textId="77777777" w:rsidR="00DA5071" w:rsidRPr="00D800F0" w:rsidRDefault="00000000">
            <w:pPr>
              <w:spacing w:line="256" w:lineRule="auto"/>
              <w:jc w:val="center"/>
              <w:rPr>
                <w:rFonts w:ascii="Arial" w:hAnsi="Arial" w:cs="Arial"/>
                <w:b/>
              </w:rPr>
            </w:pPr>
            <w:r w:rsidRPr="00D800F0">
              <w:rPr>
                <w:rFonts w:ascii="Arial" w:hAnsi="Arial" w:cs="Arial"/>
                <w:b/>
              </w:rPr>
              <w:t>Value</w:t>
            </w:r>
          </w:p>
        </w:tc>
        <w:tc>
          <w:tcPr>
            <w:tcW w:w="1936" w:type="dxa"/>
            <w:tcBorders>
              <w:top w:val="single" w:sz="8" w:space="0" w:color="666666"/>
              <w:left w:val="single" w:sz="8" w:space="0" w:color="F7F7F8"/>
              <w:bottom w:val="single" w:sz="8" w:space="0" w:color="000000"/>
              <w:right w:val="single" w:sz="8" w:space="0" w:color="F7F7F8"/>
            </w:tcBorders>
            <w:tcMar>
              <w:top w:w="0" w:type="dxa"/>
              <w:left w:w="100" w:type="dxa"/>
              <w:bottom w:w="0" w:type="dxa"/>
              <w:right w:w="100" w:type="dxa"/>
            </w:tcMar>
          </w:tcPr>
          <w:p w14:paraId="0000001D" w14:textId="77777777" w:rsidR="00DA5071" w:rsidRPr="00D800F0" w:rsidRDefault="00000000">
            <w:pPr>
              <w:spacing w:line="256" w:lineRule="auto"/>
              <w:jc w:val="center"/>
              <w:rPr>
                <w:rFonts w:ascii="Arial" w:hAnsi="Arial" w:cs="Arial"/>
                <w:b/>
              </w:rPr>
            </w:pPr>
            <w:r w:rsidRPr="00D800F0">
              <w:rPr>
                <w:rFonts w:ascii="Arial" w:hAnsi="Arial" w:cs="Arial"/>
                <w:b/>
              </w:rPr>
              <w:t>Unit</w:t>
            </w:r>
          </w:p>
        </w:tc>
        <w:tc>
          <w:tcPr>
            <w:tcW w:w="1802" w:type="dxa"/>
            <w:tcBorders>
              <w:top w:val="single" w:sz="8" w:space="0" w:color="666666"/>
              <w:left w:val="single" w:sz="8" w:space="0" w:color="F7F7F8"/>
              <w:bottom w:val="single" w:sz="8" w:space="0" w:color="000000"/>
              <w:right w:val="single" w:sz="8" w:space="0" w:color="F7F7F8"/>
            </w:tcBorders>
            <w:tcMar>
              <w:top w:w="0" w:type="dxa"/>
              <w:left w:w="100" w:type="dxa"/>
              <w:bottom w:w="0" w:type="dxa"/>
              <w:right w:w="100" w:type="dxa"/>
            </w:tcMar>
          </w:tcPr>
          <w:p w14:paraId="0000001E" w14:textId="77777777" w:rsidR="00DA5071" w:rsidRPr="00D800F0" w:rsidRDefault="00000000">
            <w:pPr>
              <w:spacing w:line="256" w:lineRule="auto"/>
              <w:jc w:val="center"/>
              <w:rPr>
                <w:rFonts w:ascii="Arial" w:hAnsi="Arial" w:cs="Arial"/>
                <w:b/>
              </w:rPr>
            </w:pPr>
            <w:r w:rsidRPr="00D800F0">
              <w:rPr>
                <w:rFonts w:ascii="Arial" w:hAnsi="Arial" w:cs="Arial"/>
                <w:b/>
              </w:rPr>
              <w:t>Source</w:t>
            </w:r>
          </w:p>
        </w:tc>
      </w:tr>
      <w:tr w:rsidR="00DA5071" w:rsidRPr="00D800F0" w14:paraId="7A5F343B" w14:textId="77777777" w:rsidTr="0019533E">
        <w:trPr>
          <w:cantSplit/>
          <w:trHeight w:val="124"/>
        </w:trPr>
        <w:tc>
          <w:tcPr>
            <w:tcW w:w="3085" w:type="dxa"/>
            <w:tcBorders>
              <w:top w:val="single" w:sz="8" w:space="0" w:color="000000"/>
              <w:left w:val="single" w:sz="8" w:space="0" w:color="F7F7F8"/>
              <w:bottom w:val="single" w:sz="8" w:space="0" w:color="F7F7F8"/>
              <w:right w:val="single" w:sz="8" w:space="0" w:color="F7F7F8"/>
            </w:tcBorders>
            <w:tcMar>
              <w:top w:w="0" w:type="dxa"/>
              <w:left w:w="100" w:type="dxa"/>
              <w:bottom w:w="0" w:type="dxa"/>
              <w:right w:w="100" w:type="dxa"/>
            </w:tcMar>
          </w:tcPr>
          <w:p w14:paraId="0000001F" w14:textId="1148EA36" w:rsidR="00DA5071" w:rsidRPr="00D800F0" w:rsidRDefault="00000000">
            <w:pPr>
              <w:spacing w:line="256" w:lineRule="auto"/>
              <w:jc w:val="center"/>
              <w:rPr>
                <w:rFonts w:ascii="Arial" w:hAnsi="Arial" w:cs="Arial"/>
                <w:b/>
                <w:bCs/>
              </w:rPr>
            </w:pPr>
            <m:oMathPara>
              <m:oMath>
                <m:sSub>
                  <m:sSubPr>
                    <m:ctrlPr>
                      <w:rPr>
                        <w:rFonts w:ascii="Cambria Math" w:hAnsi="Cambria Math" w:cs="Arial"/>
                        <w:b/>
                        <w:bCs/>
                        <w:i/>
                      </w:rPr>
                    </m:ctrlPr>
                  </m:sSubPr>
                  <m:e>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m:t>
                        </m:r>
                      </m:sup>
                    </m:sSup>
                    <m:r>
                      <m:rPr>
                        <m:sty m:val="bi"/>
                      </m:rPr>
                      <w:rPr>
                        <w:rFonts w:ascii="Cambria Math" w:hAnsi="Cambria Math" w:cs="Arial"/>
                      </w:rPr>
                      <m:t xml:space="preserve"> </m:t>
                    </m:r>
                  </m:e>
                  <m:sub>
                    <m:r>
                      <m:rPr>
                        <m:sty m:val="bi"/>
                      </m:rPr>
                      <w:rPr>
                        <w:rFonts w:ascii="Cambria Math" w:hAnsi="Cambria Math" w:cs="Arial"/>
                      </w:rPr>
                      <m:t>N</m:t>
                    </m:r>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3</m:t>
                        </m:r>
                      </m:sub>
                    </m:sSub>
                  </m:sub>
                </m:sSub>
              </m:oMath>
            </m:oMathPara>
          </w:p>
        </w:tc>
        <w:tc>
          <w:tcPr>
            <w:tcW w:w="2537" w:type="dxa"/>
            <w:tcBorders>
              <w:top w:val="single" w:sz="8" w:space="0" w:color="000000"/>
              <w:left w:val="single" w:sz="8" w:space="0" w:color="F7F7F8"/>
              <w:bottom w:val="single" w:sz="8" w:space="0" w:color="F7F7F8"/>
              <w:right w:val="single" w:sz="8" w:space="0" w:color="F7F7F8"/>
            </w:tcBorders>
            <w:tcMar>
              <w:top w:w="0" w:type="dxa"/>
              <w:left w:w="100" w:type="dxa"/>
              <w:bottom w:w="0" w:type="dxa"/>
              <w:right w:w="100" w:type="dxa"/>
            </w:tcMar>
          </w:tcPr>
          <w:p w14:paraId="00000020" w14:textId="77777777" w:rsidR="00DA5071" w:rsidRPr="00D800F0" w:rsidRDefault="00000000">
            <w:pPr>
              <w:spacing w:line="256" w:lineRule="auto"/>
              <w:jc w:val="center"/>
              <w:rPr>
                <w:rFonts w:ascii="Arial" w:hAnsi="Arial" w:cs="Arial"/>
              </w:rPr>
            </w:pPr>
            <w:r w:rsidRPr="00D800F0">
              <w:rPr>
                <w:rFonts w:ascii="Arial" w:hAnsi="Arial" w:cs="Arial"/>
              </w:rPr>
              <w:t>2717</w:t>
            </w:r>
          </w:p>
        </w:tc>
        <w:tc>
          <w:tcPr>
            <w:tcW w:w="1936" w:type="dxa"/>
            <w:tcBorders>
              <w:top w:val="single" w:sz="8" w:space="0" w:color="000000"/>
              <w:left w:val="single" w:sz="8" w:space="0" w:color="F7F7F8"/>
              <w:bottom w:val="single" w:sz="8" w:space="0" w:color="F7F7F8"/>
              <w:right w:val="single" w:sz="8" w:space="0" w:color="F7F7F8"/>
            </w:tcBorders>
            <w:tcMar>
              <w:top w:w="0" w:type="dxa"/>
              <w:left w:w="100" w:type="dxa"/>
              <w:bottom w:w="0" w:type="dxa"/>
              <w:right w:w="100" w:type="dxa"/>
            </w:tcMar>
          </w:tcPr>
          <w:p w14:paraId="00000021" w14:textId="77777777" w:rsidR="00DA5071" w:rsidRPr="00D800F0" w:rsidRDefault="00000000">
            <w:pPr>
              <w:spacing w:line="256" w:lineRule="auto"/>
              <w:jc w:val="center"/>
              <w:rPr>
                <w:rFonts w:ascii="Arial" w:hAnsi="Arial" w:cs="Arial"/>
              </w:rPr>
            </w:pPr>
            <w:r w:rsidRPr="00D800F0">
              <w:rPr>
                <w:rFonts w:ascii="Arial" w:hAnsi="Arial" w:cs="Arial"/>
              </w:rPr>
              <w:t>TPD</w:t>
            </w:r>
          </w:p>
        </w:tc>
        <w:tc>
          <w:tcPr>
            <w:tcW w:w="1802" w:type="dxa"/>
            <w:tcBorders>
              <w:top w:val="single" w:sz="8" w:space="0" w:color="000000"/>
              <w:left w:val="single" w:sz="8" w:space="0" w:color="F7F7F8"/>
              <w:bottom w:val="single" w:sz="8" w:space="0" w:color="F7F7F8"/>
              <w:right w:val="single" w:sz="8" w:space="0" w:color="F7F7F8"/>
            </w:tcBorders>
            <w:tcMar>
              <w:top w:w="0" w:type="dxa"/>
              <w:left w:w="100" w:type="dxa"/>
              <w:bottom w:w="0" w:type="dxa"/>
              <w:right w:w="100" w:type="dxa"/>
            </w:tcMar>
          </w:tcPr>
          <w:p w14:paraId="00000022" w14:textId="77777777" w:rsidR="00DA5071" w:rsidRPr="00D800F0" w:rsidRDefault="00000000">
            <w:pPr>
              <w:spacing w:line="256" w:lineRule="auto"/>
              <w:jc w:val="center"/>
              <w:rPr>
                <w:rFonts w:ascii="Arial" w:hAnsi="Arial" w:cs="Arial"/>
              </w:rPr>
            </w:pPr>
            <w:r w:rsidRPr="00D800F0">
              <w:rPr>
                <w:rFonts w:ascii="Arial" w:hAnsi="Arial" w:cs="Arial"/>
              </w:rPr>
              <w:t>Calculated assuming 99.9% conversion of N</w:t>
            </w:r>
            <w:r w:rsidRPr="00D800F0">
              <w:rPr>
                <w:rFonts w:ascii="Arial" w:hAnsi="Arial" w:cs="Arial"/>
                <w:vertAlign w:val="subscript"/>
              </w:rPr>
              <w:t>2</w:t>
            </w:r>
          </w:p>
        </w:tc>
      </w:tr>
      <w:tr w:rsidR="00DA5071" w:rsidRPr="00D800F0" w14:paraId="3163A2C3" w14:textId="77777777" w:rsidTr="0019533E">
        <w:trPr>
          <w:cantSplit/>
          <w:trHeight w:val="37"/>
        </w:trPr>
        <w:tc>
          <w:tcPr>
            <w:tcW w:w="3085"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3" w14:textId="137EFA4B" w:rsidR="00DA5071" w:rsidRPr="00D800F0" w:rsidRDefault="00000000">
            <w:pPr>
              <w:spacing w:line="256" w:lineRule="auto"/>
              <w:jc w:val="center"/>
              <w:rPr>
                <w:rFonts w:ascii="Arial" w:hAnsi="Arial" w:cs="Arial"/>
                <w:b/>
                <w:bCs/>
              </w:rPr>
            </w:pPr>
            <m:oMathPara>
              <m:oMath>
                <m:sSub>
                  <m:sSubPr>
                    <m:ctrlPr>
                      <w:rPr>
                        <w:rFonts w:ascii="Cambria Math" w:hAnsi="Cambria Math" w:cs="Arial"/>
                        <w:b/>
                        <w:bCs/>
                        <w:i/>
                      </w:rPr>
                    </m:ctrlPr>
                  </m:sSubPr>
                  <m:e>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m:t>
                        </m:r>
                      </m:sup>
                    </m:sSup>
                    <m:r>
                      <m:rPr>
                        <m:sty m:val="bi"/>
                      </m:rPr>
                      <w:rPr>
                        <w:rFonts w:ascii="Cambria Math" w:hAnsi="Cambria Math" w:cs="Arial"/>
                      </w:rPr>
                      <m:t xml:space="preserve"> </m:t>
                    </m:r>
                  </m:e>
                  <m:sub>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2</m:t>
                        </m:r>
                      </m:sub>
                    </m:sSub>
                  </m:sub>
                </m:sSub>
              </m:oMath>
            </m:oMathPara>
          </w:p>
        </w:tc>
        <w:tc>
          <w:tcPr>
            <w:tcW w:w="2537"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4" w14:textId="77777777" w:rsidR="00DA5071" w:rsidRPr="00D800F0" w:rsidRDefault="00000000">
            <w:pPr>
              <w:spacing w:line="256" w:lineRule="auto"/>
              <w:jc w:val="center"/>
              <w:rPr>
                <w:rFonts w:ascii="Arial" w:hAnsi="Arial" w:cs="Arial"/>
              </w:rPr>
            </w:pPr>
            <w:r w:rsidRPr="00D800F0">
              <w:rPr>
                <w:rFonts w:ascii="Arial" w:hAnsi="Arial" w:cs="Arial"/>
              </w:rPr>
              <w:t>483.013</w:t>
            </w:r>
          </w:p>
        </w:tc>
        <w:tc>
          <w:tcPr>
            <w:tcW w:w="1936"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5" w14:textId="77777777" w:rsidR="00DA5071" w:rsidRPr="00D800F0" w:rsidRDefault="00000000">
            <w:pPr>
              <w:spacing w:line="256" w:lineRule="auto"/>
              <w:jc w:val="center"/>
              <w:rPr>
                <w:rFonts w:ascii="Arial" w:hAnsi="Arial" w:cs="Arial"/>
              </w:rPr>
            </w:pPr>
            <w:r w:rsidRPr="00D800F0">
              <w:rPr>
                <w:rFonts w:ascii="Arial" w:hAnsi="Arial" w:cs="Arial"/>
              </w:rPr>
              <w:t>TPD</w:t>
            </w:r>
          </w:p>
        </w:tc>
        <w:tc>
          <w:tcPr>
            <w:tcW w:w="1802"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6" w14:textId="77777777" w:rsidR="00DA5071" w:rsidRPr="00D800F0" w:rsidRDefault="00000000">
            <w:pPr>
              <w:spacing w:line="256" w:lineRule="auto"/>
              <w:jc w:val="center"/>
              <w:rPr>
                <w:rFonts w:ascii="Arial" w:hAnsi="Arial" w:cs="Arial"/>
              </w:rPr>
            </w:pPr>
            <w:r w:rsidRPr="00D800F0">
              <w:rPr>
                <w:rFonts w:ascii="Arial" w:hAnsi="Arial" w:cs="Arial"/>
              </w:rPr>
              <w:t>Lewis et al. 2022</w:t>
            </w:r>
          </w:p>
        </w:tc>
      </w:tr>
      <w:tr w:rsidR="00DA5071" w:rsidRPr="00D800F0" w14:paraId="5667D8E6" w14:textId="77777777" w:rsidTr="0019533E">
        <w:trPr>
          <w:cantSplit/>
          <w:trHeight w:val="37"/>
        </w:trPr>
        <w:tc>
          <w:tcPr>
            <w:tcW w:w="3085"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7" w14:textId="2BE7B4E7" w:rsidR="00EA7652" w:rsidRPr="00D800F0" w:rsidRDefault="00000000" w:rsidP="00EA7652">
            <w:pPr>
              <w:spacing w:line="256" w:lineRule="auto"/>
              <w:jc w:val="center"/>
              <w:rPr>
                <w:rFonts w:ascii="Arial" w:hAnsi="Arial" w:cs="Arial"/>
                <w:b/>
                <w:bCs/>
              </w:rPr>
            </w:pPr>
            <m:oMathPara>
              <m:oMath>
                <m:sSub>
                  <m:sSubPr>
                    <m:ctrlPr>
                      <w:rPr>
                        <w:rFonts w:ascii="Cambria Math" w:hAnsi="Cambria Math" w:cs="Arial"/>
                        <w:b/>
                        <w:bCs/>
                        <w:i/>
                      </w:rPr>
                    </m:ctrlPr>
                  </m:sSubPr>
                  <m:e>
                    <m:r>
                      <m:rPr>
                        <m:sty m:val="bi"/>
                      </m:rPr>
                      <w:rPr>
                        <w:rFonts w:ascii="Cambria Math" w:hAnsi="Cambria Math" w:cs="Arial"/>
                      </w:rPr>
                      <m:t>η</m:t>
                    </m:r>
                  </m:e>
                  <m:sub>
                    <m:r>
                      <m:rPr>
                        <m:sty m:val="bi"/>
                      </m:rPr>
                      <w:rPr>
                        <w:rFonts w:ascii="Cambria Math" w:hAnsi="Cambria Math" w:cs="Arial"/>
                      </w:rPr>
                      <m:t>AEC</m:t>
                    </m:r>
                  </m:sub>
                </m:sSub>
              </m:oMath>
            </m:oMathPara>
          </w:p>
        </w:tc>
        <w:tc>
          <w:tcPr>
            <w:tcW w:w="2537"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8" w14:textId="58ECFBF8" w:rsidR="00DA5071" w:rsidRPr="00D800F0" w:rsidRDefault="00000000">
            <w:pPr>
              <w:spacing w:line="256" w:lineRule="auto"/>
              <w:jc w:val="center"/>
              <w:rPr>
                <w:rFonts w:ascii="Arial" w:hAnsi="Arial" w:cs="Arial"/>
              </w:rPr>
            </w:pPr>
            <w:r w:rsidRPr="00D800F0">
              <w:rPr>
                <w:rFonts w:ascii="Arial" w:hAnsi="Arial" w:cs="Arial"/>
              </w:rPr>
              <w:t>uniform(</w:t>
            </w:r>
            <w:r w:rsidR="00EA7652" w:rsidRPr="00D800F0">
              <w:rPr>
                <w:rFonts w:ascii="Arial" w:hAnsi="Arial" w:cs="Arial"/>
              </w:rPr>
              <w:t>70%</w:t>
            </w:r>
            <w:r w:rsidRPr="00D800F0">
              <w:rPr>
                <w:rFonts w:ascii="Arial" w:hAnsi="Arial" w:cs="Arial"/>
              </w:rPr>
              <w:t xml:space="preserve">, </w:t>
            </w:r>
            <w:r w:rsidR="00EA7652" w:rsidRPr="00D800F0">
              <w:rPr>
                <w:rFonts w:ascii="Arial" w:hAnsi="Arial" w:cs="Arial"/>
              </w:rPr>
              <w:t>78%</w:t>
            </w:r>
            <w:r w:rsidRPr="00D800F0">
              <w:rPr>
                <w:rFonts w:ascii="Arial" w:hAnsi="Arial" w:cs="Arial"/>
              </w:rPr>
              <w:t>)</w:t>
            </w:r>
          </w:p>
        </w:tc>
        <w:tc>
          <w:tcPr>
            <w:tcW w:w="1936"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9" w14:textId="77777777" w:rsidR="00DA5071" w:rsidRPr="00D800F0" w:rsidRDefault="00000000">
            <w:pPr>
              <w:spacing w:line="256" w:lineRule="auto"/>
              <w:jc w:val="center"/>
              <w:rPr>
                <w:rFonts w:ascii="Arial" w:hAnsi="Arial" w:cs="Arial"/>
              </w:rPr>
            </w:pPr>
            <w:r w:rsidRPr="00D800F0">
              <w:rPr>
                <w:rFonts w:ascii="Arial" w:hAnsi="Arial" w:cs="Arial"/>
              </w:rPr>
              <w:t>TPD</w:t>
            </w:r>
          </w:p>
        </w:tc>
        <w:tc>
          <w:tcPr>
            <w:tcW w:w="1802"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A" w14:textId="77777777" w:rsidR="00DA5071" w:rsidRPr="00D800F0" w:rsidRDefault="00000000">
            <w:pPr>
              <w:spacing w:line="256" w:lineRule="auto"/>
              <w:jc w:val="center"/>
              <w:rPr>
                <w:rFonts w:ascii="Arial" w:hAnsi="Arial" w:cs="Arial"/>
              </w:rPr>
            </w:pPr>
            <w:r w:rsidRPr="00D800F0">
              <w:rPr>
                <w:rFonts w:ascii="Arial" w:hAnsi="Arial" w:cs="Arial"/>
              </w:rPr>
              <w:t xml:space="preserve">Brauns et al., 2020 </w:t>
            </w:r>
          </w:p>
        </w:tc>
      </w:tr>
      <w:tr w:rsidR="00DA5071" w:rsidRPr="00D800F0" w14:paraId="68F8C306" w14:textId="77777777" w:rsidTr="0019533E">
        <w:trPr>
          <w:cantSplit/>
          <w:trHeight w:val="97"/>
        </w:trPr>
        <w:tc>
          <w:tcPr>
            <w:tcW w:w="3085"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B" w14:textId="5AC590BD" w:rsidR="00DA5071" w:rsidRPr="00D800F0" w:rsidRDefault="00000000">
            <w:pPr>
              <w:spacing w:line="256" w:lineRule="auto"/>
              <w:jc w:val="center"/>
              <w:rPr>
                <w:rFonts w:ascii="Arial" w:hAnsi="Arial" w:cs="Arial"/>
                <w:b/>
                <w:bCs/>
              </w:rPr>
            </w:pPr>
            <m:oMathPara>
              <m:oMath>
                <m:sSubSup>
                  <m:sSubSupPr>
                    <m:ctrlPr>
                      <w:rPr>
                        <w:rFonts w:ascii="Cambria Math" w:hAnsi="Cambria Math" w:cs="Arial"/>
                        <w:b/>
                        <w:bCs/>
                        <w:i/>
                      </w:rPr>
                    </m:ctrlPr>
                  </m:sSubSupPr>
                  <m:e>
                    <m:r>
                      <m:rPr>
                        <m:sty m:val="bi"/>
                      </m:rPr>
                      <w:rPr>
                        <w:rFonts w:ascii="Cambria Math" w:hAnsi="Cambria Math" w:cs="Arial"/>
                      </w:rPr>
                      <m:t>h</m:t>
                    </m:r>
                  </m:e>
                  <m:sub>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2</m:t>
                        </m:r>
                      </m:sub>
                    </m:sSub>
                  </m:sub>
                  <m:sup>
                    <m:r>
                      <m:rPr>
                        <m:sty m:val="bi"/>
                      </m:rPr>
                      <w:rPr>
                        <w:rFonts w:ascii="Cambria Math" w:hAnsi="Cambria Math" w:cs="Arial"/>
                      </w:rPr>
                      <m:t>LHV</m:t>
                    </m:r>
                  </m:sup>
                </m:sSubSup>
              </m:oMath>
            </m:oMathPara>
          </w:p>
        </w:tc>
        <w:tc>
          <w:tcPr>
            <w:tcW w:w="2537"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C" w14:textId="77777777" w:rsidR="00DA5071" w:rsidRPr="00D800F0" w:rsidRDefault="00000000">
            <w:pPr>
              <w:spacing w:line="256" w:lineRule="auto"/>
              <w:jc w:val="center"/>
              <w:rPr>
                <w:rFonts w:ascii="Arial" w:hAnsi="Arial" w:cs="Arial"/>
              </w:rPr>
            </w:pPr>
            <w:r w:rsidRPr="00D800F0">
              <w:rPr>
                <w:rFonts w:ascii="Arial" w:hAnsi="Arial" w:cs="Arial"/>
              </w:rPr>
              <w:t>33.3333</w:t>
            </w:r>
          </w:p>
        </w:tc>
        <w:tc>
          <w:tcPr>
            <w:tcW w:w="1936"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D" w14:textId="77777777" w:rsidR="00DA5071" w:rsidRPr="00D800F0" w:rsidRDefault="00000000">
            <w:pPr>
              <w:spacing w:line="256" w:lineRule="auto"/>
              <w:jc w:val="center"/>
              <w:rPr>
                <w:rFonts w:ascii="Arial" w:hAnsi="Arial" w:cs="Arial"/>
              </w:rPr>
            </w:pPr>
            <w:r w:rsidRPr="00D800F0">
              <w:rPr>
                <w:rFonts w:ascii="Arial" w:hAnsi="Arial" w:cs="Arial"/>
              </w:rPr>
              <w:t>kWh/kg</w:t>
            </w:r>
          </w:p>
        </w:tc>
        <w:tc>
          <w:tcPr>
            <w:tcW w:w="1802"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E" w14:textId="77777777" w:rsidR="00DA5071" w:rsidRPr="00D800F0" w:rsidRDefault="00DA5071">
            <w:pPr>
              <w:spacing w:line="256" w:lineRule="auto"/>
              <w:jc w:val="center"/>
              <w:rPr>
                <w:rFonts w:ascii="Arial" w:hAnsi="Arial" w:cs="Arial"/>
              </w:rPr>
            </w:pPr>
          </w:p>
        </w:tc>
      </w:tr>
      <w:tr w:rsidR="00DA5071" w:rsidRPr="00D800F0" w14:paraId="2A5EA45C" w14:textId="77777777" w:rsidTr="00AC5071">
        <w:trPr>
          <w:cantSplit/>
          <w:trHeight w:val="37"/>
        </w:trPr>
        <w:tc>
          <w:tcPr>
            <w:tcW w:w="3085"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2F" w14:textId="2589258C" w:rsidR="00DA5071" w:rsidRPr="00D800F0" w:rsidRDefault="00000000">
            <w:pPr>
              <w:spacing w:line="256" w:lineRule="auto"/>
              <w:jc w:val="center"/>
              <w:rPr>
                <w:rFonts w:ascii="Arial" w:hAnsi="Arial" w:cs="Arial"/>
                <w:b/>
                <w:bCs/>
              </w:rPr>
            </w:pPr>
            <m:oMathPara>
              <m:oMath>
                <m:sSub>
                  <m:sSubPr>
                    <m:ctrlPr>
                      <w:rPr>
                        <w:rFonts w:ascii="Cambria Math" w:hAnsi="Cambria Math" w:cs="Arial"/>
                        <w:b/>
                        <w:bCs/>
                        <w:i/>
                      </w:rPr>
                    </m:ctrlPr>
                  </m:sSubPr>
                  <m:e>
                    <m:r>
                      <m:rPr>
                        <m:sty m:val="bi"/>
                      </m:rPr>
                      <w:rPr>
                        <w:rFonts w:ascii="Cambria Math" w:hAnsi="Cambria Math" w:cs="Arial"/>
                      </w:rPr>
                      <m:t>R</m:t>
                    </m:r>
                  </m:e>
                  <m:sub>
                    <m:r>
                      <m:rPr>
                        <m:sty m:val="bi"/>
                      </m:rPr>
                      <w:rPr>
                        <w:rFonts w:ascii="Cambria Math" w:hAnsi="Cambria Math" w:cs="Arial"/>
                      </w:rPr>
                      <m:t>CO</m:t>
                    </m:r>
                    <m:r>
                      <m:rPr>
                        <m:sty m:val="bi"/>
                      </m:rPr>
                      <w:rPr>
                        <w:rFonts w:ascii="Cambria Math" w:hAnsi="Cambria Math" w:cs="Arial"/>
                      </w:rPr>
                      <m:t>2</m:t>
                    </m:r>
                  </m:sub>
                </m:sSub>
              </m:oMath>
            </m:oMathPara>
          </w:p>
        </w:tc>
        <w:tc>
          <w:tcPr>
            <w:tcW w:w="2537"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30" w14:textId="25531D6A" w:rsidR="00DA5071" w:rsidRPr="00D800F0" w:rsidRDefault="00EA7652">
            <w:pPr>
              <w:spacing w:line="256" w:lineRule="auto"/>
              <w:jc w:val="center"/>
              <w:rPr>
                <w:rFonts w:ascii="Arial" w:hAnsi="Arial" w:cs="Arial"/>
              </w:rPr>
            </w:pPr>
            <w:r w:rsidRPr="00D800F0">
              <w:rPr>
                <w:rFonts w:ascii="Arial" w:hAnsi="Arial" w:cs="Arial"/>
              </w:rPr>
              <w:t>95.6%</w:t>
            </w:r>
          </w:p>
        </w:tc>
        <w:tc>
          <w:tcPr>
            <w:tcW w:w="1936"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31" w14:textId="0073E50A" w:rsidR="00DA5071" w:rsidRPr="00D800F0" w:rsidRDefault="00EA7652">
            <w:pPr>
              <w:spacing w:line="256" w:lineRule="auto"/>
              <w:jc w:val="center"/>
              <w:rPr>
                <w:rFonts w:ascii="Arial" w:hAnsi="Arial" w:cs="Arial"/>
              </w:rPr>
            </w:pPr>
            <w:r w:rsidRPr="00D800F0">
              <w:rPr>
                <w:rFonts w:ascii="Arial" w:hAnsi="Arial" w:cs="Arial"/>
              </w:rPr>
              <w:t>W%/w%</w:t>
            </w:r>
          </w:p>
        </w:tc>
        <w:tc>
          <w:tcPr>
            <w:tcW w:w="1802"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32" w14:textId="22F6C513" w:rsidR="00DA5071" w:rsidRPr="00D800F0" w:rsidRDefault="0019533E">
            <w:pPr>
              <w:spacing w:line="256" w:lineRule="auto"/>
              <w:jc w:val="center"/>
              <w:rPr>
                <w:rFonts w:ascii="Arial" w:hAnsi="Arial" w:cs="Arial"/>
              </w:rPr>
            </w:pPr>
            <w:r w:rsidRPr="00D800F0">
              <w:rPr>
                <w:rFonts w:ascii="Arial" w:hAnsi="Arial" w:cs="Arial"/>
              </w:rPr>
              <w:t>Lewis et al., 2022</w:t>
            </w:r>
          </w:p>
        </w:tc>
      </w:tr>
      <w:tr w:rsidR="00AC5071" w:rsidRPr="00D800F0" w14:paraId="495201D4" w14:textId="77777777" w:rsidTr="00AB49EF">
        <w:trPr>
          <w:cantSplit/>
          <w:trHeight w:val="37"/>
        </w:trPr>
        <w:tc>
          <w:tcPr>
            <w:tcW w:w="3085"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75673202" w14:textId="56A1D101" w:rsidR="00AC5071" w:rsidRPr="00D800F0" w:rsidRDefault="00000000">
            <w:pPr>
              <w:spacing w:line="256" w:lineRule="auto"/>
              <w:jc w:val="center"/>
              <w:rPr>
                <w:rFonts w:ascii="Arial" w:hAnsi="Arial" w:cs="Arial"/>
                <w:b/>
                <w:bCs/>
              </w:rPr>
            </w:pPr>
            <m:oMathPara>
              <m:oMath>
                <m:sSubSup>
                  <m:sSubSupPr>
                    <m:ctrlPr>
                      <w:rPr>
                        <w:rFonts w:ascii="Cambria Math" w:hAnsi="Cambria Math" w:cs="Arial"/>
                        <w:b/>
                        <w:bCs/>
                        <w:i/>
                      </w:rPr>
                    </m:ctrlPr>
                  </m:sSubSupPr>
                  <m:e>
                    <m:r>
                      <m:rPr>
                        <m:sty m:val="bi"/>
                      </m:rPr>
                      <w:rPr>
                        <w:rFonts w:ascii="Cambria Math" w:hAnsi="Cambria Math" w:cs="Arial"/>
                      </w:rPr>
                      <m:t>h</m:t>
                    </m:r>
                  </m:e>
                  <m:sub>
                    <m:r>
                      <m:rPr>
                        <m:sty m:val="bi"/>
                      </m:rPr>
                      <w:rPr>
                        <w:rFonts w:ascii="Cambria Math" w:hAnsi="Cambria Math" w:cs="Arial"/>
                      </w:rPr>
                      <m:t>NG</m:t>
                    </m:r>
                  </m:sub>
                  <m:sup>
                    <m:r>
                      <m:rPr>
                        <m:sty m:val="bi"/>
                      </m:rPr>
                      <w:rPr>
                        <w:rFonts w:ascii="Cambria Math" w:hAnsi="Cambria Math" w:cs="Arial"/>
                      </w:rPr>
                      <m:t>LHV</m:t>
                    </m:r>
                  </m:sup>
                </m:sSubSup>
              </m:oMath>
            </m:oMathPara>
          </w:p>
        </w:tc>
        <w:tc>
          <w:tcPr>
            <w:tcW w:w="2537"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12F676DB" w14:textId="21B0B763" w:rsidR="00AC5071" w:rsidRPr="00D800F0" w:rsidRDefault="00AC5071">
            <w:pPr>
              <w:spacing w:line="256" w:lineRule="auto"/>
              <w:jc w:val="center"/>
              <w:rPr>
                <w:rFonts w:ascii="Arial" w:hAnsi="Arial" w:cs="Arial"/>
              </w:rPr>
            </w:pPr>
            <w:r w:rsidRPr="00D800F0">
              <w:rPr>
                <w:rFonts w:ascii="Arial" w:hAnsi="Arial" w:cs="Arial"/>
              </w:rPr>
              <w:t>47.1</w:t>
            </w:r>
          </w:p>
        </w:tc>
        <w:tc>
          <w:tcPr>
            <w:tcW w:w="1936"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143A7A6A" w14:textId="145F8194" w:rsidR="00AC5071" w:rsidRPr="00D800F0" w:rsidRDefault="00AC5071">
            <w:pPr>
              <w:spacing w:line="256" w:lineRule="auto"/>
              <w:jc w:val="center"/>
              <w:rPr>
                <w:rFonts w:ascii="Arial" w:hAnsi="Arial" w:cs="Arial"/>
              </w:rPr>
            </w:pPr>
            <w:r w:rsidRPr="00D800F0">
              <w:rPr>
                <w:rFonts w:ascii="Arial" w:hAnsi="Arial" w:cs="Arial"/>
              </w:rPr>
              <w:t>MJ/kg</w:t>
            </w:r>
          </w:p>
        </w:tc>
        <w:tc>
          <w:tcPr>
            <w:tcW w:w="1802"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2276F998" w14:textId="0807A809" w:rsidR="00AC5071" w:rsidRPr="00D800F0" w:rsidRDefault="00AC5071">
            <w:pPr>
              <w:spacing w:line="256" w:lineRule="auto"/>
              <w:jc w:val="center"/>
              <w:rPr>
                <w:rFonts w:ascii="Arial" w:hAnsi="Arial" w:cs="Arial"/>
              </w:rPr>
            </w:pPr>
            <w:r w:rsidRPr="00D800F0">
              <w:rPr>
                <w:rFonts w:ascii="Arial" w:hAnsi="Arial" w:cs="Arial"/>
              </w:rPr>
              <w:t>Engineering Tool Box, 2003</w:t>
            </w:r>
          </w:p>
        </w:tc>
      </w:tr>
      <w:tr w:rsidR="00AB49EF" w:rsidRPr="00D800F0" w14:paraId="7E28115C" w14:textId="77777777" w:rsidTr="0019533E">
        <w:trPr>
          <w:cantSplit/>
          <w:trHeight w:val="37"/>
        </w:trPr>
        <w:tc>
          <w:tcPr>
            <w:tcW w:w="3085"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7BB32881" w14:textId="442CB776" w:rsidR="00AB49EF" w:rsidRPr="00D800F0" w:rsidRDefault="00000000">
            <w:pPr>
              <w:spacing w:line="256" w:lineRule="auto"/>
              <w:jc w:val="center"/>
              <w:rPr>
                <w:rFonts w:ascii="Arial" w:hAnsi="Arial" w:cs="Arial"/>
                <w:b/>
                <w:bCs/>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Y</m:t>
                    </m:r>
                  </m:e>
                  <m:sub>
                    <m:r>
                      <m:rPr>
                        <m:sty m:val="bi"/>
                      </m:rPr>
                      <w:rPr>
                        <w:rFonts w:ascii="Cambria Math" w:eastAsia="Cambria Math" w:hAnsi="Cambria Math" w:cs="Arial"/>
                      </w:rPr>
                      <m:t>biomass</m:t>
                    </m:r>
                  </m:sub>
                </m:sSub>
              </m:oMath>
            </m:oMathPara>
          </w:p>
        </w:tc>
        <w:tc>
          <w:tcPr>
            <w:tcW w:w="2537"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2325DA4C" w14:textId="7A997733" w:rsidR="00AB49EF" w:rsidRPr="00D800F0" w:rsidRDefault="00AB49EF">
            <w:pPr>
              <w:spacing w:line="256" w:lineRule="auto"/>
              <w:jc w:val="center"/>
              <w:rPr>
                <w:rFonts w:ascii="Arial" w:hAnsi="Arial" w:cs="Arial"/>
              </w:rPr>
            </w:pPr>
            <w:r w:rsidRPr="00D800F0">
              <w:rPr>
                <w:rFonts w:ascii="Arial" w:hAnsi="Arial" w:cs="Arial"/>
              </w:rPr>
              <w:t>70.1</w:t>
            </w:r>
          </w:p>
        </w:tc>
        <w:tc>
          <w:tcPr>
            <w:tcW w:w="1936"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7E344BC7" w14:textId="5802FA29" w:rsidR="00AB49EF" w:rsidRPr="00D800F0" w:rsidRDefault="00AB49EF">
            <w:pPr>
              <w:spacing w:line="256" w:lineRule="auto"/>
              <w:jc w:val="center"/>
              <w:rPr>
                <w:rFonts w:ascii="Arial" w:hAnsi="Arial" w:cs="Arial"/>
              </w:rPr>
            </w:pPr>
            <w:r w:rsidRPr="00D800F0">
              <w:rPr>
                <w:rFonts w:ascii="Arial" w:hAnsi="Arial" w:cs="Arial"/>
              </w:rPr>
              <w:t>Kg H2/tonne biomass</w:t>
            </w:r>
          </w:p>
        </w:tc>
        <w:tc>
          <w:tcPr>
            <w:tcW w:w="1802"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374C1E02" w14:textId="63F1D2AD" w:rsidR="00AB49EF" w:rsidRPr="00D800F0" w:rsidRDefault="00AB49EF">
            <w:pPr>
              <w:spacing w:line="256" w:lineRule="auto"/>
              <w:jc w:val="center"/>
              <w:rPr>
                <w:rFonts w:ascii="Arial" w:hAnsi="Arial" w:cs="Arial"/>
              </w:rPr>
            </w:pPr>
            <w:r w:rsidRPr="00D800F0">
              <w:rPr>
                <w:rFonts w:ascii="Arial" w:hAnsi="Arial" w:cs="Arial"/>
              </w:rPr>
              <w:t>Spath et al., 2005</w:t>
            </w:r>
          </w:p>
        </w:tc>
      </w:tr>
    </w:tbl>
    <w:p w14:paraId="00000033" w14:textId="77777777" w:rsidR="00DA5071" w:rsidRPr="00D800F0" w:rsidRDefault="00DA5071">
      <w:pPr>
        <w:rPr>
          <w:rFonts w:ascii="Arial" w:hAnsi="Arial" w:cs="Arial"/>
        </w:rPr>
      </w:pPr>
    </w:p>
    <w:p w14:paraId="174A0A48" w14:textId="172718D6" w:rsidR="00EA7652" w:rsidRPr="00D800F0" w:rsidRDefault="00EA7652" w:rsidP="00EA7652">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00802EAA" w:rsidRPr="00D800F0">
        <w:rPr>
          <w:rFonts w:ascii="Arial" w:hAnsi="Arial" w:cs="Arial"/>
          <w:noProof/>
        </w:rPr>
        <w:t>A</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00802EAA" w:rsidRPr="00D800F0">
        <w:rPr>
          <w:rFonts w:ascii="Arial" w:hAnsi="Arial" w:cs="Arial"/>
          <w:noProof/>
        </w:rPr>
        <w:t>6</w:t>
      </w:r>
      <w:r w:rsidRPr="00D800F0">
        <w:rPr>
          <w:rFonts w:ascii="Arial" w:hAnsi="Arial" w:cs="Arial"/>
          <w:noProof/>
        </w:rPr>
        <w:fldChar w:fldCharType="end"/>
      </w:r>
      <w:r w:rsidRPr="00D800F0">
        <w:rPr>
          <w:rFonts w:ascii="Arial" w:hAnsi="Arial" w:cs="Arial"/>
        </w:rPr>
        <w:t>: Electricity requirements</w:t>
      </w:r>
    </w:p>
    <w:tbl>
      <w:tblPr>
        <w:tblStyle w:val="a0"/>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40"/>
        <w:gridCol w:w="4590"/>
        <w:gridCol w:w="720"/>
        <w:gridCol w:w="2710"/>
      </w:tblGrid>
      <w:tr w:rsidR="00DA5071" w:rsidRPr="00D800F0" w14:paraId="0BD41579" w14:textId="77777777" w:rsidTr="002F5375">
        <w:trPr>
          <w:cantSplit/>
          <w:trHeight w:val="405"/>
        </w:trPr>
        <w:tc>
          <w:tcPr>
            <w:tcW w:w="134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35" w14:textId="77777777" w:rsidR="00DA5071" w:rsidRPr="00D800F0" w:rsidRDefault="00000000">
            <w:pPr>
              <w:spacing w:line="256" w:lineRule="auto"/>
              <w:jc w:val="center"/>
              <w:rPr>
                <w:rFonts w:ascii="Arial" w:hAnsi="Arial" w:cs="Arial"/>
                <w:b/>
              </w:rPr>
            </w:pPr>
            <w:r w:rsidRPr="00D800F0">
              <w:rPr>
                <w:rFonts w:ascii="Arial" w:hAnsi="Arial" w:cs="Arial"/>
                <w:b/>
              </w:rPr>
              <w:t>Input Name</w:t>
            </w:r>
          </w:p>
        </w:tc>
        <w:tc>
          <w:tcPr>
            <w:tcW w:w="459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36" w14:textId="1633CE19" w:rsidR="00DA5071" w:rsidRPr="00D800F0" w:rsidRDefault="00000000">
            <w:pPr>
              <w:spacing w:line="256" w:lineRule="auto"/>
              <w:jc w:val="center"/>
              <w:rPr>
                <w:rFonts w:ascii="Arial" w:hAnsi="Arial" w:cs="Arial"/>
                <w:b/>
                <w:vertAlign w:val="superscript"/>
              </w:rPr>
            </w:pPr>
            <w:r w:rsidRPr="00D800F0">
              <w:rPr>
                <w:rFonts w:ascii="Arial" w:hAnsi="Arial" w:cs="Arial"/>
                <w:b/>
              </w:rPr>
              <w:t>Value</w:t>
            </w:r>
            <w:r w:rsidR="002F5375" w:rsidRPr="00D800F0">
              <w:rPr>
                <w:rFonts w:ascii="Arial" w:hAnsi="Arial" w:cs="Arial"/>
                <w:b/>
                <w:vertAlign w:val="superscript"/>
              </w:rPr>
              <w:t>A</w:t>
            </w:r>
          </w:p>
        </w:tc>
        <w:tc>
          <w:tcPr>
            <w:tcW w:w="72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37" w14:textId="77777777" w:rsidR="00DA5071" w:rsidRPr="00D800F0" w:rsidRDefault="00000000">
            <w:pPr>
              <w:spacing w:line="256" w:lineRule="auto"/>
              <w:jc w:val="center"/>
              <w:rPr>
                <w:rFonts w:ascii="Arial" w:hAnsi="Arial" w:cs="Arial"/>
                <w:b/>
              </w:rPr>
            </w:pPr>
            <w:r w:rsidRPr="00D800F0">
              <w:rPr>
                <w:rFonts w:ascii="Arial" w:hAnsi="Arial" w:cs="Arial"/>
                <w:b/>
              </w:rPr>
              <w:t>Unit</w:t>
            </w:r>
          </w:p>
        </w:tc>
        <w:tc>
          <w:tcPr>
            <w:tcW w:w="271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38" w14:textId="77777777" w:rsidR="00DA5071" w:rsidRPr="00D800F0" w:rsidRDefault="00000000">
            <w:pPr>
              <w:spacing w:line="256" w:lineRule="auto"/>
              <w:jc w:val="center"/>
              <w:rPr>
                <w:rFonts w:ascii="Arial" w:hAnsi="Arial" w:cs="Arial"/>
                <w:b/>
              </w:rPr>
            </w:pPr>
            <w:r w:rsidRPr="00D800F0">
              <w:rPr>
                <w:rFonts w:ascii="Arial" w:hAnsi="Arial" w:cs="Arial"/>
                <w:b/>
              </w:rPr>
              <w:t>Source</w:t>
            </w:r>
          </w:p>
        </w:tc>
      </w:tr>
      <w:tr w:rsidR="002F5375" w:rsidRPr="00D800F0" w14:paraId="62487156" w14:textId="77777777" w:rsidTr="002F5375">
        <w:trPr>
          <w:cantSplit/>
          <w:trHeight w:val="37"/>
        </w:trPr>
        <w:tc>
          <w:tcPr>
            <w:tcW w:w="1340" w:type="dxa"/>
            <w:tcBorders>
              <w:left w:val="single" w:sz="8" w:space="0" w:color="F7F7F8"/>
              <w:bottom w:val="single" w:sz="8" w:space="0" w:color="F7F7F8"/>
              <w:right w:val="single" w:sz="8" w:space="0" w:color="F7F7F8"/>
            </w:tcBorders>
            <w:tcMar>
              <w:top w:w="0" w:type="dxa"/>
              <w:left w:w="100" w:type="dxa"/>
              <w:bottom w:w="0" w:type="dxa"/>
              <w:right w:w="100" w:type="dxa"/>
            </w:tcMar>
          </w:tcPr>
          <w:p w14:paraId="00000039" w14:textId="77777777" w:rsidR="002F5375" w:rsidRPr="00D800F0" w:rsidRDefault="002F5375">
            <w:pPr>
              <w:spacing w:line="256" w:lineRule="auto"/>
              <w:jc w:val="center"/>
              <w:rPr>
                <w:rFonts w:ascii="Arial" w:hAnsi="Arial" w:cs="Arial"/>
              </w:rPr>
            </w:pPr>
            <w:r w:rsidRPr="00D800F0">
              <w:rPr>
                <w:rFonts w:ascii="Arial" w:hAnsi="Arial" w:cs="Arial"/>
              </w:rPr>
              <w:t>AP SMR</w:t>
            </w:r>
          </w:p>
        </w:tc>
        <w:tc>
          <w:tcPr>
            <w:tcW w:w="4590" w:type="dxa"/>
            <w:tcBorders>
              <w:left w:val="single" w:sz="8" w:space="0" w:color="F7F7F8"/>
              <w:bottom w:val="single" w:sz="8" w:space="0" w:color="F7F7F8"/>
              <w:right w:val="single" w:sz="8" w:space="0" w:color="F7F7F8"/>
            </w:tcBorders>
            <w:tcMar>
              <w:top w:w="0" w:type="dxa"/>
              <w:left w:w="100" w:type="dxa"/>
              <w:bottom w:w="0" w:type="dxa"/>
              <w:right w:w="100" w:type="dxa"/>
            </w:tcMar>
          </w:tcPr>
          <w:p w14:paraId="0000003A" w14:textId="352E4604" w:rsidR="002F5375" w:rsidRPr="00D800F0" w:rsidRDefault="002F5375" w:rsidP="00EA7652">
            <w:pPr>
              <w:spacing w:line="256" w:lineRule="auto"/>
              <w:jc w:val="center"/>
              <w:rPr>
                <w:rFonts w:ascii="Arial" w:hAnsi="Arial" w:cs="Arial"/>
              </w:rPr>
            </w:pPr>
            <w:r w:rsidRPr="00D800F0">
              <w:rPr>
                <w:rFonts w:ascii="Arial" w:hAnsi="Arial" w:cs="Arial"/>
              </w:rPr>
              <w:t>HP: 13, AP: 64</w:t>
            </w:r>
          </w:p>
        </w:tc>
        <w:tc>
          <w:tcPr>
            <w:tcW w:w="720" w:type="dxa"/>
            <w:tcBorders>
              <w:left w:val="single" w:sz="8" w:space="0" w:color="F7F7F8"/>
              <w:bottom w:val="single" w:sz="8" w:space="0" w:color="F7F7F8"/>
              <w:right w:val="single" w:sz="8" w:space="0" w:color="F7F7F8"/>
            </w:tcBorders>
            <w:tcMar>
              <w:top w:w="0" w:type="dxa"/>
              <w:left w:w="100" w:type="dxa"/>
              <w:bottom w:w="0" w:type="dxa"/>
              <w:right w:w="100" w:type="dxa"/>
            </w:tcMar>
          </w:tcPr>
          <w:p w14:paraId="0000003B" w14:textId="4B44CBEF" w:rsidR="002F5375" w:rsidRPr="00D800F0" w:rsidRDefault="002F5375">
            <w:pPr>
              <w:spacing w:line="256" w:lineRule="auto"/>
              <w:jc w:val="center"/>
              <w:rPr>
                <w:rFonts w:ascii="Arial" w:hAnsi="Arial" w:cs="Arial"/>
                <w:shd w:val="clear" w:color="auto" w:fill="F7F7F8"/>
              </w:rPr>
            </w:pPr>
            <w:r w:rsidRPr="00D800F0">
              <w:rPr>
                <w:rFonts w:ascii="Arial" w:hAnsi="Arial" w:cs="Arial"/>
                <w:shd w:val="clear" w:color="auto" w:fill="F7F7F8"/>
              </w:rPr>
              <w:t>MW</w:t>
            </w:r>
          </w:p>
        </w:tc>
        <w:tc>
          <w:tcPr>
            <w:tcW w:w="2710" w:type="dxa"/>
            <w:vMerge w:val="restart"/>
            <w:tcBorders>
              <w:left w:val="single" w:sz="8" w:space="0" w:color="F7F7F8"/>
              <w:right w:val="single" w:sz="8" w:space="0" w:color="F7F7F8"/>
            </w:tcBorders>
            <w:tcMar>
              <w:top w:w="0" w:type="dxa"/>
              <w:left w:w="100" w:type="dxa"/>
              <w:bottom w:w="0" w:type="dxa"/>
              <w:right w:w="100" w:type="dxa"/>
            </w:tcMar>
          </w:tcPr>
          <w:p w14:paraId="0000003C" w14:textId="6784DA3C" w:rsidR="002F5375" w:rsidRPr="00D800F0" w:rsidRDefault="002F5375">
            <w:pPr>
              <w:spacing w:line="256" w:lineRule="auto"/>
              <w:jc w:val="center"/>
              <w:rPr>
                <w:rFonts w:ascii="Arial" w:hAnsi="Arial" w:cs="Arial"/>
                <w:shd w:val="clear" w:color="auto" w:fill="F7F7F8"/>
              </w:rPr>
            </w:pPr>
            <w:r w:rsidRPr="00D800F0">
              <w:rPr>
                <w:rFonts w:ascii="Arial" w:hAnsi="Arial" w:cs="Arial"/>
                <w:shd w:val="clear" w:color="auto" w:fill="F7F7F8"/>
              </w:rPr>
              <w:t>Lewis et al., 2022; Brasington et al., 2011; A.F. Young et al., 2021; Spath et al. 2005</w:t>
            </w:r>
          </w:p>
        </w:tc>
      </w:tr>
      <w:tr w:rsidR="002F5375" w:rsidRPr="00D800F0" w14:paraId="1030DACB" w14:textId="77777777" w:rsidTr="002F5375">
        <w:trPr>
          <w:cantSplit/>
          <w:trHeight w:val="37"/>
        </w:trPr>
        <w:tc>
          <w:tcPr>
            <w:tcW w:w="134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3D" w14:textId="77777777" w:rsidR="002F5375" w:rsidRPr="00D800F0" w:rsidRDefault="002F5375">
            <w:pPr>
              <w:spacing w:line="256" w:lineRule="auto"/>
              <w:jc w:val="center"/>
              <w:rPr>
                <w:rFonts w:ascii="Arial" w:hAnsi="Arial" w:cs="Arial"/>
              </w:rPr>
            </w:pPr>
            <w:r w:rsidRPr="00D800F0">
              <w:rPr>
                <w:rFonts w:ascii="Arial" w:hAnsi="Arial" w:cs="Arial"/>
              </w:rPr>
              <w:t>AP CCS</w:t>
            </w:r>
          </w:p>
        </w:tc>
        <w:tc>
          <w:tcPr>
            <w:tcW w:w="459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3E" w14:textId="41368514" w:rsidR="002F5375" w:rsidRPr="00D800F0" w:rsidRDefault="002F5375" w:rsidP="00EA7652">
            <w:pPr>
              <w:spacing w:line="256" w:lineRule="auto"/>
              <w:jc w:val="center"/>
              <w:rPr>
                <w:rFonts w:ascii="Arial" w:hAnsi="Arial" w:cs="Arial"/>
              </w:rPr>
            </w:pPr>
            <w:r w:rsidRPr="00D800F0">
              <w:rPr>
                <w:rFonts w:ascii="Arial" w:hAnsi="Arial" w:cs="Arial"/>
              </w:rPr>
              <w:t>HP: 41, AP: 117</w:t>
            </w:r>
          </w:p>
        </w:tc>
        <w:tc>
          <w:tcPr>
            <w:tcW w:w="72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3F" w14:textId="0F22F737" w:rsidR="002F5375" w:rsidRPr="00D800F0" w:rsidRDefault="002F5375">
            <w:pPr>
              <w:spacing w:line="256" w:lineRule="auto"/>
              <w:jc w:val="center"/>
              <w:rPr>
                <w:rFonts w:ascii="Arial" w:hAnsi="Arial" w:cs="Arial"/>
                <w:shd w:val="clear" w:color="auto" w:fill="F7F7F8"/>
              </w:rPr>
            </w:pPr>
            <w:r w:rsidRPr="00D800F0">
              <w:rPr>
                <w:rFonts w:ascii="Arial" w:hAnsi="Arial" w:cs="Arial"/>
                <w:shd w:val="clear" w:color="auto" w:fill="F7F7F8"/>
              </w:rPr>
              <w:t>MW</w:t>
            </w:r>
          </w:p>
        </w:tc>
        <w:tc>
          <w:tcPr>
            <w:tcW w:w="2710" w:type="dxa"/>
            <w:vMerge/>
            <w:tcBorders>
              <w:left w:val="single" w:sz="8" w:space="0" w:color="F7F7F8"/>
              <w:right w:val="single" w:sz="8" w:space="0" w:color="F7F7F8"/>
            </w:tcBorders>
            <w:tcMar>
              <w:top w:w="0" w:type="dxa"/>
              <w:left w:w="100" w:type="dxa"/>
              <w:bottom w:w="0" w:type="dxa"/>
              <w:right w:w="100" w:type="dxa"/>
            </w:tcMar>
          </w:tcPr>
          <w:p w14:paraId="00000040" w14:textId="77777777" w:rsidR="002F5375" w:rsidRPr="00D800F0" w:rsidRDefault="002F5375">
            <w:pPr>
              <w:spacing w:line="256" w:lineRule="auto"/>
              <w:jc w:val="center"/>
              <w:rPr>
                <w:rFonts w:ascii="Arial" w:hAnsi="Arial" w:cs="Arial"/>
                <w:shd w:val="clear" w:color="auto" w:fill="F7F7F8"/>
              </w:rPr>
            </w:pPr>
          </w:p>
        </w:tc>
      </w:tr>
      <w:tr w:rsidR="002F5375" w:rsidRPr="00D800F0" w14:paraId="3D465C76" w14:textId="77777777" w:rsidTr="002F5375">
        <w:trPr>
          <w:cantSplit/>
          <w:trHeight w:val="37"/>
        </w:trPr>
        <w:tc>
          <w:tcPr>
            <w:tcW w:w="134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41" w14:textId="77777777" w:rsidR="002F5375" w:rsidRPr="00D800F0" w:rsidRDefault="002F5375">
            <w:pPr>
              <w:spacing w:line="256" w:lineRule="auto"/>
              <w:jc w:val="center"/>
              <w:rPr>
                <w:rFonts w:ascii="Arial" w:hAnsi="Arial" w:cs="Arial"/>
              </w:rPr>
            </w:pPr>
            <w:r w:rsidRPr="00D800F0">
              <w:rPr>
                <w:rFonts w:ascii="Arial" w:hAnsi="Arial" w:cs="Arial"/>
              </w:rPr>
              <w:t>AP BH2S</w:t>
            </w:r>
          </w:p>
        </w:tc>
        <w:tc>
          <w:tcPr>
            <w:tcW w:w="459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42" w14:textId="64D109BD" w:rsidR="002F5375" w:rsidRPr="00D800F0" w:rsidRDefault="002F5375" w:rsidP="00EA7652">
            <w:pPr>
              <w:spacing w:line="256" w:lineRule="auto"/>
              <w:jc w:val="center"/>
              <w:rPr>
                <w:rFonts w:ascii="Arial" w:hAnsi="Arial" w:cs="Arial"/>
              </w:rPr>
            </w:pPr>
            <w:r w:rsidRPr="00D800F0">
              <w:rPr>
                <w:rFonts w:ascii="Arial" w:hAnsi="Arial" w:cs="Arial"/>
              </w:rPr>
              <w:t>HP: 76.6, AP: 127</w:t>
            </w:r>
          </w:p>
        </w:tc>
        <w:tc>
          <w:tcPr>
            <w:tcW w:w="72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43" w14:textId="098B3377" w:rsidR="002F5375" w:rsidRPr="00D800F0" w:rsidRDefault="002F5375">
            <w:pPr>
              <w:spacing w:line="256" w:lineRule="auto"/>
              <w:jc w:val="center"/>
              <w:rPr>
                <w:rFonts w:ascii="Arial" w:hAnsi="Arial" w:cs="Arial"/>
              </w:rPr>
            </w:pPr>
            <w:r w:rsidRPr="00D800F0">
              <w:rPr>
                <w:rFonts w:ascii="Arial" w:hAnsi="Arial" w:cs="Arial"/>
              </w:rPr>
              <w:t>MW</w:t>
            </w:r>
          </w:p>
        </w:tc>
        <w:tc>
          <w:tcPr>
            <w:tcW w:w="2710" w:type="dxa"/>
            <w:vMerge/>
            <w:tcBorders>
              <w:left w:val="single" w:sz="8" w:space="0" w:color="F7F7F8"/>
              <w:bottom w:val="single" w:sz="8" w:space="0" w:color="F7F7F8"/>
              <w:right w:val="single" w:sz="8" w:space="0" w:color="F7F7F8"/>
            </w:tcBorders>
            <w:tcMar>
              <w:top w:w="0" w:type="dxa"/>
              <w:left w:w="100" w:type="dxa"/>
              <w:bottom w:w="0" w:type="dxa"/>
              <w:right w:w="100" w:type="dxa"/>
            </w:tcMar>
          </w:tcPr>
          <w:p w14:paraId="00000044" w14:textId="77777777" w:rsidR="002F5375" w:rsidRPr="00D800F0" w:rsidRDefault="002F5375">
            <w:pPr>
              <w:spacing w:line="256" w:lineRule="auto"/>
              <w:jc w:val="center"/>
              <w:rPr>
                <w:rFonts w:ascii="Arial" w:hAnsi="Arial" w:cs="Arial"/>
              </w:rPr>
            </w:pPr>
          </w:p>
        </w:tc>
      </w:tr>
      <w:tr w:rsidR="00EA7652" w:rsidRPr="00D800F0" w14:paraId="50F477B2" w14:textId="77777777" w:rsidTr="002F5375">
        <w:trPr>
          <w:cantSplit/>
          <w:trHeight w:val="37"/>
        </w:trPr>
        <w:tc>
          <w:tcPr>
            <w:tcW w:w="1340"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121B2323" w14:textId="61252C68" w:rsidR="00EA7652" w:rsidRPr="00D800F0" w:rsidRDefault="00EA7652">
            <w:pPr>
              <w:spacing w:line="256" w:lineRule="auto"/>
              <w:jc w:val="center"/>
              <w:rPr>
                <w:rFonts w:ascii="Arial" w:hAnsi="Arial" w:cs="Arial"/>
              </w:rPr>
            </w:pPr>
            <w:r w:rsidRPr="00D800F0">
              <w:rPr>
                <w:rFonts w:ascii="Arial" w:hAnsi="Arial" w:cs="Arial"/>
              </w:rPr>
              <w:t>AP AEC</w:t>
            </w:r>
          </w:p>
        </w:tc>
        <w:tc>
          <w:tcPr>
            <w:tcW w:w="4590"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361FBD33" w14:textId="6E1F4C3E" w:rsidR="00EA7652" w:rsidRPr="00D800F0" w:rsidRDefault="00EA7652" w:rsidP="0019533E">
            <w:pPr>
              <w:spacing w:line="256" w:lineRule="auto"/>
              <w:rPr>
                <w:rFonts w:ascii="Arial" w:hAnsi="Arial" w:cs="Arial"/>
              </w:rPr>
            </w:pPr>
            <w:r w:rsidRPr="00D800F0">
              <w:rPr>
                <w:rFonts w:ascii="Arial" w:hAnsi="Arial" w:cs="Arial"/>
              </w:rPr>
              <w:t xml:space="preserve">HP: </w:t>
            </w:r>
            <m:oMath>
              <m:f>
                <m:fPr>
                  <m:ctrlPr>
                    <w:rPr>
                      <w:rFonts w:ascii="Cambria Math" w:hAnsi="Cambria Math" w:cs="Arial"/>
                      <w:b/>
                      <w:bCs/>
                      <w:i/>
                    </w:rPr>
                  </m:ctrlPr>
                </m:fPr>
                <m:num>
                  <m:sSub>
                    <m:sSubPr>
                      <m:ctrlPr>
                        <w:rPr>
                          <w:rFonts w:ascii="Cambria Math" w:hAnsi="Cambria Math" w:cs="Arial"/>
                          <w:b/>
                          <w:bCs/>
                          <w:i/>
                        </w:rPr>
                      </m:ctrlPr>
                    </m:sSubPr>
                    <m:e>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m:t>
                          </m:r>
                        </m:sup>
                      </m:sSup>
                      <m:r>
                        <m:rPr>
                          <m:sty m:val="bi"/>
                        </m:rPr>
                        <w:rPr>
                          <w:rFonts w:ascii="Cambria Math" w:hAnsi="Cambria Math" w:cs="Arial"/>
                        </w:rPr>
                        <m:t xml:space="preserve"> </m:t>
                      </m:r>
                    </m:e>
                    <m:sub>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2</m:t>
                          </m:r>
                        </m:sub>
                      </m:sSub>
                    </m:sub>
                  </m:sSub>
                  <m:r>
                    <m:rPr>
                      <m:sty m:val="bi"/>
                    </m:rPr>
                    <w:rPr>
                      <w:rFonts w:ascii="Cambria Math" w:hAnsi="Cambria Math" w:cs="Arial"/>
                    </w:rPr>
                    <m:t>×</m:t>
                  </m:r>
                  <m:sSubSup>
                    <m:sSubSupPr>
                      <m:ctrlPr>
                        <w:rPr>
                          <w:rFonts w:ascii="Cambria Math" w:hAnsi="Cambria Math" w:cs="Arial"/>
                          <w:b/>
                          <w:bCs/>
                          <w:i/>
                        </w:rPr>
                      </m:ctrlPr>
                    </m:sSubSupPr>
                    <m:e>
                      <m:r>
                        <m:rPr>
                          <m:sty m:val="bi"/>
                        </m:rPr>
                        <w:rPr>
                          <w:rFonts w:ascii="Cambria Math" w:hAnsi="Cambria Math" w:cs="Arial"/>
                        </w:rPr>
                        <m:t>h</m:t>
                      </m:r>
                    </m:e>
                    <m:sub>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2</m:t>
                          </m:r>
                        </m:sub>
                      </m:sSub>
                    </m:sub>
                    <m:sup>
                      <m:r>
                        <m:rPr>
                          <m:sty m:val="bi"/>
                        </m:rPr>
                        <w:rPr>
                          <w:rFonts w:ascii="Cambria Math" w:hAnsi="Cambria Math" w:cs="Arial"/>
                        </w:rPr>
                        <m:t>LHV</m:t>
                      </m:r>
                    </m:sup>
                  </m:sSubSup>
                  <m:r>
                    <m:rPr>
                      <m:sty m:val="bi"/>
                    </m:rPr>
                    <w:rPr>
                      <w:rFonts w:ascii="Cambria Math" w:hAnsi="Cambria Math" w:cs="Arial"/>
                    </w:rPr>
                    <m:t>×1000</m:t>
                  </m:r>
                </m:num>
                <m:den>
                  <m:sSub>
                    <m:sSubPr>
                      <m:ctrlPr>
                        <w:rPr>
                          <w:rFonts w:ascii="Cambria Math" w:hAnsi="Cambria Math" w:cs="Arial"/>
                          <w:b/>
                          <w:bCs/>
                          <w:i/>
                        </w:rPr>
                      </m:ctrlPr>
                    </m:sSubPr>
                    <m:e>
                      <m:r>
                        <m:rPr>
                          <m:sty m:val="bi"/>
                        </m:rPr>
                        <w:rPr>
                          <w:rFonts w:ascii="Cambria Math" w:hAnsi="Cambria Math" w:cs="Arial"/>
                        </w:rPr>
                        <m:t>η</m:t>
                      </m:r>
                    </m:e>
                    <m:sub>
                      <m:r>
                        <m:rPr>
                          <m:sty m:val="bi"/>
                        </m:rPr>
                        <w:rPr>
                          <w:rFonts w:ascii="Cambria Math" w:hAnsi="Cambria Math" w:cs="Arial"/>
                        </w:rPr>
                        <m:t>AEC</m:t>
                      </m:r>
                    </m:sub>
                  </m:sSub>
                </m:den>
              </m:f>
            </m:oMath>
            <w:r w:rsidRPr="00D800F0">
              <w:rPr>
                <w:rFonts w:ascii="Arial" w:hAnsi="Arial" w:cs="Arial"/>
                <w:b/>
                <w:bCs/>
              </w:rPr>
              <w:t>,</w:t>
            </w:r>
            <w:r w:rsidRPr="00D800F0">
              <w:rPr>
                <w:rFonts w:ascii="Arial" w:hAnsi="Arial" w:cs="Arial"/>
              </w:rPr>
              <w:t xml:space="preserve"> AP: </w:t>
            </w:r>
            <m:oMath>
              <m:r>
                <m:rPr>
                  <m:sty m:val="b"/>
                </m:rPr>
                <w:rPr>
                  <w:rFonts w:ascii="Cambria Math" w:hAnsi="Cambria Math" w:cs="Arial"/>
                </w:rPr>
                <m:t xml:space="preserve"> </m:t>
              </m:r>
              <m:f>
                <m:fPr>
                  <m:ctrlPr>
                    <w:rPr>
                      <w:rFonts w:ascii="Cambria Math" w:hAnsi="Cambria Math" w:cs="Arial"/>
                      <w:b/>
                      <w:bCs/>
                      <w:i/>
                    </w:rPr>
                  </m:ctrlPr>
                </m:fPr>
                <m:num>
                  <m:sSub>
                    <m:sSubPr>
                      <m:ctrlPr>
                        <w:rPr>
                          <w:rFonts w:ascii="Cambria Math" w:hAnsi="Cambria Math" w:cs="Arial"/>
                          <w:b/>
                          <w:bCs/>
                          <w:i/>
                        </w:rPr>
                      </m:ctrlPr>
                    </m:sSubPr>
                    <m:e>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m:t>
                          </m:r>
                        </m:sup>
                      </m:sSup>
                      <m:r>
                        <m:rPr>
                          <m:sty m:val="bi"/>
                        </m:rPr>
                        <w:rPr>
                          <w:rFonts w:ascii="Cambria Math" w:hAnsi="Cambria Math" w:cs="Arial"/>
                        </w:rPr>
                        <m:t xml:space="preserve"> </m:t>
                      </m:r>
                    </m:e>
                    <m:sub>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2</m:t>
                          </m:r>
                        </m:sub>
                      </m:sSub>
                    </m:sub>
                  </m:sSub>
                  <m:r>
                    <m:rPr>
                      <m:sty m:val="bi"/>
                    </m:rPr>
                    <w:rPr>
                      <w:rFonts w:ascii="Cambria Math" w:hAnsi="Cambria Math" w:cs="Arial"/>
                    </w:rPr>
                    <m:t>×</m:t>
                  </m:r>
                  <m:sSubSup>
                    <m:sSubSupPr>
                      <m:ctrlPr>
                        <w:rPr>
                          <w:rFonts w:ascii="Cambria Math" w:hAnsi="Cambria Math" w:cs="Arial"/>
                          <w:b/>
                          <w:bCs/>
                          <w:i/>
                        </w:rPr>
                      </m:ctrlPr>
                    </m:sSubSupPr>
                    <m:e>
                      <m:r>
                        <m:rPr>
                          <m:sty m:val="bi"/>
                        </m:rPr>
                        <w:rPr>
                          <w:rFonts w:ascii="Cambria Math" w:hAnsi="Cambria Math" w:cs="Arial"/>
                        </w:rPr>
                        <m:t>h</m:t>
                      </m:r>
                    </m:e>
                    <m:sub>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2</m:t>
                          </m:r>
                        </m:sub>
                      </m:sSub>
                    </m:sub>
                    <m:sup>
                      <m:r>
                        <m:rPr>
                          <m:sty m:val="bi"/>
                        </m:rPr>
                        <w:rPr>
                          <w:rFonts w:ascii="Cambria Math" w:hAnsi="Cambria Math" w:cs="Arial"/>
                        </w:rPr>
                        <m:t>LHV</m:t>
                      </m:r>
                    </m:sup>
                  </m:sSubSup>
                  <m:r>
                    <m:rPr>
                      <m:sty m:val="bi"/>
                    </m:rPr>
                    <w:rPr>
                      <w:rFonts w:ascii="Cambria Math" w:hAnsi="Cambria Math" w:cs="Arial"/>
                    </w:rPr>
                    <m:t>×1000</m:t>
                  </m:r>
                </m:num>
                <m:den>
                  <m:sSub>
                    <m:sSubPr>
                      <m:ctrlPr>
                        <w:rPr>
                          <w:rFonts w:ascii="Cambria Math" w:hAnsi="Cambria Math" w:cs="Arial"/>
                          <w:b/>
                          <w:bCs/>
                          <w:i/>
                        </w:rPr>
                      </m:ctrlPr>
                    </m:sSubPr>
                    <m:e>
                      <m:r>
                        <m:rPr>
                          <m:sty m:val="bi"/>
                        </m:rPr>
                        <w:rPr>
                          <w:rFonts w:ascii="Cambria Math" w:hAnsi="Cambria Math" w:cs="Arial"/>
                        </w:rPr>
                        <m:t>η</m:t>
                      </m:r>
                    </m:e>
                    <m:sub>
                      <m:r>
                        <m:rPr>
                          <m:sty m:val="bi"/>
                        </m:rPr>
                        <w:rPr>
                          <w:rFonts w:ascii="Cambria Math" w:hAnsi="Cambria Math" w:cs="Arial"/>
                        </w:rPr>
                        <m:t>AEC</m:t>
                      </m:r>
                    </m:sub>
                  </m:sSub>
                </m:den>
              </m:f>
              <m:r>
                <w:rPr>
                  <w:rFonts w:ascii="Cambria Math" w:hAnsi="Cambria Math" w:cs="Arial"/>
                </w:rPr>
                <m:t>+52</m:t>
              </m:r>
            </m:oMath>
          </w:p>
        </w:tc>
        <w:tc>
          <w:tcPr>
            <w:tcW w:w="720"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7AAA0BF0" w14:textId="4BD79625" w:rsidR="00EA7652" w:rsidRPr="00D800F0" w:rsidRDefault="00EA7652">
            <w:pPr>
              <w:spacing w:line="256" w:lineRule="auto"/>
              <w:jc w:val="center"/>
              <w:rPr>
                <w:rFonts w:ascii="Arial" w:hAnsi="Arial" w:cs="Arial"/>
              </w:rPr>
            </w:pPr>
            <w:r w:rsidRPr="00D800F0">
              <w:rPr>
                <w:rFonts w:ascii="Arial" w:hAnsi="Arial" w:cs="Arial"/>
              </w:rPr>
              <w:t>MW</w:t>
            </w:r>
          </w:p>
        </w:tc>
        <w:tc>
          <w:tcPr>
            <w:tcW w:w="2710"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68990227" w14:textId="20A3FF58" w:rsidR="00EA7652" w:rsidRPr="00D800F0" w:rsidRDefault="002F5375">
            <w:pPr>
              <w:spacing w:line="256" w:lineRule="auto"/>
              <w:jc w:val="center"/>
              <w:rPr>
                <w:rFonts w:ascii="Arial" w:hAnsi="Arial" w:cs="Arial"/>
              </w:rPr>
            </w:pPr>
            <w:r w:rsidRPr="00D800F0">
              <w:rPr>
                <w:rFonts w:ascii="Arial" w:hAnsi="Arial" w:cs="Arial"/>
                <w:shd w:val="clear" w:color="auto" w:fill="F7F7F8"/>
              </w:rPr>
              <w:t xml:space="preserve">Lewis et al., 2022; Brasington et al., 2011; A.F. Young et al., 2021; </w:t>
            </w:r>
            <w:r w:rsidRPr="00D800F0">
              <w:rPr>
                <w:rFonts w:ascii="Arial" w:hAnsi="Arial" w:cs="Arial"/>
              </w:rPr>
              <w:t>Böhm</w:t>
            </w:r>
            <w:r w:rsidRPr="00D800F0">
              <w:rPr>
                <w:rFonts w:ascii="Arial" w:hAnsi="Arial" w:cs="Arial"/>
                <w:shd w:val="clear" w:color="auto" w:fill="F7F7F8"/>
              </w:rPr>
              <w:t xml:space="preserve"> et al., 2020. </w:t>
            </w:r>
          </w:p>
        </w:tc>
      </w:tr>
      <w:tr w:rsidR="002F5375" w:rsidRPr="00D800F0" w14:paraId="11DC46BF" w14:textId="77777777" w:rsidTr="00830D4B">
        <w:trPr>
          <w:cantSplit/>
          <w:trHeight w:val="37"/>
        </w:trPr>
        <w:tc>
          <w:tcPr>
            <w:tcW w:w="9360" w:type="dxa"/>
            <w:gridSpan w:val="4"/>
            <w:tcBorders>
              <w:top w:val="single" w:sz="4" w:space="0" w:color="auto"/>
              <w:left w:val="single" w:sz="8" w:space="0" w:color="F7F7F8"/>
              <w:bottom w:val="single" w:sz="8" w:space="0" w:color="000000"/>
              <w:right w:val="single" w:sz="8" w:space="0" w:color="F7F7F8"/>
            </w:tcBorders>
            <w:tcMar>
              <w:top w:w="0" w:type="dxa"/>
              <w:left w:w="100" w:type="dxa"/>
              <w:bottom w:w="0" w:type="dxa"/>
              <w:right w:w="100" w:type="dxa"/>
            </w:tcMar>
          </w:tcPr>
          <w:p w14:paraId="2A68CF0F" w14:textId="40584789" w:rsidR="002F5375" w:rsidRPr="00D800F0" w:rsidRDefault="002F5375" w:rsidP="002F5375">
            <w:pPr>
              <w:spacing w:line="256" w:lineRule="auto"/>
              <w:rPr>
                <w:rFonts w:ascii="Arial" w:hAnsi="Arial" w:cs="Arial"/>
              </w:rPr>
            </w:pPr>
            <w:r w:rsidRPr="00D800F0">
              <w:rPr>
                <w:rFonts w:ascii="Arial" w:hAnsi="Arial" w:cs="Arial"/>
                <w:vertAlign w:val="superscript"/>
              </w:rPr>
              <w:t>A</w:t>
            </w:r>
            <w:r w:rsidRPr="00D800F0">
              <w:rPr>
                <w:rFonts w:ascii="Arial" w:hAnsi="Arial" w:cs="Arial"/>
              </w:rPr>
              <w:t xml:space="preserve"> HP stands for hydrogen production and shows the electricity demand for hydrogen production. AP is hydrogen production plus the electricity demand from HB, ASU, and the compression system.  </w:t>
            </w:r>
          </w:p>
        </w:tc>
      </w:tr>
    </w:tbl>
    <w:p w14:paraId="00000045" w14:textId="77777777" w:rsidR="00DA5071" w:rsidRPr="00D800F0" w:rsidRDefault="00DA5071">
      <w:pPr>
        <w:rPr>
          <w:rFonts w:ascii="Arial" w:hAnsi="Arial" w:cs="Arial"/>
        </w:rPr>
      </w:pPr>
    </w:p>
    <w:p w14:paraId="50166522" w14:textId="6C0ABB29" w:rsidR="00EA7652" w:rsidRPr="00D800F0" w:rsidRDefault="00EA7652" w:rsidP="00EA7652">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00802EAA" w:rsidRPr="00D800F0">
        <w:rPr>
          <w:rFonts w:ascii="Arial" w:hAnsi="Arial" w:cs="Arial"/>
          <w:noProof/>
        </w:rPr>
        <w:t>A</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00802EAA" w:rsidRPr="00D800F0">
        <w:rPr>
          <w:rFonts w:ascii="Arial" w:hAnsi="Arial" w:cs="Arial"/>
          <w:noProof/>
        </w:rPr>
        <w:t>7</w:t>
      </w:r>
      <w:r w:rsidRPr="00D800F0">
        <w:rPr>
          <w:rFonts w:ascii="Arial" w:hAnsi="Arial" w:cs="Arial"/>
          <w:noProof/>
        </w:rPr>
        <w:fldChar w:fldCharType="end"/>
      </w:r>
      <w:r w:rsidRPr="00D800F0">
        <w:rPr>
          <w:rFonts w:ascii="Arial" w:hAnsi="Arial" w:cs="Arial"/>
        </w:rPr>
        <w:t>: Natural gas requirements</w:t>
      </w:r>
      <w:r w:rsidR="00AB49EF" w:rsidRPr="00D800F0">
        <w:rPr>
          <w:rFonts w:ascii="Arial" w:hAnsi="Arial" w:cs="Arial"/>
        </w:rPr>
        <w:t xml:space="preserve">, </w:t>
      </w:r>
      <m:oMath>
        <m:sSubSup>
          <m:sSubSupPr>
            <m:ctrlPr>
              <w:rPr>
                <w:rFonts w:ascii="Cambria Math" w:hAnsi="Cambria Math" w:cs="Arial"/>
                <w:b/>
                <w:bCs/>
                <w:i/>
              </w:rPr>
            </m:ctrlPr>
          </m:sSubSupPr>
          <m:e>
            <m:r>
              <m:rPr>
                <m:sty m:val="bi"/>
              </m:rPr>
              <w:rPr>
                <w:rFonts w:ascii="Cambria Math" w:hAnsi="Cambria Math" w:cs="Arial"/>
              </w:rPr>
              <m:t>M</m:t>
            </m:r>
          </m:e>
          <m:sub>
            <m:r>
              <m:rPr>
                <m:sty m:val="bi"/>
              </m:rPr>
              <w:rPr>
                <w:rFonts w:ascii="Cambria Math" w:hAnsi="Cambria Math" w:cs="Arial"/>
              </w:rPr>
              <m:t>N</m:t>
            </m:r>
            <m:sSub>
              <m:sSubPr>
                <m:ctrlPr>
                  <w:rPr>
                    <w:rFonts w:ascii="Cambria Math" w:hAnsi="Cambria Math" w:cs="Arial"/>
                    <w:b/>
                    <w:bCs/>
                    <w:i/>
                  </w:rPr>
                </m:ctrlPr>
              </m:sSubPr>
              <m:e>
                <m:r>
                  <m:rPr>
                    <m:sty m:val="bi"/>
                  </m:rPr>
                  <w:rPr>
                    <w:rFonts w:ascii="Cambria Math" w:hAnsi="Cambria Math" w:cs="Arial"/>
                  </w:rPr>
                  <m:t>G</m:t>
                </m:r>
              </m:e>
              <m:sub>
                <m:r>
                  <m:rPr>
                    <m:sty m:val="bi"/>
                  </m:rPr>
                  <w:rPr>
                    <w:rFonts w:ascii="Cambria Math" w:hAnsi="Cambria Math" w:cs="Arial"/>
                  </w:rPr>
                  <m:t>j</m:t>
                </m:r>
              </m:sub>
            </m:sSub>
          </m:sub>
          <m:sup>
            <m:r>
              <m:rPr>
                <m:sty m:val="bi"/>
              </m:rPr>
              <w:rPr>
                <w:rFonts w:ascii="Cambria Math" w:hAnsi="Cambria Math" w:cs="Arial"/>
              </w:rPr>
              <m:t>.</m:t>
            </m:r>
          </m:sup>
        </m:sSubSup>
      </m:oMath>
    </w:p>
    <w:tbl>
      <w:tblPr>
        <w:tblStyle w:val="a1"/>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85"/>
        <w:gridCol w:w="3025"/>
        <w:gridCol w:w="1448"/>
        <w:gridCol w:w="1802"/>
      </w:tblGrid>
      <w:tr w:rsidR="00DA5071" w:rsidRPr="00D800F0" w14:paraId="4F55F5FB" w14:textId="77777777" w:rsidTr="0019533E">
        <w:trPr>
          <w:cantSplit/>
          <w:trHeight w:val="405"/>
        </w:trPr>
        <w:tc>
          <w:tcPr>
            <w:tcW w:w="3085"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47" w14:textId="77777777" w:rsidR="00DA5071" w:rsidRPr="00D800F0" w:rsidRDefault="00000000">
            <w:pPr>
              <w:spacing w:line="256" w:lineRule="auto"/>
              <w:jc w:val="center"/>
              <w:rPr>
                <w:rFonts w:ascii="Arial" w:hAnsi="Arial" w:cs="Arial"/>
                <w:b/>
              </w:rPr>
            </w:pPr>
            <w:r w:rsidRPr="00D800F0">
              <w:rPr>
                <w:rFonts w:ascii="Arial" w:hAnsi="Arial" w:cs="Arial"/>
                <w:b/>
              </w:rPr>
              <w:t>Input Name</w:t>
            </w:r>
          </w:p>
        </w:tc>
        <w:tc>
          <w:tcPr>
            <w:tcW w:w="3025"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48" w14:textId="563C97F9" w:rsidR="00DA5071" w:rsidRPr="00D800F0" w:rsidRDefault="00000000">
            <w:pPr>
              <w:spacing w:line="256" w:lineRule="auto"/>
              <w:jc w:val="center"/>
              <w:rPr>
                <w:rFonts w:ascii="Arial" w:hAnsi="Arial" w:cs="Arial"/>
                <w:b/>
                <w:vertAlign w:val="superscript"/>
              </w:rPr>
            </w:pPr>
            <w:r w:rsidRPr="00D800F0">
              <w:rPr>
                <w:rFonts w:ascii="Arial" w:hAnsi="Arial" w:cs="Arial"/>
                <w:b/>
              </w:rPr>
              <w:t>Value</w:t>
            </w:r>
            <w:r w:rsidR="00A70E91" w:rsidRPr="00D800F0">
              <w:rPr>
                <w:rFonts w:ascii="Arial" w:hAnsi="Arial" w:cs="Arial"/>
                <w:bCs/>
                <w:vertAlign w:val="superscript"/>
              </w:rPr>
              <w:t>A</w:t>
            </w:r>
          </w:p>
        </w:tc>
        <w:tc>
          <w:tcPr>
            <w:tcW w:w="1448"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49" w14:textId="77777777" w:rsidR="00DA5071" w:rsidRPr="00D800F0" w:rsidRDefault="00000000">
            <w:pPr>
              <w:spacing w:line="256" w:lineRule="auto"/>
              <w:jc w:val="center"/>
              <w:rPr>
                <w:rFonts w:ascii="Arial" w:hAnsi="Arial" w:cs="Arial"/>
                <w:b/>
              </w:rPr>
            </w:pPr>
            <w:r w:rsidRPr="00D800F0">
              <w:rPr>
                <w:rFonts w:ascii="Arial" w:hAnsi="Arial" w:cs="Arial"/>
                <w:b/>
              </w:rPr>
              <w:t>Unit</w:t>
            </w:r>
          </w:p>
        </w:tc>
        <w:tc>
          <w:tcPr>
            <w:tcW w:w="1802"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4A" w14:textId="77777777" w:rsidR="00DA5071" w:rsidRPr="00D800F0" w:rsidRDefault="00000000">
            <w:pPr>
              <w:spacing w:line="256" w:lineRule="auto"/>
              <w:jc w:val="center"/>
              <w:rPr>
                <w:rFonts w:ascii="Arial" w:hAnsi="Arial" w:cs="Arial"/>
                <w:b/>
              </w:rPr>
            </w:pPr>
            <w:r w:rsidRPr="00D800F0">
              <w:rPr>
                <w:rFonts w:ascii="Arial" w:hAnsi="Arial" w:cs="Arial"/>
                <w:b/>
              </w:rPr>
              <w:t>Source</w:t>
            </w:r>
          </w:p>
        </w:tc>
      </w:tr>
      <w:tr w:rsidR="00DA5071" w:rsidRPr="00D800F0" w14:paraId="2FCA733B" w14:textId="77777777" w:rsidTr="0019533E">
        <w:trPr>
          <w:cantSplit/>
          <w:trHeight w:val="417"/>
        </w:trPr>
        <w:tc>
          <w:tcPr>
            <w:tcW w:w="3085" w:type="dxa"/>
            <w:tcBorders>
              <w:left w:val="single" w:sz="8" w:space="0" w:color="F7F7F8"/>
              <w:bottom w:val="single" w:sz="8" w:space="0" w:color="F7F7F8"/>
              <w:right w:val="single" w:sz="8" w:space="0" w:color="F7F7F8"/>
            </w:tcBorders>
            <w:tcMar>
              <w:top w:w="0" w:type="dxa"/>
              <w:left w:w="100" w:type="dxa"/>
              <w:bottom w:w="0" w:type="dxa"/>
              <w:right w:w="100" w:type="dxa"/>
            </w:tcMar>
          </w:tcPr>
          <w:p w14:paraId="0000004B" w14:textId="77777777" w:rsidR="00DA5071" w:rsidRPr="00D800F0" w:rsidRDefault="00000000">
            <w:pPr>
              <w:spacing w:line="256" w:lineRule="auto"/>
              <w:jc w:val="center"/>
              <w:rPr>
                <w:rFonts w:ascii="Arial" w:hAnsi="Arial" w:cs="Arial"/>
                <w:shd w:val="clear" w:color="auto" w:fill="F7F7F8"/>
              </w:rPr>
            </w:pPr>
            <w:r w:rsidRPr="00D800F0">
              <w:rPr>
                <w:rFonts w:ascii="Arial" w:hAnsi="Arial" w:cs="Arial"/>
                <w:shd w:val="clear" w:color="auto" w:fill="F7F7F8"/>
              </w:rPr>
              <w:t>AP SMR</w:t>
            </w:r>
          </w:p>
        </w:tc>
        <w:tc>
          <w:tcPr>
            <w:tcW w:w="3025" w:type="dxa"/>
            <w:tcBorders>
              <w:left w:val="single" w:sz="8" w:space="0" w:color="F7F7F8"/>
              <w:bottom w:val="single" w:sz="8" w:space="0" w:color="F7F7F8"/>
              <w:right w:val="single" w:sz="8" w:space="0" w:color="F7F7F8"/>
            </w:tcBorders>
            <w:tcMar>
              <w:top w:w="0" w:type="dxa"/>
              <w:left w:w="100" w:type="dxa"/>
              <w:bottom w:w="0" w:type="dxa"/>
              <w:right w:w="100" w:type="dxa"/>
            </w:tcMar>
          </w:tcPr>
          <w:p w14:paraId="0000004C" w14:textId="1B9E5F50" w:rsidR="00DA5071" w:rsidRPr="00D800F0" w:rsidRDefault="00F912B2" w:rsidP="0019533E">
            <w:pPr>
              <w:spacing w:line="256" w:lineRule="auto"/>
              <w:rPr>
                <w:rFonts w:ascii="Arial" w:hAnsi="Arial" w:cs="Arial"/>
              </w:rPr>
            </w:pPr>
            <w:r w:rsidRPr="00D800F0">
              <w:rPr>
                <w:rFonts w:ascii="Arial" w:hAnsi="Arial" w:cs="Arial"/>
              </w:rPr>
              <w:t>25039232.02</w:t>
            </w:r>
          </w:p>
        </w:tc>
        <w:tc>
          <w:tcPr>
            <w:tcW w:w="1448" w:type="dxa"/>
            <w:tcBorders>
              <w:left w:val="single" w:sz="8" w:space="0" w:color="F7F7F8"/>
              <w:bottom w:val="single" w:sz="8" w:space="0" w:color="F7F7F8"/>
              <w:right w:val="single" w:sz="8" w:space="0" w:color="F7F7F8"/>
            </w:tcBorders>
            <w:tcMar>
              <w:top w:w="0" w:type="dxa"/>
              <w:left w:w="100" w:type="dxa"/>
              <w:bottom w:w="0" w:type="dxa"/>
              <w:right w:w="100" w:type="dxa"/>
            </w:tcMar>
          </w:tcPr>
          <w:p w14:paraId="0000004D" w14:textId="4BA17D9B" w:rsidR="00DA5071" w:rsidRPr="00D800F0" w:rsidRDefault="00F912B2">
            <w:pPr>
              <w:spacing w:line="256" w:lineRule="auto"/>
              <w:jc w:val="center"/>
              <w:rPr>
                <w:rFonts w:ascii="Arial" w:hAnsi="Arial" w:cs="Arial"/>
                <w:shd w:val="clear" w:color="auto" w:fill="F7F7F8"/>
              </w:rPr>
            </w:pPr>
            <w:r w:rsidRPr="00D800F0">
              <w:rPr>
                <w:rFonts w:ascii="Arial" w:hAnsi="Arial" w:cs="Arial"/>
                <w:shd w:val="clear" w:color="auto" w:fill="F7F7F8"/>
              </w:rPr>
              <w:t>MMBtu/yr</w:t>
            </w:r>
          </w:p>
        </w:tc>
        <w:tc>
          <w:tcPr>
            <w:tcW w:w="1802" w:type="dxa"/>
            <w:tcBorders>
              <w:left w:val="single" w:sz="8" w:space="0" w:color="F7F7F8"/>
              <w:bottom w:val="single" w:sz="8" w:space="0" w:color="F7F7F8"/>
              <w:right w:val="single" w:sz="8" w:space="0" w:color="F7F7F8"/>
            </w:tcBorders>
            <w:tcMar>
              <w:top w:w="0" w:type="dxa"/>
              <w:left w:w="100" w:type="dxa"/>
              <w:bottom w:w="0" w:type="dxa"/>
              <w:right w:w="100" w:type="dxa"/>
            </w:tcMar>
          </w:tcPr>
          <w:p w14:paraId="0000004E" w14:textId="465925EF" w:rsidR="00DA5071" w:rsidRPr="00D800F0" w:rsidRDefault="00F912B2">
            <w:pPr>
              <w:spacing w:line="256" w:lineRule="auto"/>
              <w:jc w:val="center"/>
              <w:rPr>
                <w:rFonts w:ascii="Arial" w:hAnsi="Arial" w:cs="Arial"/>
                <w:shd w:val="clear" w:color="auto" w:fill="F7F7F8"/>
              </w:rPr>
            </w:pPr>
            <w:r w:rsidRPr="00D800F0">
              <w:rPr>
                <w:rFonts w:ascii="Arial" w:hAnsi="Arial" w:cs="Arial"/>
                <w:shd w:val="clear" w:color="auto" w:fill="F7F7F8"/>
              </w:rPr>
              <w:t>Lewis et al., 2022</w:t>
            </w:r>
          </w:p>
        </w:tc>
      </w:tr>
      <w:tr w:rsidR="00F912B2" w:rsidRPr="00D800F0" w14:paraId="04B35822" w14:textId="77777777" w:rsidTr="00F912B2">
        <w:trPr>
          <w:cantSplit/>
          <w:trHeight w:val="205"/>
        </w:trPr>
        <w:tc>
          <w:tcPr>
            <w:tcW w:w="3085"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4F" w14:textId="77777777" w:rsidR="00F912B2" w:rsidRPr="00D800F0" w:rsidRDefault="00F912B2" w:rsidP="00F912B2">
            <w:pPr>
              <w:spacing w:line="256" w:lineRule="auto"/>
              <w:jc w:val="center"/>
              <w:rPr>
                <w:rFonts w:ascii="Arial" w:hAnsi="Arial" w:cs="Arial"/>
                <w:shd w:val="clear" w:color="auto" w:fill="F7F7F8"/>
              </w:rPr>
            </w:pPr>
            <w:r w:rsidRPr="00D800F0">
              <w:rPr>
                <w:rFonts w:ascii="Arial" w:hAnsi="Arial" w:cs="Arial"/>
                <w:shd w:val="clear" w:color="auto" w:fill="F7F7F8"/>
              </w:rPr>
              <w:t>AP CCS</w:t>
            </w:r>
          </w:p>
        </w:tc>
        <w:tc>
          <w:tcPr>
            <w:tcW w:w="3025"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50" w14:textId="43D5BA0C" w:rsidR="00F912B2" w:rsidRPr="00D800F0" w:rsidRDefault="00F912B2" w:rsidP="00F912B2">
            <w:pPr>
              <w:spacing w:line="256" w:lineRule="auto"/>
              <w:rPr>
                <w:rFonts w:ascii="Arial" w:hAnsi="Arial" w:cs="Arial"/>
              </w:rPr>
            </w:pPr>
            <w:r w:rsidRPr="00D800F0">
              <w:rPr>
                <w:rFonts w:ascii="Arial" w:hAnsi="Arial" w:cs="Arial"/>
              </w:rPr>
              <w:t>26624225.74</w:t>
            </w:r>
          </w:p>
        </w:tc>
        <w:tc>
          <w:tcPr>
            <w:tcW w:w="1448"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51" w14:textId="559547D5" w:rsidR="00F912B2" w:rsidRPr="00D800F0" w:rsidRDefault="00F912B2" w:rsidP="00F912B2">
            <w:pPr>
              <w:spacing w:line="256" w:lineRule="auto"/>
              <w:jc w:val="center"/>
              <w:rPr>
                <w:rFonts w:ascii="Arial" w:hAnsi="Arial" w:cs="Arial"/>
                <w:shd w:val="clear" w:color="auto" w:fill="F7F7F8"/>
              </w:rPr>
            </w:pPr>
            <w:r w:rsidRPr="00D800F0">
              <w:rPr>
                <w:rFonts w:ascii="Arial" w:hAnsi="Arial" w:cs="Arial"/>
                <w:shd w:val="clear" w:color="auto" w:fill="F7F7F8"/>
              </w:rPr>
              <w:t>MMBtu/yr</w:t>
            </w:r>
          </w:p>
        </w:tc>
        <w:tc>
          <w:tcPr>
            <w:tcW w:w="1802"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52" w14:textId="4560A913" w:rsidR="00F912B2" w:rsidRPr="00D800F0" w:rsidRDefault="00F912B2" w:rsidP="00F912B2">
            <w:pPr>
              <w:spacing w:line="256" w:lineRule="auto"/>
              <w:jc w:val="center"/>
              <w:rPr>
                <w:rFonts w:ascii="Arial" w:hAnsi="Arial" w:cs="Arial"/>
                <w:shd w:val="clear" w:color="auto" w:fill="F7F7F8"/>
              </w:rPr>
            </w:pPr>
            <w:r w:rsidRPr="00D800F0">
              <w:rPr>
                <w:rFonts w:ascii="Arial" w:hAnsi="Arial" w:cs="Arial"/>
                <w:shd w:val="clear" w:color="auto" w:fill="F7F7F8"/>
              </w:rPr>
              <w:t>Lewis et al., 2022</w:t>
            </w:r>
          </w:p>
        </w:tc>
      </w:tr>
      <w:tr w:rsidR="00F912B2" w:rsidRPr="00D800F0" w14:paraId="6F48BE94" w14:textId="77777777" w:rsidTr="0019533E">
        <w:trPr>
          <w:cantSplit/>
          <w:trHeight w:val="405"/>
        </w:trPr>
        <w:tc>
          <w:tcPr>
            <w:tcW w:w="3085"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53" w14:textId="77777777" w:rsidR="00F912B2" w:rsidRPr="00D800F0" w:rsidRDefault="00F912B2" w:rsidP="00F912B2">
            <w:pPr>
              <w:spacing w:line="256" w:lineRule="auto"/>
              <w:jc w:val="center"/>
              <w:rPr>
                <w:rFonts w:ascii="Arial" w:hAnsi="Arial" w:cs="Arial"/>
              </w:rPr>
            </w:pPr>
            <w:r w:rsidRPr="00D800F0">
              <w:rPr>
                <w:rFonts w:ascii="Arial" w:hAnsi="Arial" w:cs="Arial"/>
              </w:rPr>
              <w:t>AP BH2S</w:t>
            </w:r>
          </w:p>
        </w:tc>
        <w:tc>
          <w:tcPr>
            <w:tcW w:w="3025"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54" w14:textId="794F27A3" w:rsidR="00F912B2" w:rsidRPr="00D800F0" w:rsidRDefault="00F912B2" w:rsidP="00F912B2">
            <w:pPr>
              <w:spacing w:line="256" w:lineRule="auto"/>
              <w:rPr>
                <w:rFonts w:ascii="Arial" w:hAnsi="Arial" w:cs="Arial"/>
              </w:rPr>
            </w:pPr>
            <w:r w:rsidRPr="00D800F0">
              <w:rPr>
                <w:rFonts w:ascii="Arial" w:hAnsi="Arial" w:cs="Arial"/>
              </w:rPr>
              <w:t>0</w:t>
            </w:r>
          </w:p>
        </w:tc>
        <w:tc>
          <w:tcPr>
            <w:tcW w:w="1448"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55" w14:textId="5AF1911E" w:rsidR="00F912B2" w:rsidRPr="00D800F0" w:rsidRDefault="00F912B2" w:rsidP="00F912B2">
            <w:pPr>
              <w:spacing w:line="256" w:lineRule="auto"/>
              <w:jc w:val="center"/>
              <w:rPr>
                <w:rFonts w:ascii="Arial" w:hAnsi="Arial" w:cs="Arial"/>
              </w:rPr>
            </w:pPr>
            <w:r w:rsidRPr="00D800F0">
              <w:rPr>
                <w:rFonts w:ascii="Arial" w:hAnsi="Arial" w:cs="Arial"/>
                <w:shd w:val="clear" w:color="auto" w:fill="F7F7F8"/>
              </w:rPr>
              <w:t>MMBtu/yr</w:t>
            </w:r>
          </w:p>
        </w:tc>
        <w:tc>
          <w:tcPr>
            <w:tcW w:w="1802"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56" w14:textId="6CF82FDF" w:rsidR="00F912B2" w:rsidRPr="00D800F0" w:rsidRDefault="00F912B2" w:rsidP="00F912B2">
            <w:pPr>
              <w:spacing w:line="256" w:lineRule="auto"/>
              <w:jc w:val="center"/>
              <w:rPr>
                <w:rFonts w:ascii="Arial" w:hAnsi="Arial" w:cs="Arial"/>
              </w:rPr>
            </w:pPr>
            <w:r w:rsidRPr="00D800F0">
              <w:rPr>
                <w:rFonts w:ascii="Arial" w:hAnsi="Arial" w:cs="Arial"/>
              </w:rPr>
              <w:t>Assumption</w:t>
            </w:r>
          </w:p>
        </w:tc>
      </w:tr>
      <w:tr w:rsidR="00F912B2" w:rsidRPr="00D800F0" w14:paraId="54C436BD" w14:textId="77777777" w:rsidTr="00A70E91">
        <w:trPr>
          <w:cantSplit/>
          <w:trHeight w:val="405"/>
        </w:trPr>
        <w:tc>
          <w:tcPr>
            <w:tcW w:w="3085"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00000057" w14:textId="77777777" w:rsidR="00F912B2" w:rsidRPr="00D800F0" w:rsidRDefault="00F912B2" w:rsidP="00F912B2">
            <w:pPr>
              <w:spacing w:line="256" w:lineRule="auto"/>
              <w:jc w:val="center"/>
              <w:rPr>
                <w:rFonts w:ascii="Arial" w:hAnsi="Arial" w:cs="Arial"/>
              </w:rPr>
            </w:pPr>
            <w:r w:rsidRPr="00D800F0">
              <w:rPr>
                <w:rFonts w:ascii="Arial" w:hAnsi="Arial" w:cs="Arial"/>
              </w:rPr>
              <w:t>AP AEC</w:t>
            </w:r>
          </w:p>
        </w:tc>
        <w:tc>
          <w:tcPr>
            <w:tcW w:w="3025"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00000058" w14:textId="6CB08AC7" w:rsidR="00F912B2" w:rsidRPr="00D800F0" w:rsidRDefault="00F912B2" w:rsidP="00F912B2">
            <w:pPr>
              <w:spacing w:line="256" w:lineRule="auto"/>
              <w:rPr>
                <w:rFonts w:ascii="Arial" w:hAnsi="Arial" w:cs="Arial"/>
              </w:rPr>
            </w:pPr>
            <w:r w:rsidRPr="00D800F0">
              <w:rPr>
                <w:rFonts w:ascii="Arial" w:hAnsi="Arial" w:cs="Arial"/>
              </w:rPr>
              <w:t>0</w:t>
            </w:r>
          </w:p>
        </w:tc>
        <w:tc>
          <w:tcPr>
            <w:tcW w:w="1448"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00000059" w14:textId="00590478" w:rsidR="00F912B2" w:rsidRPr="00D800F0" w:rsidRDefault="00F912B2" w:rsidP="00F912B2">
            <w:pPr>
              <w:spacing w:line="256" w:lineRule="auto"/>
              <w:jc w:val="center"/>
              <w:rPr>
                <w:rFonts w:ascii="Arial" w:hAnsi="Arial" w:cs="Arial"/>
              </w:rPr>
            </w:pPr>
            <w:r w:rsidRPr="00D800F0">
              <w:rPr>
                <w:rFonts w:ascii="Arial" w:hAnsi="Arial" w:cs="Arial"/>
                <w:shd w:val="clear" w:color="auto" w:fill="F7F7F8"/>
              </w:rPr>
              <w:t>MMBtu/yr</w:t>
            </w:r>
          </w:p>
        </w:tc>
        <w:tc>
          <w:tcPr>
            <w:tcW w:w="1802"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0000005A" w14:textId="24A0CBA6" w:rsidR="00F912B2" w:rsidRPr="00D800F0" w:rsidRDefault="00F912B2" w:rsidP="00F912B2">
            <w:pPr>
              <w:spacing w:line="256" w:lineRule="auto"/>
              <w:jc w:val="center"/>
              <w:rPr>
                <w:rFonts w:ascii="Arial" w:hAnsi="Arial" w:cs="Arial"/>
              </w:rPr>
            </w:pPr>
            <w:r w:rsidRPr="00D800F0">
              <w:rPr>
                <w:rFonts w:ascii="Arial" w:hAnsi="Arial" w:cs="Arial"/>
              </w:rPr>
              <w:t>Assumption</w:t>
            </w:r>
          </w:p>
        </w:tc>
      </w:tr>
      <w:tr w:rsidR="00A70E91" w:rsidRPr="00D800F0" w14:paraId="28A0D03F" w14:textId="77777777" w:rsidTr="005D616E">
        <w:trPr>
          <w:cantSplit/>
          <w:trHeight w:val="405"/>
        </w:trPr>
        <w:tc>
          <w:tcPr>
            <w:tcW w:w="9360" w:type="dxa"/>
            <w:gridSpan w:val="4"/>
            <w:tcBorders>
              <w:top w:val="single" w:sz="4" w:space="0" w:color="auto"/>
              <w:left w:val="single" w:sz="8" w:space="0" w:color="F7F7F8"/>
              <w:bottom w:val="single" w:sz="8" w:space="0" w:color="000000"/>
              <w:right w:val="single" w:sz="8" w:space="0" w:color="F7F7F8"/>
            </w:tcBorders>
            <w:tcMar>
              <w:top w:w="0" w:type="dxa"/>
              <w:left w:w="100" w:type="dxa"/>
              <w:bottom w:w="0" w:type="dxa"/>
              <w:right w:w="100" w:type="dxa"/>
            </w:tcMar>
          </w:tcPr>
          <w:p w14:paraId="63755DEA" w14:textId="08F92B96" w:rsidR="00A70E91" w:rsidRPr="00D800F0" w:rsidRDefault="00A70E91" w:rsidP="00A70E91">
            <w:pPr>
              <w:spacing w:line="256" w:lineRule="auto"/>
              <w:rPr>
                <w:rFonts w:ascii="Arial" w:hAnsi="Arial" w:cs="Arial"/>
              </w:rPr>
            </w:pPr>
            <w:r w:rsidRPr="00D800F0">
              <w:rPr>
                <w:rFonts w:ascii="Arial" w:hAnsi="Arial" w:cs="Arial"/>
                <w:vertAlign w:val="superscript"/>
              </w:rPr>
              <w:t>A</w:t>
            </w:r>
            <w:r w:rsidRPr="00D800F0">
              <w:rPr>
                <w:rFonts w:ascii="Arial" w:hAnsi="Arial" w:cs="Arial"/>
              </w:rPr>
              <w:t xml:space="preserve"> The natural gas flowrates were directly obtained from case 1 and 2 of </w:t>
            </w:r>
            <w:r w:rsidRPr="00D800F0">
              <w:rPr>
                <w:rFonts w:ascii="Arial" w:hAnsi="Arial" w:cs="Arial"/>
                <w:shd w:val="clear" w:color="auto" w:fill="F7F7F8"/>
              </w:rPr>
              <w:t>Lewis et al., 2022. Refer to stream number 3.</w:t>
            </w:r>
            <w:r w:rsidR="00AC5071" w:rsidRPr="00D800F0">
              <w:rPr>
                <w:rFonts w:ascii="Arial" w:hAnsi="Arial" w:cs="Arial"/>
                <w:shd w:val="clear" w:color="auto" w:fill="F7F7F8"/>
              </w:rPr>
              <w:t xml:space="preserve"> We used the </w:t>
            </w:r>
            <m:oMath>
              <m:sSubSup>
                <m:sSubSupPr>
                  <m:ctrlPr>
                    <w:rPr>
                      <w:rFonts w:ascii="Cambria Math" w:hAnsi="Cambria Math" w:cs="Arial"/>
                      <w:b/>
                      <w:bCs/>
                      <w:i/>
                    </w:rPr>
                  </m:ctrlPr>
                </m:sSubSupPr>
                <m:e>
                  <m:r>
                    <m:rPr>
                      <m:sty m:val="bi"/>
                    </m:rPr>
                    <w:rPr>
                      <w:rFonts w:ascii="Cambria Math" w:hAnsi="Cambria Math" w:cs="Arial"/>
                    </w:rPr>
                    <m:t>h</m:t>
                  </m:r>
                </m:e>
                <m:sub>
                  <m:r>
                    <m:rPr>
                      <m:sty m:val="bi"/>
                    </m:rPr>
                    <w:rPr>
                      <w:rFonts w:ascii="Cambria Math" w:hAnsi="Cambria Math" w:cs="Arial"/>
                    </w:rPr>
                    <m:t>NG</m:t>
                  </m:r>
                </m:sub>
                <m:sup>
                  <m:r>
                    <m:rPr>
                      <m:sty m:val="bi"/>
                    </m:rPr>
                    <w:rPr>
                      <w:rFonts w:ascii="Cambria Math" w:hAnsi="Cambria Math" w:cs="Arial"/>
                    </w:rPr>
                    <m:t>LHV</m:t>
                  </m:r>
                </m:sup>
              </m:sSubSup>
            </m:oMath>
            <w:r w:rsidR="00AC5071" w:rsidRPr="00D800F0">
              <w:rPr>
                <w:rFonts w:ascii="Arial" w:hAnsi="Arial" w:cs="Arial"/>
              </w:rPr>
              <w:t xml:space="preserve"> and the MMBtu conversion factor to convert to energy units. </w:t>
            </w:r>
          </w:p>
        </w:tc>
      </w:tr>
    </w:tbl>
    <w:p w14:paraId="0000005B" w14:textId="77777777" w:rsidR="00DA5071" w:rsidRPr="00D800F0" w:rsidRDefault="00DA5071">
      <w:pPr>
        <w:rPr>
          <w:rFonts w:ascii="Arial" w:hAnsi="Arial" w:cs="Arial"/>
        </w:rPr>
      </w:pPr>
    </w:p>
    <w:p w14:paraId="29585873" w14:textId="0F73EC15" w:rsidR="00EA7652" w:rsidRPr="00D800F0" w:rsidRDefault="00EA7652" w:rsidP="00EA7652">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00802EAA" w:rsidRPr="00D800F0">
        <w:rPr>
          <w:rFonts w:ascii="Arial" w:hAnsi="Arial" w:cs="Arial"/>
          <w:noProof/>
        </w:rPr>
        <w:t>A</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00802EAA" w:rsidRPr="00D800F0">
        <w:rPr>
          <w:rFonts w:ascii="Arial" w:hAnsi="Arial" w:cs="Arial"/>
          <w:noProof/>
        </w:rPr>
        <w:t>8</w:t>
      </w:r>
      <w:r w:rsidRPr="00D800F0">
        <w:rPr>
          <w:rFonts w:ascii="Arial" w:hAnsi="Arial" w:cs="Arial"/>
          <w:noProof/>
        </w:rPr>
        <w:fldChar w:fldCharType="end"/>
      </w:r>
      <w:r w:rsidRPr="00D800F0">
        <w:rPr>
          <w:rFonts w:ascii="Arial" w:hAnsi="Arial" w:cs="Arial"/>
        </w:rPr>
        <w:t>: Water demand</w:t>
      </w:r>
    </w:p>
    <w:tbl>
      <w:tblPr>
        <w:tblStyle w:val="a2"/>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85"/>
        <w:gridCol w:w="2537"/>
        <w:gridCol w:w="1936"/>
        <w:gridCol w:w="1802"/>
      </w:tblGrid>
      <w:tr w:rsidR="00DA5071" w:rsidRPr="00D800F0" w14:paraId="0674DDFC" w14:textId="77777777">
        <w:trPr>
          <w:cantSplit/>
          <w:trHeight w:val="405"/>
        </w:trPr>
        <w:tc>
          <w:tcPr>
            <w:tcW w:w="3085"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5D" w14:textId="77777777" w:rsidR="00DA5071" w:rsidRPr="00D800F0" w:rsidRDefault="00000000">
            <w:pPr>
              <w:spacing w:line="256" w:lineRule="auto"/>
              <w:jc w:val="center"/>
              <w:rPr>
                <w:rFonts w:ascii="Arial" w:hAnsi="Arial" w:cs="Arial"/>
                <w:b/>
              </w:rPr>
            </w:pPr>
            <w:r w:rsidRPr="00D800F0">
              <w:rPr>
                <w:rFonts w:ascii="Arial" w:hAnsi="Arial" w:cs="Arial"/>
                <w:b/>
              </w:rPr>
              <w:t>Input Name</w:t>
            </w:r>
          </w:p>
        </w:tc>
        <w:tc>
          <w:tcPr>
            <w:tcW w:w="2537"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5E" w14:textId="77777777" w:rsidR="00DA5071" w:rsidRPr="00D800F0" w:rsidRDefault="00000000">
            <w:pPr>
              <w:spacing w:line="256" w:lineRule="auto"/>
              <w:jc w:val="center"/>
              <w:rPr>
                <w:rFonts w:ascii="Arial" w:hAnsi="Arial" w:cs="Arial"/>
                <w:b/>
              </w:rPr>
            </w:pPr>
            <w:r w:rsidRPr="00D800F0">
              <w:rPr>
                <w:rFonts w:ascii="Arial" w:hAnsi="Arial" w:cs="Arial"/>
                <w:b/>
              </w:rPr>
              <w:t>Value</w:t>
            </w:r>
          </w:p>
        </w:tc>
        <w:tc>
          <w:tcPr>
            <w:tcW w:w="1936"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5F" w14:textId="77777777" w:rsidR="00DA5071" w:rsidRPr="00D800F0" w:rsidRDefault="00000000">
            <w:pPr>
              <w:spacing w:line="256" w:lineRule="auto"/>
              <w:jc w:val="center"/>
              <w:rPr>
                <w:rFonts w:ascii="Arial" w:hAnsi="Arial" w:cs="Arial"/>
                <w:b/>
              </w:rPr>
            </w:pPr>
            <w:r w:rsidRPr="00D800F0">
              <w:rPr>
                <w:rFonts w:ascii="Arial" w:hAnsi="Arial" w:cs="Arial"/>
                <w:b/>
              </w:rPr>
              <w:t>Unit</w:t>
            </w:r>
          </w:p>
        </w:tc>
        <w:tc>
          <w:tcPr>
            <w:tcW w:w="1802"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0000060" w14:textId="77777777" w:rsidR="00DA5071" w:rsidRPr="00D800F0" w:rsidRDefault="00000000">
            <w:pPr>
              <w:spacing w:line="256" w:lineRule="auto"/>
              <w:jc w:val="center"/>
              <w:rPr>
                <w:rFonts w:ascii="Arial" w:hAnsi="Arial" w:cs="Arial"/>
                <w:b/>
              </w:rPr>
            </w:pPr>
            <w:r w:rsidRPr="00D800F0">
              <w:rPr>
                <w:rFonts w:ascii="Arial" w:hAnsi="Arial" w:cs="Arial"/>
                <w:b/>
              </w:rPr>
              <w:t>Source</w:t>
            </w:r>
          </w:p>
        </w:tc>
      </w:tr>
      <w:tr w:rsidR="004A6C98" w:rsidRPr="00D800F0" w14:paraId="4C74C08C" w14:textId="77777777" w:rsidTr="00886B72">
        <w:trPr>
          <w:cantSplit/>
          <w:trHeight w:val="417"/>
        </w:trPr>
        <w:tc>
          <w:tcPr>
            <w:tcW w:w="3085" w:type="dxa"/>
            <w:tcBorders>
              <w:left w:val="single" w:sz="8" w:space="0" w:color="F7F7F8"/>
              <w:bottom w:val="single" w:sz="8" w:space="0" w:color="F7F7F8"/>
              <w:right w:val="single" w:sz="8" w:space="0" w:color="F7F7F8"/>
            </w:tcBorders>
            <w:tcMar>
              <w:top w:w="0" w:type="dxa"/>
              <w:left w:w="100" w:type="dxa"/>
              <w:bottom w:w="0" w:type="dxa"/>
              <w:right w:w="100" w:type="dxa"/>
            </w:tcMar>
          </w:tcPr>
          <w:p w14:paraId="00000061" w14:textId="77777777" w:rsidR="004A6C98" w:rsidRPr="00D800F0" w:rsidRDefault="004A6C98">
            <w:pPr>
              <w:spacing w:line="256" w:lineRule="auto"/>
              <w:jc w:val="center"/>
              <w:rPr>
                <w:rFonts w:ascii="Arial" w:hAnsi="Arial" w:cs="Arial"/>
                <w:shd w:val="clear" w:color="auto" w:fill="F7F7F8"/>
              </w:rPr>
            </w:pPr>
            <w:r w:rsidRPr="00D800F0">
              <w:rPr>
                <w:rFonts w:ascii="Arial" w:hAnsi="Arial" w:cs="Arial"/>
                <w:shd w:val="clear" w:color="auto" w:fill="F7F7F8"/>
              </w:rPr>
              <w:lastRenderedPageBreak/>
              <w:t>AP SMR</w:t>
            </w:r>
          </w:p>
        </w:tc>
        <w:tc>
          <w:tcPr>
            <w:tcW w:w="2537" w:type="dxa"/>
            <w:tcBorders>
              <w:left w:val="single" w:sz="8" w:space="0" w:color="F7F7F8"/>
              <w:bottom w:val="single" w:sz="8" w:space="0" w:color="F7F7F8"/>
              <w:right w:val="single" w:sz="8" w:space="0" w:color="F7F7F8"/>
            </w:tcBorders>
            <w:tcMar>
              <w:top w:w="0" w:type="dxa"/>
              <w:left w:w="100" w:type="dxa"/>
              <w:bottom w:w="0" w:type="dxa"/>
              <w:right w:w="100" w:type="dxa"/>
            </w:tcMar>
          </w:tcPr>
          <w:p w14:paraId="00000062" w14:textId="77777777" w:rsidR="004A6C98" w:rsidRPr="00D800F0" w:rsidRDefault="004A6C98">
            <w:pPr>
              <w:spacing w:line="256" w:lineRule="auto"/>
              <w:jc w:val="center"/>
              <w:rPr>
                <w:rFonts w:ascii="Arial" w:hAnsi="Arial" w:cs="Arial"/>
              </w:rPr>
            </w:pPr>
            <w:r w:rsidRPr="00D800F0">
              <w:rPr>
                <w:rFonts w:ascii="Arial" w:hAnsi="Arial" w:cs="Arial"/>
              </w:rPr>
              <w:t>52709532285</w:t>
            </w:r>
          </w:p>
        </w:tc>
        <w:tc>
          <w:tcPr>
            <w:tcW w:w="1936" w:type="dxa"/>
            <w:tcBorders>
              <w:left w:val="single" w:sz="8" w:space="0" w:color="F7F7F8"/>
              <w:bottom w:val="single" w:sz="8" w:space="0" w:color="F7F7F8"/>
              <w:right w:val="single" w:sz="8" w:space="0" w:color="F7F7F8"/>
            </w:tcBorders>
            <w:tcMar>
              <w:top w:w="0" w:type="dxa"/>
              <w:left w:w="100" w:type="dxa"/>
              <w:bottom w:w="0" w:type="dxa"/>
              <w:right w:w="100" w:type="dxa"/>
            </w:tcMar>
          </w:tcPr>
          <w:p w14:paraId="00000063" w14:textId="19FB8F7D" w:rsidR="004A6C98" w:rsidRPr="00D800F0" w:rsidRDefault="004A6C98">
            <w:pPr>
              <w:spacing w:line="256" w:lineRule="auto"/>
              <w:jc w:val="center"/>
              <w:rPr>
                <w:rFonts w:ascii="Arial" w:hAnsi="Arial" w:cs="Arial"/>
                <w:shd w:val="clear" w:color="auto" w:fill="F7F7F8"/>
              </w:rPr>
            </w:pPr>
            <w:r w:rsidRPr="00D800F0">
              <w:rPr>
                <w:rFonts w:ascii="Arial" w:hAnsi="Arial" w:cs="Arial"/>
                <w:shd w:val="clear" w:color="auto" w:fill="F7F7F8"/>
              </w:rPr>
              <w:t>Kg/year</w:t>
            </w:r>
          </w:p>
        </w:tc>
        <w:tc>
          <w:tcPr>
            <w:tcW w:w="1802" w:type="dxa"/>
            <w:vMerge w:val="restart"/>
            <w:tcBorders>
              <w:left w:val="single" w:sz="8" w:space="0" w:color="F7F7F8"/>
              <w:right w:val="single" w:sz="8" w:space="0" w:color="F7F7F8"/>
            </w:tcBorders>
            <w:tcMar>
              <w:top w:w="0" w:type="dxa"/>
              <w:left w:w="100" w:type="dxa"/>
              <w:bottom w:w="0" w:type="dxa"/>
              <w:right w:w="100" w:type="dxa"/>
            </w:tcMar>
          </w:tcPr>
          <w:p w14:paraId="00000064" w14:textId="6A049FB2" w:rsidR="004A6C98" w:rsidRPr="00D800F0" w:rsidRDefault="004A6C98">
            <w:pPr>
              <w:spacing w:line="256" w:lineRule="auto"/>
              <w:jc w:val="center"/>
              <w:rPr>
                <w:rFonts w:ascii="Arial" w:hAnsi="Arial" w:cs="Arial"/>
                <w:shd w:val="clear" w:color="auto" w:fill="F7F7F8"/>
              </w:rPr>
            </w:pPr>
            <w:r w:rsidRPr="00D800F0">
              <w:rPr>
                <w:rFonts w:ascii="Arial" w:hAnsi="Arial" w:cs="Arial"/>
                <w:shd w:val="clear" w:color="auto" w:fill="F7F7F8"/>
              </w:rPr>
              <w:t>Lewis et al., 2022; Brasington et al., 2011; Young et al., 2021; Spath et al. 2005</w:t>
            </w:r>
          </w:p>
        </w:tc>
      </w:tr>
      <w:tr w:rsidR="004A6C98" w:rsidRPr="00D800F0" w14:paraId="360B96F2" w14:textId="77777777" w:rsidTr="00886B72">
        <w:trPr>
          <w:cantSplit/>
          <w:trHeight w:val="630"/>
        </w:trPr>
        <w:tc>
          <w:tcPr>
            <w:tcW w:w="3085"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65" w14:textId="77777777" w:rsidR="004A6C98" w:rsidRPr="00D800F0" w:rsidRDefault="004A6C98" w:rsidP="00F912B2">
            <w:pPr>
              <w:spacing w:line="256" w:lineRule="auto"/>
              <w:jc w:val="center"/>
              <w:rPr>
                <w:rFonts w:ascii="Arial" w:hAnsi="Arial" w:cs="Arial"/>
                <w:shd w:val="clear" w:color="auto" w:fill="F7F7F8"/>
              </w:rPr>
            </w:pPr>
            <w:r w:rsidRPr="00D800F0">
              <w:rPr>
                <w:rFonts w:ascii="Arial" w:hAnsi="Arial" w:cs="Arial"/>
                <w:shd w:val="clear" w:color="auto" w:fill="F7F7F8"/>
              </w:rPr>
              <w:t>AP CCS</w:t>
            </w:r>
          </w:p>
        </w:tc>
        <w:tc>
          <w:tcPr>
            <w:tcW w:w="2537"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66" w14:textId="77777777" w:rsidR="004A6C98" w:rsidRPr="00D800F0" w:rsidRDefault="004A6C98" w:rsidP="00F912B2">
            <w:pPr>
              <w:spacing w:line="256" w:lineRule="auto"/>
              <w:jc w:val="center"/>
              <w:rPr>
                <w:rFonts w:ascii="Arial" w:hAnsi="Arial" w:cs="Arial"/>
              </w:rPr>
            </w:pPr>
            <w:r w:rsidRPr="00D800F0">
              <w:rPr>
                <w:rFonts w:ascii="Arial" w:hAnsi="Arial" w:cs="Arial"/>
              </w:rPr>
              <w:t>54034044285</w:t>
            </w:r>
          </w:p>
        </w:tc>
        <w:tc>
          <w:tcPr>
            <w:tcW w:w="1936"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67" w14:textId="37A99AF8" w:rsidR="004A6C98" w:rsidRPr="00D800F0" w:rsidRDefault="004A6C98" w:rsidP="00F912B2">
            <w:pPr>
              <w:spacing w:line="256" w:lineRule="auto"/>
              <w:jc w:val="center"/>
              <w:rPr>
                <w:rFonts w:ascii="Arial" w:hAnsi="Arial" w:cs="Arial"/>
                <w:shd w:val="clear" w:color="auto" w:fill="F7F7F8"/>
              </w:rPr>
            </w:pPr>
            <w:r w:rsidRPr="00D800F0">
              <w:rPr>
                <w:rFonts w:ascii="Arial" w:hAnsi="Arial" w:cs="Arial"/>
                <w:shd w:val="clear" w:color="auto" w:fill="F7F7F8"/>
              </w:rPr>
              <w:t>Kg/year</w:t>
            </w:r>
          </w:p>
        </w:tc>
        <w:tc>
          <w:tcPr>
            <w:tcW w:w="1802" w:type="dxa"/>
            <w:vMerge/>
            <w:tcBorders>
              <w:left w:val="single" w:sz="8" w:space="0" w:color="F7F7F8"/>
              <w:right w:val="single" w:sz="8" w:space="0" w:color="F7F7F8"/>
            </w:tcBorders>
            <w:tcMar>
              <w:top w:w="0" w:type="dxa"/>
              <w:left w:w="100" w:type="dxa"/>
              <w:bottom w:w="0" w:type="dxa"/>
              <w:right w:w="100" w:type="dxa"/>
            </w:tcMar>
          </w:tcPr>
          <w:p w14:paraId="00000068" w14:textId="77777777" w:rsidR="004A6C98" w:rsidRPr="00D800F0" w:rsidRDefault="004A6C98" w:rsidP="00F912B2">
            <w:pPr>
              <w:spacing w:line="256" w:lineRule="auto"/>
              <w:jc w:val="center"/>
              <w:rPr>
                <w:rFonts w:ascii="Arial" w:hAnsi="Arial" w:cs="Arial"/>
                <w:shd w:val="clear" w:color="auto" w:fill="F7F7F8"/>
              </w:rPr>
            </w:pPr>
          </w:p>
        </w:tc>
      </w:tr>
      <w:tr w:rsidR="004A6C98" w:rsidRPr="00D800F0" w14:paraId="75AAA4D1" w14:textId="77777777" w:rsidTr="00886B72">
        <w:trPr>
          <w:cantSplit/>
          <w:trHeight w:val="405"/>
        </w:trPr>
        <w:tc>
          <w:tcPr>
            <w:tcW w:w="3085"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69" w14:textId="77777777" w:rsidR="004A6C98" w:rsidRPr="00D800F0" w:rsidRDefault="004A6C98" w:rsidP="00F912B2">
            <w:pPr>
              <w:spacing w:line="256" w:lineRule="auto"/>
              <w:jc w:val="center"/>
              <w:rPr>
                <w:rFonts w:ascii="Arial" w:hAnsi="Arial" w:cs="Arial"/>
              </w:rPr>
            </w:pPr>
            <w:r w:rsidRPr="00D800F0">
              <w:rPr>
                <w:rFonts w:ascii="Arial" w:hAnsi="Arial" w:cs="Arial"/>
              </w:rPr>
              <w:t>AP BH2S</w:t>
            </w:r>
          </w:p>
        </w:tc>
        <w:tc>
          <w:tcPr>
            <w:tcW w:w="2537"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6A" w14:textId="77777777" w:rsidR="004A6C98" w:rsidRPr="00D800F0" w:rsidRDefault="004A6C98" w:rsidP="00F912B2">
            <w:pPr>
              <w:spacing w:line="256" w:lineRule="auto"/>
              <w:jc w:val="center"/>
              <w:rPr>
                <w:rFonts w:ascii="Arial" w:hAnsi="Arial" w:cs="Arial"/>
              </w:rPr>
            </w:pPr>
            <w:r w:rsidRPr="00D800F0">
              <w:rPr>
                <w:rFonts w:ascii="Arial" w:hAnsi="Arial" w:cs="Arial"/>
              </w:rPr>
              <w:t>53448253002</w:t>
            </w:r>
          </w:p>
        </w:tc>
        <w:tc>
          <w:tcPr>
            <w:tcW w:w="1936"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00006B" w14:textId="00AAFFFA" w:rsidR="004A6C98" w:rsidRPr="00D800F0" w:rsidRDefault="004A6C98" w:rsidP="00F912B2">
            <w:pPr>
              <w:spacing w:line="256" w:lineRule="auto"/>
              <w:jc w:val="center"/>
              <w:rPr>
                <w:rFonts w:ascii="Arial" w:hAnsi="Arial" w:cs="Arial"/>
              </w:rPr>
            </w:pPr>
            <w:r w:rsidRPr="00D800F0">
              <w:rPr>
                <w:rFonts w:ascii="Arial" w:hAnsi="Arial" w:cs="Arial"/>
                <w:shd w:val="clear" w:color="auto" w:fill="F7F7F8"/>
              </w:rPr>
              <w:t>Kg/year</w:t>
            </w:r>
          </w:p>
        </w:tc>
        <w:tc>
          <w:tcPr>
            <w:tcW w:w="1802" w:type="dxa"/>
            <w:vMerge/>
            <w:tcBorders>
              <w:left w:val="single" w:sz="8" w:space="0" w:color="F7F7F8"/>
              <w:bottom w:val="single" w:sz="8" w:space="0" w:color="F7F7F8"/>
              <w:right w:val="single" w:sz="8" w:space="0" w:color="F7F7F8"/>
            </w:tcBorders>
            <w:tcMar>
              <w:top w:w="0" w:type="dxa"/>
              <w:left w:w="100" w:type="dxa"/>
              <w:bottom w:w="0" w:type="dxa"/>
              <w:right w:w="100" w:type="dxa"/>
            </w:tcMar>
          </w:tcPr>
          <w:p w14:paraId="0000006C" w14:textId="77777777" w:rsidR="004A6C98" w:rsidRPr="00D800F0" w:rsidRDefault="004A6C98" w:rsidP="00F912B2">
            <w:pPr>
              <w:spacing w:line="256" w:lineRule="auto"/>
              <w:jc w:val="center"/>
              <w:rPr>
                <w:rFonts w:ascii="Arial" w:hAnsi="Arial" w:cs="Arial"/>
              </w:rPr>
            </w:pPr>
          </w:p>
        </w:tc>
      </w:tr>
      <w:tr w:rsidR="00F912B2" w:rsidRPr="00D800F0" w14:paraId="470D6141" w14:textId="77777777" w:rsidTr="00F912B2">
        <w:trPr>
          <w:cantSplit/>
          <w:trHeight w:val="405"/>
        </w:trPr>
        <w:tc>
          <w:tcPr>
            <w:tcW w:w="3085"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00000071" w14:textId="491D891E" w:rsidR="00F912B2" w:rsidRPr="00D800F0" w:rsidRDefault="00F912B2" w:rsidP="00F912B2">
            <w:pPr>
              <w:spacing w:line="256" w:lineRule="auto"/>
              <w:jc w:val="center"/>
              <w:rPr>
                <w:rFonts w:ascii="Arial" w:hAnsi="Arial" w:cs="Arial"/>
              </w:rPr>
            </w:pPr>
            <w:r w:rsidRPr="00D800F0">
              <w:rPr>
                <w:rFonts w:ascii="Arial" w:hAnsi="Arial" w:cs="Arial"/>
              </w:rPr>
              <w:t xml:space="preserve">AP AEC </w:t>
            </w:r>
            <w:r w:rsidR="00403A61" w:rsidRPr="00D800F0">
              <w:rPr>
                <w:rFonts w:ascii="Arial" w:hAnsi="Arial" w:cs="Arial"/>
              </w:rPr>
              <w:t>O</w:t>
            </w:r>
            <w:r w:rsidRPr="00D800F0">
              <w:rPr>
                <w:rFonts w:ascii="Arial" w:hAnsi="Arial" w:cs="Arial"/>
              </w:rPr>
              <w:t>smosis</w:t>
            </w:r>
            <w:r w:rsidRPr="00D800F0">
              <w:rPr>
                <w:rFonts w:ascii="Arial" w:hAnsi="Arial" w:cs="Arial"/>
                <w:vertAlign w:val="superscript"/>
              </w:rPr>
              <w:t>A</w:t>
            </w:r>
          </w:p>
        </w:tc>
        <w:tc>
          <w:tcPr>
            <w:tcW w:w="2537"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19945581" w14:textId="77777777" w:rsidR="00403A61" w:rsidRPr="00D800F0" w:rsidRDefault="00F912B2" w:rsidP="00F912B2">
            <w:pPr>
              <w:spacing w:line="256" w:lineRule="auto"/>
              <w:jc w:val="center"/>
              <w:rPr>
                <w:rFonts w:ascii="Arial" w:hAnsi="Arial" w:cs="Arial"/>
              </w:rPr>
            </w:pPr>
            <w:r w:rsidRPr="00D800F0">
              <w:rPr>
                <w:rFonts w:ascii="Arial" w:hAnsi="Arial" w:cs="Arial"/>
              </w:rPr>
              <w:t xml:space="preserve">1332790200, </w:t>
            </w:r>
          </w:p>
          <w:p w14:paraId="00000072" w14:textId="21A52DE2" w:rsidR="00F912B2" w:rsidRPr="00D800F0" w:rsidRDefault="006C18FE" w:rsidP="00403A61">
            <w:pPr>
              <w:jc w:val="center"/>
              <w:rPr>
                <w:rFonts w:ascii="Arial" w:hAnsi="Arial" w:cs="Arial"/>
                <w:color w:val="000000"/>
              </w:rPr>
            </w:pPr>
            <w:r w:rsidRPr="00D800F0">
              <w:rPr>
                <w:rFonts w:ascii="Arial" w:hAnsi="Arial" w:cs="Arial"/>
                <w:color w:val="000000"/>
              </w:rPr>
              <w:t>73077302619</w:t>
            </w:r>
          </w:p>
        </w:tc>
        <w:tc>
          <w:tcPr>
            <w:tcW w:w="1936"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00000073" w14:textId="74CD85E0" w:rsidR="00F912B2" w:rsidRPr="00D800F0" w:rsidRDefault="00F912B2" w:rsidP="00F912B2">
            <w:pPr>
              <w:spacing w:line="256" w:lineRule="auto"/>
              <w:jc w:val="center"/>
              <w:rPr>
                <w:rFonts w:ascii="Arial" w:hAnsi="Arial" w:cs="Arial"/>
              </w:rPr>
            </w:pPr>
            <w:r w:rsidRPr="00D800F0">
              <w:rPr>
                <w:rFonts w:ascii="Arial" w:hAnsi="Arial" w:cs="Arial"/>
                <w:shd w:val="clear" w:color="auto" w:fill="F7F7F8"/>
              </w:rPr>
              <w:t>Kg/year</w:t>
            </w:r>
          </w:p>
        </w:tc>
        <w:tc>
          <w:tcPr>
            <w:tcW w:w="1802"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00000074" w14:textId="1DCA69DC" w:rsidR="00F912B2" w:rsidRPr="00D800F0" w:rsidRDefault="004A6C98" w:rsidP="00F912B2">
            <w:pPr>
              <w:spacing w:line="256" w:lineRule="auto"/>
              <w:jc w:val="center"/>
              <w:rPr>
                <w:rFonts w:ascii="Arial" w:hAnsi="Arial" w:cs="Arial"/>
              </w:rPr>
            </w:pPr>
            <w:r w:rsidRPr="00D800F0">
              <w:rPr>
                <w:rFonts w:ascii="Arial" w:hAnsi="Arial" w:cs="Arial"/>
                <w:shd w:val="clear" w:color="auto" w:fill="F7F7F8"/>
              </w:rPr>
              <w:t xml:space="preserve">Lewis et al., 2022; Brasington et al., 2011; Young et al., 2021; </w:t>
            </w:r>
            <w:r w:rsidRPr="00D800F0">
              <w:rPr>
                <w:rFonts w:ascii="Arial" w:hAnsi="Arial" w:cs="Arial"/>
              </w:rPr>
              <w:t>Sousa et al., 2022</w:t>
            </w:r>
            <w:r w:rsidRPr="00D800F0">
              <w:rPr>
                <w:rFonts w:ascii="Arial" w:hAnsi="Arial" w:cs="Arial"/>
                <w:shd w:val="clear" w:color="auto" w:fill="F7F7F8"/>
              </w:rPr>
              <w:t>.</w:t>
            </w:r>
          </w:p>
        </w:tc>
      </w:tr>
      <w:tr w:rsidR="00F912B2" w:rsidRPr="00D800F0" w14:paraId="3889B626" w14:textId="77777777" w:rsidTr="008E7202">
        <w:trPr>
          <w:cantSplit/>
          <w:trHeight w:val="405"/>
        </w:trPr>
        <w:tc>
          <w:tcPr>
            <w:tcW w:w="9360" w:type="dxa"/>
            <w:gridSpan w:val="4"/>
            <w:tcBorders>
              <w:top w:val="single" w:sz="4" w:space="0" w:color="auto"/>
              <w:left w:val="single" w:sz="8" w:space="0" w:color="F7F7F8"/>
              <w:bottom w:val="single" w:sz="8" w:space="0" w:color="000000"/>
              <w:right w:val="single" w:sz="8" w:space="0" w:color="F7F7F8"/>
            </w:tcBorders>
            <w:tcMar>
              <w:top w:w="0" w:type="dxa"/>
              <w:left w:w="100" w:type="dxa"/>
              <w:bottom w:w="0" w:type="dxa"/>
              <w:right w:w="100" w:type="dxa"/>
            </w:tcMar>
          </w:tcPr>
          <w:p w14:paraId="50C1DEB5" w14:textId="4DED55C3" w:rsidR="00F912B2" w:rsidRPr="00D800F0" w:rsidRDefault="00F912B2" w:rsidP="00F912B2">
            <w:pPr>
              <w:spacing w:line="256" w:lineRule="auto"/>
              <w:rPr>
                <w:rFonts w:ascii="Arial" w:hAnsi="Arial" w:cs="Arial"/>
              </w:rPr>
            </w:pPr>
            <w:r w:rsidRPr="00D800F0">
              <w:rPr>
                <w:rFonts w:ascii="Arial" w:hAnsi="Arial" w:cs="Arial"/>
                <w:vertAlign w:val="superscript"/>
              </w:rPr>
              <w:t>A</w:t>
            </w:r>
            <w:r w:rsidRPr="00D800F0">
              <w:rPr>
                <w:rFonts w:ascii="Arial" w:hAnsi="Arial" w:cs="Arial"/>
              </w:rPr>
              <w:t xml:space="preserve"> The first value provided is the reverse osmosis flowrate. The second value </w:t>
            </w:r>
            <w:r w:rsidR="004A6C98" w:rsidRPr="00D800F0">
              <w:rPr>
                <w:rFonts w:ascii="Arial" w:hAnsi="Arial" w:cs="Arial"/>
              </w:rPr>
              <w:t xml:space="preserve">is the process water demand. For more details on how the water demand was calculated, see the annexed </w:t>
            </w:r>
            <w:r w:rsidR="00403A61" w:rsidRPr="00D800F0">
              <w:rPr>
                <w:rFonts w:ascii="Arial" w:hAnsi="Arial" w:cs="Arial"/>
              </w:rPr>
              <w:t>E</w:t>
            </w:r>
            <w:r w:rsidR="004A6C98" w:rsidRPr="00D800F0">
              <w:rPr>
                <w:rFonts w:ascii="Arial" w:hAnsi="Arial" w:cs="Arial"/>
              </w:rPr>
              <w:t>xcel</w:t>
            </w:r>
            <w:r w:rsidR="00403A61" w:rsidRPr="00D800F0">
              <w:rPr>
                <w:rFonts w:ascii="Arial" w:hAnsi="Arial" w:cs="Arial"/>
              </w:rPr>
              <w:t xml:space="preserve"> file called</w:t>
            </w:r>
            <w:r w:rsidR="004A6C98" w:rsidRPr="00D800F0">
              <w:rPr>
                <w:rFonts w:ascii="Arial" w:hAnsi="Arial" w:cs="Arial"/>
              </w:rPr>
              <w:t xml:space="preserve"> </w:t>
            </w:r>
            <w:r w:rsidR="00403A61" w:rsidRPr="00D800F0">
              <w:rPr>
                <w:rFonts w:ascii="Arial" w:hAnsi="Arial" w:cs="Arial"/>
                <w:b/>
                <w:bCs/>
                <w:i/>
                <w:iCs/>
              </w:rPr>
              <w:t>AP_NE_Water_Balance.xlsx</w:t>
            </w:r>
            <w:r w:rsidR="004A6C98" w:rsidRPr="00D800F0">
              <w:rPr>
                <w:rFonts w:ascii="Arial" w:hAnsi="Arial" w:cs="Arial"/>
              </w:rPr>
              <w:t>.</w:t>
            </w:r>
          </w:p>
        </w:tc>
      </w:tr>
    </w:tbl>
    <w:p w14:paraId="545B8769" w14:textId="76E71359" w:rsidR="00DA7E40" w:rsidRPr="00D800F0" w:rsidRDefault="00DA7E40" w:rsidP="00DA7E40">
      <w:pPr>
        <w:rPr>
          <w:rFonts w:ascii="Arial" w:hAnsi="Arial" w:cs="Arial"/>
        </w:rPr>
      </w:pPr>
    </w:p>
    <w:p w14:paraId="5666B417" w14:textId="77777777" w:rsidR="00DA7E40" w:rsidRPr="00D800F0" w:rsidRDefault="00DA7E40" w:rsidP="006864F3">
      <w:pPr>
        <w:pStyle w:val="Heading2"/>
        <w:rPr>
          <w:rFonts w:ascii="Arial" w:hAnsi="Arial" w:cs="Arial"/>
        </w:rPr>
      </w:pPr>
      <w:bookmarkStart w:id="17" w:name="_Hlk146932734"/>
      <w:bookmarkStart w:id="18" w:name="_Toc148296618"/>
      <w:r w:rsidRPr="00D800F0">
        <w:rPr>
          <w:rFonts w:ascii="Arial" w:hAnsi="Arial" w:cs="Arial"/>
        </w:rPr>
        <w:t>Techno-Economic Quantities of the Technical Process System Model</w:t>
      </w:r>
      <w:bookmarkEnd w:id="18"/>
    </w:p>
    <w:p w14:paraId="3D17B43E" w14:textId="77777777" w:rsidR="00DA7E40" w:rsidRPr="00D800F0" w:rsidRDefault="00DA7E40" w:rsidP="006864F3">
      <w:pPr>
        <w:pStyle w:val="Heading3"/>
        <w:rPr>
          <w:rFonts w:ascii="Arial" w:hAnsi="Arial" w:cs="Arial"/>
        </w:rPr>
      </w:pPr>
      <w:bookmarkStart w:id="19" w:name="_Toc148296619"/>
      <w:r w:rsidRPr="00D800F0">
        <w:rPr>
          <w:rFonts w:ascii="Arial" w:hAnsi="Arial" w:cs="Arial"/>
        </w:rPr>
        <w:t>Objectives</w:t>
      </w:r>
      <w:bookmarkEnd w:id="19"/>
    </w:p>
    <w:p w14:paraId="516A78DA" w14:textId="77777777" w:rsidR="00DA7E40" w:rsidRPr="00D800F0" w:rsidRDefault="00DA7E40" w:rsidP="00DA7E40">
      <w:pPr>
        <w:rPr>
          <w:rFonts w:ascii="Arial" w:hAnsi="Arial" w:cs="Arial"/>
        </w:rPr>
      </w:pPr>
      <w:r w:rsidRPr="00D800F0">
        <w:rPr>
          <w:rFonts w:ascii="Arial" w:hAnsi="Arial" w:cs="Arial"/>
        </w:rPr>
        <w:t>This section aims to determine the equipment capacities for the AP process by combining the processes discussed in the previous section. These equipment capacities directly influence the capital expenditure (</w:t>
      </w:r>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rPr>
        <w:t xml:space="preserve">) associated with technology  </w:t>
      </w:r>
      <m:oMath>
        <m:r>
          <m:rPr>
            <m:sty m:val="bi"/>
          </m:rPr>
          <w:rPr>
            <w:rFonts w:ascii="Cambria Math" w:eastAsia="Cambria Math" w:hAnsi="Cambria Math" w:cs="Arial"/>
          </w:rPr>
          <m:t>j</m:t>
        </m:r>
      </m:oMath>
      <w:r w:rsidRPr="00D800F0">
        <w:rPr>
          <w:rFonts w:ascii="Arial" w:hAnsi="Arial" w:cs="Arial"/>
        </w:rPr>
        <w:t>,  where:</w:t>
      </w:r>
    </w:p>
    <w:tbl>
      <w:tblPr>
        <w:tblW w:w="9360" w:type="dxa"/>
        <w:tblLayout w:type="fixed"/>
        <w:tblLook w:val="0600" w:firstRow="0" w:lastRow="0" w:firstColumn="0" w:lastColumn="0" w:noHBand="1" w:noVBand="1"/>
      </w:tblPr>
      <w:tblGrid>
        <w:gridCol w:w="8490"/>
        <w:gridCol w:w="870"/>
      </w:tblGrid>
      <w:tr w:rsidR="00DA7E40" w:rsidRPr="00D800F0" w14:paraId="3DBCB398" w14:textId="77777777" w:rsidTr="0000614D">
        <w:trPr>
          <w:cantSplit/>
          <w:trHeight w:val="115"/>
        </w:trPr>
        <w:tc>
          <w:tcPr>
            <w:tcW w:w="8490" w:type="dxa"/>
            <w:shd w:val="clear" w:color="auto" w:fill="auto"/>
            <w:tcMar>
              <w:top w:w="100" w:type="dxa"/>
              <w:left w:w="100" w:type="dxa"/>
              <w:bottom w:w="100" w:type="dxa"/>
              <w:right w:w="100" w:type="dxa"/>
            </w:tcMar>
            <w:vAlign w:val="center"/>
          </w:tcPr>
          <w:p w14:paraId="7CAB2439"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j ∈</m:t>
                </m:r>
                <m:d>
                  <m:dPr>
                    <m:begChr m:val="{"/>
                    <m:endChr m:val="}"/>
                    <m:ctrlPr>
                      <w:rPr>
                        <w:rFonts w:ascii="Cambria Math" w:eastAsia="Cambria Math" w:hAnsi="Cambria Math" w:cs="Arial"/>
                        <w:b/>
                        <w:bCs/>
                      </w:rPr>
                    </m:ctrlPr>
                  </m:dPr>
                  <m:e>
                    <m:r>
                      <m:rPr>
                        <m:sty m:val="bi"/>
                      </m:rPr>
                      <w:rPr>
                        <w:rFonts w:ascii="Cambria Math" w:eastAsia="Cambria Math" w:hAnsi="Cambria Math" w:cs="Arial"/>
                      </w:rPr>
                      <m:t>AP SMR, AP CCS, AP BH</m:t>
                    </m:r>
                    <m:r>
                      <m:rPr>
                        <m:sty m:val="bi"/>
                      </m:rPr>
                      <w:rPr>
                        <w:rFonts w:ascii="Cambria Math" w:eastAsia="Cambria Math" w:hAnsi="Cambria Math" w:cs="Arial"/>
                      </w:rPr>
                      <m:t>2</m:t>
                    </m:r>
                    <m:r>
                      <m:rPr>
                        <m:sty m:val="bi"/>
                      </m:rPr>
                      <w:rPr>
                        <w:rFonts w:ascii="Cambria Math" w:eastAsia="Cambria Math" w:hAnsi="Cambria Math" w:cs="Arial"/>
                      </w:rPr>
                      <m:t>S, AP AEC</m:t>
                    </m:r>
                  </m:e>
                </m:d>
              </m:oMath>
            </m:oMathPara>
          </w:p>
        </w:tc>
        <w:tc>
          <w:tcPr>
            <w:tcW w:w="870" w:type="dxa"/>
            <w:shd w:val="clear" w:color="auto" w:fill="auto"/>
            <w:tcMar>
              <w:top w:w="100" w:type="dxa"/>
              <w:left w:w="100" w:type="dxa"/>
              <w:bottom w:w="100" w:type="dxa"/>
              <w:right w:w="100" w:type="dxa"/>
            </w:tcMar>
            <w:vAlign w:val="center"/>
          </w:tcPr>
          <w:p w14:paraId="4C99A787" w14:textId="77777777" w:rsidR="00DA7E40" w:rsidRPr="00D800F0" w:rsidRDefault="00DA7E40" w:rsidP="0000614D">
            <w:pPr>
              <w:pStyle w:val="Caption"/>
              <w:spacing w:after="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w:t>
            </w:r>
            <w:r w:rsidRPr="00D800F0">
              <w:rPr>
                <w:rFonts w:ascii="Arial" w:hAnsi="Arial" w:cs="Arial"/>
                <w:noProof/>
              </w:rPr>
              <w:fldChar w:fldCharType="end"/>
            </w:r>
            <w:r w:rsidRPr="00D800F0">
              <w:rPr>
                <w:rFonts w:ascii="Arial" w:hAnsi="Arial" w:cs="Arial"/>
              </w:rPr>
              <w:t>)</w:t>
            </w:r>
          </w:p>
        </w:tc>
      </w:tr>
    </w:tbl>
    <w:p w14:paraId="0B42A7FD" w14:textId="77777777" w:rsidR="00DA7E40" w:rsidRPr="00D800F0" w:rsidRDefault="00DA7E40" w:rsidP="00DA7E40">
      <w:pPr>
        <w:rPr>
          <w:rFonts w:ascii="Arial" w:hAnsi="Arial" w:cs="Arial"/>
        </w:rPr>
      </w:pPr>
      <w:r w:rsidRPr="00D800F0">
        <w:rPr>
          <w:rFonts w:ascii="Arial" w:hAnsi="Arial" w:cs="Arial"/>
        </w:rPr>
        <w:t>Additionally, the demands for feedstock, utilities, and other raw materials can be obtained from the mass and energy balances from the reports. This will constitute the variable operating costs. The fixed operating costs, however, are estimated based on the number of unit operations required to operate the plant. These types of costs constitute the operational expenditure (</w:t>
      </w:r>
      <m:oMath>
        <m:r>
          <m:rPr>
            <m:sty m:val="bi"/>
          </m:rPr>
          <w:rPr>
            <w:rFonts w:ascii="Cambria Math" w:eastAsia="Cambria Math" w:hAnsi="Cambria Math" w:cs="Arial"/>
          </w:rPr>
          <m:t>OPE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rPr>
        <w:t>).</w:t>
      </w:r>
    </w:p>
    <w:p w14:paraId="17333941" w14:textId="77777777" w:rsidR="00DA7E40" w:rsidRPr="00D800F0" w:rsidRDefault="00DA7E40" w:rsidP="00DA7E40">
      <w:pPr>
        <w:ind w:firstLine="720"/>
        <w:rPr>
          <w:rFonts w:ascii="Arial" w:hAnsi="Arial" w:cs="Arial"/>
        </w:rPr>
      </w:pPr>
      <w:r w:rsidRPr="00D800F0">
        <w:rPr>
          <w:rFonts w:ascii="Arial" w:hAnsi="Arial" w:cs="Arial"/>
        </w:rPr>
        <w:t xml:space="preserve">The goal of this section is to describe the methodology used to estimate the </w:t>
      </w:r>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b/>
        </w:rPr>
        <w:t xml:space="preserve"> </w:t>
      </w:r>
      <w:r w:rsidRPr="00D800F0">
        <w:rPr>
          <w:rFonts w:ascii="Arial" w:hAnsi="Arial" w:cs="Arial"/>
        </w:rPr>
        <w:t xml:space="preserve">and </w:t>
      </w:r>
      <m:oMath>
        <m:r>
          <m:rPr>
            <m:sty m:val="bi"/>
          </m:rPr>
          <w:rPr>
            <w:rFonts w:ascii="Cambria Math" w:eastAsia="Cambria Math" w:hAnsi="Cambria Math" w:cs="Arial"/>
          </w:rPr>
          <m:t>OPE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rPr>
        <w:t xml:space="preserve"> for each technology option, following the techno-economic approach outlined by Peters et al. (2003). These two quantities will allow for calculating the desired financial variables in ensuing sections (i.e., NPV, CAC, etc.). </w:t>
      </w:r>
    </w:p>
    <w:p w14:paraId="232829C3"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1</w:t>
      </w:r>
      <w:r w:rsidRPr="00D800F0">
        <w:rPr>
          <w:rFonts w:ascii="Arial" w:hAnsi="Arial" w:cs="Arial"/>
          <w:noProof/>
        </w:rPr>
        <w:fldChar w:fldCharType="end"/>
      </w:r>
      <w:r w:rsidRPr="00D800F0">
        <w:rPr>
          <w:rFonts w:ascii="Arial" w:hAnsi="Arial" w:cs="Arial"/>
        </w:rPr>
        <w:t>: Nomenclature for the CAPEX section.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800"/>
        <w:gridCol w:w="2440"/>
      </w:tblGrid>
      <w:tr w:rsidR="00DA7E40" w:rsidRPr="00D800F0" w14:paraId="3697E18F" w14:textId="77777777" w:rsidTr="0000614D">
        <w:trPr>
          <w:cantSplit/>
          <w:trHeight w:val="21"/>
        </w:trPr>
        <w:tc>
          <w:tcPr>
            <w:tcW w:w="3120" w:type="dxa"/>
            <w:tcBorders>
              <w:top w:val="single" w:sz="4" w:space="0" w:color="auto"/>
              <w:left w:val="nil"/>
              <w:bottom w:val="single" w:sz="4" w:space="0" w:color="auto"/>
              <w:right w:val="nil"/>
            </w:tcBorders>
          </w:tcPr>
          <w:p w14:paraId="56D6EBB0" w14:textId="77777777" w:rsidR="00DA7E40" w:rsidRPr="00D800F0" w:rsidRDefault="00DA7E40" w:rsidP="0000614D">
            <w:pPr>
              <w:rPr>
                <w:rFonts w:ascii="Arial" w:hAnsi="Arial" w:cs="Arial"/>
                <w:b/>
                <w:bCs/>
                <w:iCs/>
              </w:rPr>
            </w:pPr>
            <w:r w:rsidRPr="00D800F0">
              <w:rPr>
                <w:rFonts w:ascii="Arial" w:hAnsi="Arial" w:cs="Arial"/>
                <w:b/>
                <w:bCs/>
                <w:iCs/>
              </w:rPr>
              <w:t>Parameters</w:t>
            </w:r>
          </w:p>
        </w:tc>
        <w:tc>
          <w:tcPr>
            <w:tcW w:w="3800" w:type="dxa"/>
            <w:tcBorders>
              <w:top w:val="single" w:sz="4" w:space="0" w:color="auto"/>
              <w:left w:val="nil"/>
              <w:bottom w:val="single" w:sz="4" w:space="0" w:color="auto"/>
              <w:right w:val="nil"/>
            </w:tcBorders>
          </w:tcPr>
          <w:p w14:paraId="0E1CB494" w14:textId="77777777" w:rsidR="00DA7E40" w:rsidRPr="00D800F0" w:rsidRDefault="00DA7E40" w:rsidP="0000614D">
            <w:pPr>
              <w:rPr>
                <w:rFonts w:ascii="Arial" w:hAnsi="Arial" w:cs="Arial"/>
                <w:b/>
                <w:bCs/>
                <w:iCs/>
              </w:rPr>
            </w:pPr>
            <w:r w:rsidRPr="00D800F0">
              <w:rPr>
                <w:rFonts w:ascii="Arial" w:hAnsi="Arial" w:cs="Arial"/>
                <w:b/>
                <w:bCs/>
                <w:iCs/>
              </w:rPr>
              <w:t>Description</w:t>
            </w:r>
          </w:p>
        </w:tc>
        <w:tc>
          <w:tcPr>
            <w:tcW w:w="2440" w:type="dxa"/>
            <w:tcBorders>
              <w:top w:val="single" w:sz="4" w:space="0" w:color="auto"/>
              <w:left w:val="nil"/>
              <w:bottom w:val="single" w:sz="4" w:space="0" w:color="auto"/>
              <w:right w:val="nil"/>
            </w:tcBorders>
          </w:tcPr>
          <w:p w14:paraId="7E484BFB" w14:textId="77777777" w:rsidR="00DA7E40" w:rsidRPr="00D800F0" w:rsidRDefault="00DA7E40" w:rsidP="0000614D">
            <w:pPr>
              <w:rPr>
                <w:rFonts w:ascii="Arial" w:hAnsi="Arial" w:cs="Arial"/>
                <w:b/>
                <w:bCs/>
                <w:iCs/>
              </w:rPr>
            </w:pPr>
            <w:r w:rsidRPr="00D800F0">
              <w:rPr>
                <w:rFonts w:ascii="Arial" w:hAnsi="Arial" w:cs="Arial"/>
                <w:b/>
                <w:bCs/>
                <w:iCs/>
              </w:rPr>
              <w:t>Units</w:t>
            </w:r>
          </w:p>
        </w:tc>
      </w:tr>
      <w:tr w:rsidR="00DA7E40" w:rsidRPr="00D800F0" w14:paraId="1B3ADCBA" w14:textId="77777777" w:rsidTr="0000614D">
        <w:trPr>
          <w:cantSplit/>
          <w:trHeight w:val="21"/>
        </w:trPr>
        <w:tc>
          <w:tcPr>
            <w:tcW w:w="3120" w:type="dxa"/>
            <w:tcBorders>
              <w:top w:val="single" w:sz="4" w:space="0" w:color="auto"/>
              <w:left w:val="nil"/>
              <w:bottom w:val="nil"/>
              <w:right w:val="nil"/>
            </w:tcBorders>
            <w:shd w:val="clear" w:color="auto" w:fill="auto"/>
            <w:tcMar>
              <w:top w:w="100" w:type="dxa"/>
              <w:left w:w="100" w:type="dxa"/>
              <w:bottom w:w="100" w:type="dxa"/>
              <w:right w:w="100" w:type="dxa"/>
            </w:tcMar>
          </w:tcPr>
          <w:p w14:paraId="7BB4EAB6"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j</m:t>
                </m:r>
              </m:oMath>
            </m:oMathPara>
          </w:p>
        </w:tc>
        <w:tc>
          <w:tcPr>
            <w:tcW w:w="3800" w:type="dxa"/>
            <w:tcBorders>
              <w:top w:val="single" w:sz="4" w:space="0" w:color="auto"/>
              <w:left w:val="nil"/>
              <w:bottom w:val="nil"/>
              <w:right w:val="nil"/>
            </w:tcBorders>
            <w:shd w:val="clear" w:color="auto" w:fill="auto"/>
            <w:tcMar>
              <w:top w:w="100" w:type="dxa"/>
              <w:left w:w="100" w:type="dxa"/>
              <w:bottom w:w="100" w:type="dxa"/>
              <w:right w:w="100" w:type="dxa"/>
            </w:tcMar>
          </w:tcPr>
          <w:p w14:paraId="669D380F" w14:textId="77777777" w:rsidR="00DA7E40" w:rsidRPr="00D800F0" w:rsidRDefault="00DA7E40" w:rsidP="0000614D">
            <w:pPr>
              <w:rPr>
                <w:rFonts w:ascii="Arial" w:hAnsi="Arial" w:cs="Arial"/>
              </w:rPr>
            </w:pPr>
            <w:r w:rsidRPr="00D800F0">
              <w:rPr>
                <w:rFonts w:ascii="Arial" w:hAnsi="Arial" w:cs="Arial"/>
              </w:rPr>
              <w:t>Technology index</w:t>
            </w:r>
          </w:p>
        </w:tc>
        <w:tc>
          <w:tcPr>
            <w:tcW w:w="2440" w:type="dxa"/>
            <w:tcBorders>
              <w:top w:val="single" w:sz="4" w:space="0" w:color="auto"/>
              <w:left w:val="nil"/>
              <w:bottom w:val="nil"/>
              <w:right w:val="nil"/>
            </w:tcBorders>
            <w:shd w:val="clear" w:color="auto" w:fill="auto"/>
            <w:tcMar>
              <w:top w:w="100" w:type="dxa"/>
              <w:left w:w="100" w:type="dxa"/>
              <w:bottom w:w="100" w:type="dxa"/>
              <w:right w:w="100" w:type="dxa"/>
            </w:tcMar>
          </w:tcPr>
          <w:p w14:paraId="387C7FAD" w14:textId="77777777" w:rsidR="00DA7E40" w:rsidRPr="00D800F0" w:rsidRDefault="00DA7E40" w:rsidP="0000614D">
            <w:pPr>
              <w:widowControl w:val="0"/>
              <w:rPr>
                <w:rFonts w:ascii="Arial" w:hAnsi="Arial" w:cs="Arial"/>
              </w:rPr>
            </w:pPr>
          </w:p>
        </w:tc>
      </w:tr>
      <w:tr w:rsidR="00DA7E40" w:rsidRPr="00D800F0" w14:paraId="22C15CA0"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3C328CFC"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z</m:t>
                </m:r>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7A5768F9" w14:textId="77777777" w:rsidR="00DA7E40" w:rsidRPr="00D800F0" w:rsidRDefault="00DA7E40" w:rsidP="0000614D">
            <w:pPr>
              <w:rPr>
                <w:rFonts w:ascii="Arial" w:hAnsi="Arial" w:cs="Arial"/>
              </w:rPr>
            </w:pPr>
            <w:r w:rsidRPr="00D800F0">
              <w:rPr>
                <w:rFonts w:ascii="Arial" w:hAnsi="Arial" w:cs="Arial"/>
              </w:rPr>
              <w:t>Cost factor index</w:t>
            </w:r>
          </w:p>
        </w:tc>
        <w:tc>
          <w:tcPr>
            <w:tcW w:w="2440" w:type="dxa"/>
            <w:tcBorders>
              <w:top w:val="nil"/>
              <w:left w:val="nil"/>
              <w:bottom w:val="nil"/>
              <w:right w:val="nil"/>
            </w:tcBorders>
            <w:shd w:val="clear" w:color="auto" w:fill="auto"/>
            <w:tcMar>
              <w:top w:w="100" w:type="dxa"/>
              <w:left w:w="100" w:type="dxa"/>
              <w:bottom w:w="100" w:type="dxa"/>
              <w:right w:w="100" w:type="dxa"/>
            </w:tcMar>
          </w:tcPr>
          <w:p w14:paraId="066318F7" w14:textId="77777777" w:rsidR="00DA7E40" w:rsidRPr="00D800F0" w:rsidRDefault="00DA7E40" w:rsidP="0000614D">
            <w:pPr>
              <w:widowControl w:val="0"/>
              <w:rPr>
                <w:rFonts w:ascii="Arial" w:hAnsi="Arial" w:cs="Arial"/>
              </w:rPr>
            </w:pPr>
          </w:p>
        </w:tc>
      </w:tr>
      <w:tr w:rsidR="00DA7E40" w:rsidRPr="00D800F0" w14:paraId="6150A853"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F0B35FF"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z</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1C23699B" w14:textId="77777777" w:rsidR="00DA7E40" w:rsidRPr="00D800F0" w:rsidRDefault="00DA7E40" w:rsidP="0000614D">
            <w:pPr>
              <w:rPr>
                <w:rFonts w:ascii="Arial" w:hAnsi="Arial" w:cs="Arial"/>
              </w:rPr>
            </w:pPr>
            <w:r w:rsidRPr="00D800F0">
              <w:rPr>
                <w:rFonts w:ascii="Arial" w:hAnsi="Arial" w:cs="Arial"/>
              </w:rPr>
              <w:t>CAPEX cost factor</w:t>
            </w:r>
          </w:p>
        </w:tc>
        <w:tc>
          <w:tcPr>
            <w:tcW w:w="2440" w:type="dxa"/>
            <w:tcBorders>
              <w:top w:val="nil"/>
              <w:left w:val="nil"/>
              <w:bottom w:val="nil"/>
              <w:right w:val="nil"/>
            </w:tcBorders>
            <w:shd w:val="clear" w:color="auto" w:fill="auto"/>
            <w:tcMar>
              <w:top w:w="100" w:type="dxa"/>
              <w:left w:w="100" w:type="dxa"/>
              <w:bottom w:w="100" w:type="dxa"/>
              <w:right w:w="100" w:type="dxa"/>
            </w:tcMar>
          </w:tcPr>
          <w:p w14:paraId="15971D6D"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p>
        </w:tc>
      </w:tr>
      <w:tr w:rsidR="00DA7E40" w:rsidRPr="00D800F0" w14:paraId="4260D18B"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E566E29"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m:oMathPara>
          </w:p>
        </w:tc>
        <w:tc>
          <w:tcPr>
            <w:tcW w:w="3800" w:type="dxa"/>
            <w:tcBorders>
              <w:top w:val="nil"/>
              <w:left w:val="nil"/>
              <w:bottom w:val="nil"/>
              <w:right w:val="nil"/>
            </w:tcBorders>
          </w:tcPr>
          <w:p w14:paraId="04CD1E53" w14:textId="77777777" w:rsidR="00DA7E40" w:rsidRPr="00D800F0" w:rsidRDefault="00DA7E40" w:rsidP="0000614D">
            <w:pPr>
              <w:rPr>
                <w:rFonts w:ascii="Arial" w:hAnsi="Arial" w:cs="Arial"/>
              </w:rPr>
            </w:pPr>
            <w:r w:rsidRPr="00D800F0">
              <w:rPr>
                <w:rFonts w:ascii="Arial" w:hAnsi="Arial" w:cs="Arial"/>
              </w:rPr>
              <w:t xml:space="preserve">Capital Expenditure cost for technology </w:t>
            </w:r>
            <m:oMath>
              <m:r>
                <m:rPr>
                  <m:sty m:val="bi"/>
                </m:rPr>
                <w:rPr>
                  <w:rFonts w:ascii="Cambria Math" w:eastAsia="Cambria Math" w:hAnsi="Cambria Math" w:cs="Arial"/>
                </w:rPr>
                <m:t>j</m:t>
              </m:r>
            </m:oMath>
          </w:p>
        </w:tc>
        <w:tc>
          <w:tcPr>
            <w:tcW w:w="2440" w:type="dxa"/>
            <w:tcBorders>
              <w:top w:val="nil"/>
              <w:left w:val="nil"/>
              <w:bottom w:val="nil"/>
              <w:right w:val="nil"/>
            </w:tcBorders>
            <w:shd w:val="clear" w:color="auto" w:fill="auto"/>
            <w:tcMar>
              <w:top w:w="100" w:type="dxa"/>
              <w:left w:w="100" w:type="dxa"/>
              <w:bottom w:w="100" w:type="dxa"/>
              <w:right w:w="100" w:type="dxa"/>
            </w:tcMar>
          </w:tcPr>
          <w:p w14:paraId="4C10FA58"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0724CA38"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7539797"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P</m:t>
                    </m:r>
                  </m:e>
                  <m:sub>
                    <m:d>
                      <m:dPr>
                        <m:ctrlPr>
                          <w:rPr>
                            <w:rFonts w:ascii="Cambria Math" w:eastAsia="Cambria Math" w:hAnsi="Cambria Math" w:cs="Arial"/>
                            <w:b/>
                            <w:bCs/>
                          </w:rPr>
                        </m:ctrlPr>
                      </m:dPr>
                      <m:e>
                        <m:sSub>
                          <m:sSubPr>
                            <m:ctrlPr>
                              <w:rPr>
                                <w:rFonts w:ascii="Cambria Math" w:eastAsia="Cambria Math" w:hAnsi="Cambria Math" w:cs="Arial"/>
                                <w:b/>
                                <w:bCs/>
                              </w:rPr>
                            </m:ctrlPr>
                          </m:sSubPr>
                          <m:e>
                            <m:r>
                              <m:rPr>
                                <m:sty m:val="bi"/>
                              </m:rPr>
                              <w:rPr>
                                <w:rFonts w:ascii="Cambria Math" w:eastAsia="Cambria Math" w:hAnsi="Cambria Math" w:cs="Arial"/>
                              </w:rPr>
                              <m:t>n</m:t>
                            </m:r>
                          </m:e>
                          <m:sub>
                            <m:r>
                              <m:rPr>
                                <m:sty m:val="bi"/>
                              </m:rPr>
                              <w:rPr>
                                <w:rFonts w:ascii="Cambria Math" w:eastAsia="Cambria Math" w:hAnsi="Cambria Math" w:cs="Arial"/>
                              </w:rPr>
                              <m:t>0</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t</m:t>
                            </m:r>
                          </m:e>
                          <m:sub>
                            <m:r>
                              <m:rPr>
                                <m:sty m:val="bi"/>
                              </m:rPr>
                              <w:rPr>
                                <w:rFonts w:ascii="Cambria Math" w:eastAsia="Cambria Math" w:hAnsi="Cambria Math" w:cs="Arial"/>
                              </w:rPr>
                              <m:t>0</m:t>
                            </m:r>
                          </m:sub>
                        </m:sSub>
                        <m:r>
                          <m:rPr>
                            <m:sty m:val="bi"/>
                          </m:rPr>
                          <w:rPr>
                            <w:rFonts w:ascii="Cambria Math" w:eastAsia="Cambria Math" w:hAnsi="Cambria Math" w:cs="Arial"/>
                          </w:rPr>
                          <m:t>,z</m:t>
                        </m:r>
                      </m:e>
                    </m:d>
                  </m:sub>
                </m:sSub>
              </m:oMath>
            </m:oMathPara>
          </w:p>
        </w:tc>
        <w:tc>
          <w:tcPr>
            <w:tcW w:w="3800" w:type="dxa"/>
            <w:tcBorders>
              <w:top w:val="nil"/>
              <w:left w:val="nil"/>
              <w:bottom w:val="nil"/>
              <w:right w:val="nil"/>
            </w:tcBorders>
          </w:tcPr>
          <w:p w14:paraId="7CEB4A60" w14:textId="77777777" w:rsidR="00DA7E40" w:rsidRPr="00D800F0" w:rsidRDefault="00DA7E40" w:rsidP="0000614D">
            <w:pPr>
              <w:rPr>
                <w:rFonts w:ascii="Arial" w:hAnsi="Arial" w:cs="Arial"/>
              </w:rPr>
            </w:pPr>
            <w:r w:rsidRPr="00D800F0">
              <w:rPr>
                <w:rFonts w:ascii="Arial" w:hAnsi="Arial" w:cs="Arial"/>
              </w:rPr>
              <w:t>Base capacity equipment cost.</w:t>
            </w:r>
          </w:p>
        </w:tc>
        <w:tc>
          <w:tcPr>
            <w:tcW w:w="2440" w:type="dxa"/>
            <w:tcBorders>
              <w:top w:val="nil"/>
              <w:left w:val="nil"/>
              <w:bottom w:val="nil"/>
              <w:right w:val="nil"/>
            </w:tcBorders>
            <w:shd w:val="clear" w:color="auto" w:fill="auto"/>
            <w:tcMar>
              <w:top w:w="100" w:type="dxa"/>
              <w:left w:w="100" w:type="dxa"/>
              <w:bottom w:w="100" w:type="dxa"/>
              <w:right w:w="100" w:type="dxa"/>
            </w:tcMar>
          </w:tcPr>
          <w:p w14:paraId="699152DD"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5F4C86AC"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296E8955"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m</m:t>
                    </m:r>
                  </m:e>
                  <m:sub>
                    <m:r>
                      <m:rPr>
                        <m:sty m:val="bi"/>
                      </m:rPr>
                      <w:rPr>
                        <w:rFonts w:ascii="Cambria Math" w:eastAsia="Cambria Math" w:hAnsi="Cambria Math" w:cs="Arial"/>
                      </w:rPr>
                      <m:t>n</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10974432" w14:textId="77777777" w:rsidR="00DA7E40" w:rsidRPr="00D800F0" w:rsidRDefault="00DA7E40" w:rsidP="0000614D">
            <w:pPr>
              <w:rPr>
                <w:rFonts w:ascii="Arial" w:hAnsi="Arial" w:cs="Arial"/>
              </w:rPr>
            </w:pPr>
            <w:r w:rsidRPr="00D800F0">
              <w:rPr>
                <w:rFonts w:ascii="Arial" w:hAnsi="Arial" w:cs="Arial"/>
              </w:rPr>
              <w:t>number of spare equipment units required</w:t>
            </w:r>
          </w:p>
        </w:tc>
        <w:tc>
          <w:tcPr>
            <w:tcW w:w="2440" w:type="dxa"/>
            <w:tcBorders>
              <w:top w:val="nil"/>
              <w:left w:val="nil"/>
              <w:bottom w:val="nil"/>
              <w:right w:val="nil"/>
            </w:tcBorders>
            <w:shd w:val="clear" w:color="auto" w:fill="auto"/>
            <w:tcMar>
              <w:top w:w="100" w:type="dxa"/>
              <w:left w:w="100" w:type="dxa"/>
              <w:bottom w:w="100" w:type="dxa"/>
              <w:right w:w="100" w:type="dxa"/>
            </w:tcMar>
          </w:tcPr>
          <w:p w14:paraId="161FDC20" w14:textId="77777777" w:rsidR="00DA7E40" w:rsidRPr="00D800F0" w:rsidRDefault="00DA7E40" w:rsidP="0000614D">
            <w:pPr>
              <w:rPr>
                <w:rFonts w:ascii="Arial" w:eastAsia="Cambria Math" w:hAnsi="Arial" w:cs="Arial"/>
              </w:rPr>
            </w:pPr>
            <m:oMathPara>
              <m:oMathParaPr>
                <m:jc m:val="left"/>
              </m:oMathParaPr>
              <m:oMath>
                <m:r>
                  <m:rPr>
                    <m:scr m:val="double-struck"/>
                  </m:rPr>
                  <w:rPr>
                    <w:rFonts w:ascii="Cambria Math" w:eastAsia="Cambria Math" w:hAnsi="Cambria Math" w:cs="Arial"/>
                  </w:rPr>
                  <m:t>N</m:t>
                </m:r>
              </m:oMath>
            </m:oMathPara>
          </w:p>
        </w:tc>
      </w:tr>
      <w:tr w:rsidR="00DA7E40" w:rsidRPr="00D800F0" w14:paraId="1444CCB8"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5D76687"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n</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03850E0E" w14:textId="77777777" w:rsidR="00DA7E40" w:rsidRPr="00D800F0" w:rsidRDefault="00DA7E40" w:rsidP="0000614D">
            <w:pPr>
              <w:rPr>
                <w:rFonts w:ascii="Arial" w:hAnsi="Arial" w:cs="Arial"/>
              </w:rPr>
            </w:pPr>
            <w:r w:rsidRPr="00D800F0">
              <w:rPr>
                <w:rFonts w:ascii="Arial" w:hAnsi="Arial" w:cs="Arial"/>
              </w:rPr>
              <w:t xml:space="preserve">required equipment capacity </w:t>
            </w:r>
          </w:p>
        </w:tc>
        <w:tc>
          <w:tcPr>
            <w:tcW w:w="2440" w:type="dxa"/>
            <w:tcBorders>
              <w:top w:val="nil"/>
              <w:left w:val="nil"/>
              <w:bottom w:val="nil"/>
              <w:right w:val="nil"/>
            </w:tcBorders>
            <w:shd w:val="clear" w:color="auto" w:fill="auto"/>
            <w:tcMar>
              <w:top w:w="100" w:type="dxa"/>
              <w:left w:w="100" w:type="dxa"/>
              <w:bottom w:w="100" w:type="dxa"/>
              <w:right w:w="100" w:type="dxa"/>
            </w:tcMar>
          </w:tcPr>
          <w:p w14:paraId="2278EDBA" w14:textId="77777777" w:rsidR="00DA7E40" w:rsidRPr="00D800F0" w:rsidRDefault="00DA7E40" w:rsidP="0000614D">
            <w:pPr>
              <w:widowControl w:val="0"/>
              <w:rPr>
                <w:rFonts w:ascii="Arial" w:hAnsi="Arial" w:cs="Arial"/>
              </w:rPr>
            </w:pPr>
          </w:p>
        </w:tc>
      </w:tr>
      <w:tr w:rsidR="00DA7E40" w:rsidRPr="00D800F0" w14:paraId="3F0C6561"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2E6E61A6"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n</m:t>
                    </m:r>
                    <m:r>
                      <m:rPr>
                        <m:sty m:val="bi"/>
                      </m:rPr>
                      <w:rPr>
                        <w:rFonts w:ascii="Cambria Math" w:eastAsia="Cambria Math" w:hAnsi="Cambria Math" w:cs="Arial"/>
                      </w:rPr>
                      <m:t>0</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5BA4D6A0" w14:textId="77777777" w:rsidR="00DA7E40" w:rsidRPr="00D800F0" w:rsidRDefault="00DA7E40" w:rsidP="0000614D">
            <w:pPr>
              <w:rPr>
                <w:rFonts w:ascii="Arial" w:hAnsi="Arial" w:cs="Arial"/>
              </w:rPr>
            </w:pPr>
            <w:r w:rsidRPr="00D800F0">
              <w:rPr>
                <w:rFonts w:ascii="Arial" w:hAnsi="Arial" w:cs="Arial"/>
              </w:rPr>
              <w:t>base capacity</w:t>
            </w:r>
          </w:p>
        </w:tc>
        <w:tc>
          <w:tcPr>
            <w:tcW w:w="2440" w:type="dxa"/>
            <w:tcBorders>
              <w:top w:val="nil"/>
              <w:left w:val="nil"/>
              <w:bottom w:val="nil"/>
              <w:right w:val="nil"/>
            </w:tcBorders>
            <w:shd w:val="clear" w:color="auto" w:fill="auto"/>
            <w:tcMar>
              <w:top w:w="100" w:type="dxa"/>
              <w:left w:w="100" w:type="dxa"/>
              <w:bottom w:w="100" w:type="dxa"/>
              <w:right w:w="100" w:type="dxa"/>
            </w:tcMar>
          </w:tcPr>
          <w:p w14:paraId="5DCA903D" w14:textId="77777777" w:rsidR="00DA7E40" w:rsidRPr="00D800F0" w:rsidRDefault="00DA7E40" w:rsidP="0000614D">
            <w:pPr>
              <w:widowControl w:val="0"/>
              <w:rPr>
                <w:rFonts w:ascii="Arial" w:hAnsi="Arial" w:cs="Arial"/>
              </w:rPr>
            </w:pPr>
          </w:p>
        </w:tc>
      </w:tr>
      <w:tr w:rsidR="00DA7E40" w:rsidRPr="00D800F0" w14:paraId="60C877D3"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5999FF52"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i</m:t>
                </m:r>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03E4D8C4" w14:textId="77777777" w:rsidR="00DA7E40" w:rsidRPr="00D800F0" w:rsidRDefault="00DA7E40" w:rsidP="0000614D">
            <w:pPr>
              <w:rPr>
                <w:rFonts w:ascii="Arial" w:hAnsi="Arial" w:cs="Arial"/>
              </w:rPr>
            </w:pPr>
            <w:r w:rsidRPr="00D800F0">
              <w:rPr>
                <w:rFonts w:ascii="Arial" w:hAnsi="Arial" w:cs="Arial"/>
              </w:rPr>
              <w:t>installation cost factor</w:t>
            </w:r>
          </w:p>
        </w:tc>
        <w:tc>
          <w:tcPr>
            <w:tcW w:w="2440" w:type="dxa"/>
            <w:tcBorders>
              <w:top w:val="nil"/>
              <w:left w:val="nil"/>
              <w:bottom w:val="nil"/>
              <w:right w:val="nil"/>
            </w:tcBorders>
            <w:shd w:val="clear" w:color="auto" w:fill="auto"/>
            <w:tcMar>
              <w:top w:w="100" w:type="dxa"/>
              <w:left w:w="100" w:type="dxa"/>
              <w:bottom w:w="100" w:type="dxa"/>
              <w:right w:w="100" w:type="dxa"/>
            </w:tcMar>
          </w:tcPr>
          <w:p w14:paraId="7D5C80DC" w14:textId="77777777" w:rsidR="00DA7E40" w:rsidRPr="00D800F0" w:rsidRDefault="00DA7E40" w:rsidP="0000614D">
            <w:pPr>
              <w:widowControl w:val="0"/>
              <w:rPr>
                <w:rFonts w:ascii="Arial" w:hAnsi="Arial" w:cs="Arial"/>
              </w:rPr>
            </w:pPr>
          </w:p>
        </w:tc>
      </w:tr>
      <w:tr w:rsidR="00DA7E40" w:rsidRPr="00D800F0" w14:paraId="491C338D"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05A9B5E5"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f</m:t>
                </m:r>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5AB3B64E" w14:textId="77777777" w:rsidR="00DA7E40" w:rsidRPr="00D800F0" w:rsidRDefault="00DA7E40" w:rsidP="0000614D">
            <w:pPr>
              <w:rPr>
                <w:rFonts w:ascii="Arial" w:hAnsi="Arial" w:cs="Arial"/>
              </w:rPr>
            </w:pPr>
            <w:r w:rsidRPr="00D800F0">
              <w:rPr>
                <w:rFonts w:ascii="Arial" w:hAnsi="Arial" w:cs="Arial"/>
              </w:rPr>
              <w:t>equipment economies of scale factor (Peters et al. 2003)</w:t>
            </w:r>
          </w:p>
        </w:tc>
        <w:tc>
          <w:tcPr>
            <w:tcW w:w="2440" w:type="dxa"/>
            <w:tcBorders>
              <w:top w:val="nil"/>
              <w:left w:val="nil"/>
              <w:bottom w:val="nil"/>
              <w:right w:val="nil"/>
            </w:tcBorders>
            <w:shd w:val="clear" w:color="auto" w:fill="auto"/>
            <w:tcMar>
              <w:top w:w="100" w:type="dxa"/>
              <w:left w:w="100" w:type="dxa"/>
              <w:bottom w:w="100" w:type="dxa"/>
              <w:right w:w="100" w:type="dxa"/>
            </w:tcMar>
          </w:tcPr>
          <w:p w14:paraId="3B65BD4E" w14:textId="77777777" w:rsidR="00DA7E40" w:rsidRPr="00D800F0" w:rsidRDefault="00DA7E40" w:rsidP="0000614D">
            <w:pPr>
              <w:rPr>
                <w:rFonts w:ascii="Arial" w:hAnsi="Arial" w:cs="Arial"/>
              </w:rPr>
            </w:pPr>
          </w:p>
        </w:tc>
      </w:tr>
      <w:tr w:rsidR="00DA7E40" w:rsidRPr="00D800F0" w14:paraId="7E356647"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59F2765F"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t</m:t>
                        </m:r>
                      </m:sub>
                    </m:sSub>
                  </m:e>
                  <m:sub>
                    <m:r>
                      <m:rPr>
                        <m:sty m:val="bi"/>
                      </m:rPr>
                      <w:rPr>
                        <w:rFonts w:ascii="Cambria Math" w:eastAsia="Cambria Math" w:hAnsi="Cambria Math" w:cs="Arial"/>
                      </w:rPr>
                      <m:t>0</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45B405A9" w14:textId="77777777" w:rsidR="00DA7E40" w:rsidRPr="00D800F0" w:rsidRDefault="00DA7E40" w:rsidP="0000614D">
            <w:pPr>
              <w:rPr>
                <w:rFonts w:ascii="Arial" w:hAnsi="Arial" w:cs="Arial"/>
              </w:rPr>
            </w:pPr>
            <w:r w:rsidRPr="00D800F0">
              <w:rPr>
                <w:rFonts w:ascii="Arial" w:hAnsi="Arial" w:cs="Arial"/>
              </w:rPr>
              <w:t xml:space="preserve">Chemical engineering plant index at </w:t>
            </w:r>
            <m:oMath>
              <m:sSub>
                <m:sSubPr>
                  <m:ctrlPr>
                    <w:rPr>
                      <w:rFonts w:ascii="Cambria Math" w:eastAsia="Cambria Math" w:hAnsi="Cambria Math" w:cs="Arial"/>
                      <w:b/>
                      <w:bCs/>
                    </w:rPr>
                  </m:ctrlPr>
                </m:sSubPr>
                <m:e>
                  <m:r>
                    <m:rPr>
                      <m:sty m:val="bi"/>
                    </m:rPr>
                    <w:rPr>
                      <w:rFonts w:ascii="Cambria Math" w:eastAsia="Cambria Math" w:hAnsi="Cambria Math" w:cs="Arial"/>
                    </w:rPr>
                    <m:t>t</m:t>
                  </m:r>
                </m:e>
                <m:sub>
                  <m:r>
                    <m:rPr>
                      <m:sty m:val="bi"/>
                    </m:rPr>
                    <w:rPr>
                      <w:rFonts w:ascii="Cambria Math" w:eastAsia="Cambria Math" w:hAnsi="Cambria Math" w:cs="Arial"/>
                    </w:rPr>
                    <m:t>0</m:t>
                  </m:r>
                </m:sub>
              </m:sSub>
            </m:oMath>
          </w:p>
        </w:tc>
        <w:tc>
          <w:tcPr>
            <w:tcW w:w="2440" w:type="dxa"/>
            <w:tcBorders>
              <w:top w:val="nil"/>
              <w:left w:val="nil"/>
              <w:bottom w:val="nil"/>
              <w:right w:val="nil"/>
            </w:tcBorders>
            <w:shd w:val="clear" w:color="auto" w:fill="auto"/>
            <w:tcMar>
              <w:top w:w="100" w:type="dxa"/>
              <w:left w:w="100" w:type="dxa"/>
              <w:bottom w:w="100" w:type="dxa"/>
              <w:right w:w="100" w:type="dxa"/>
            </w:tcMar>
          </w:tcPr>
          <w:p w14:paraId="2649F47F" w14:textId="77777777" w:rsidR="00DA7E40" w:rsidRPr="00D800F0" w:rsidRDefault="00DA7E40" w:rsidP="0000614D">
            <w:pPr>
              <w:rPr>
                <w:rFonts w:ascii="Arial" w:hAnsi="Arial" w:cs="Arial"/>
              </w:rPr>
            </w:pPr>
          </w:p>
        </w:tc>
      </w:tr>
      <w:tr w:rsidR="00DA7E40" w:rsidRPr="00D800F0" w14:paraId="59B0D29B"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1A1B032"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2023</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12F1587E" w14:textId="77777777" w:rsidR="00DA7E40" w:rsidRPr="00D800F0" w:rsidRDefault="00DA7E40" w:rsidP="0000614D">
            <w:pPr>
              <w:rPr>
                <w:rFonts w:ascii="Arial" w:hAnsi="Arial" w:cs="Arial"/>
              </w:rPr>
            </w:pPr>
            <w:r w:rsidRPr="00D800F0">
              <w:rPr>
                <w:rFonts w:ascii="Arial" w:hAnsi="Arial" w:cs="Arial"/>
              </w:rPr>
              <w:t xml:space="preserve">Chemical engineering plant index in 2023. </w:t>
            </w:r>
          </w:p>
        </w:tc>
        <w:tc>
          <w:tcPr>
            <w:tcW w:w="2440" w:type="dxa"/>
            <w:tcBorders>
              <w:top w:val="nil"/>
              <w:left w:val="nil"/>
              <w:bottom w:val="nil"/>
              <w:right w:val="nil"/>
            </w:tcBorders>
            <w:shd w:val="clear" w:color="auto" w:fill="auto"/>
            <w:tcMar>
              <w:top w:w="100" w:type="dxa"/>
              <w:left w:w="100" w:type="dxa"/>
              <w:bottom w:w="100" w:type="dxa"/>
              <w:right w:w="100" w:type="dxa"/>
            </w:tcMar>
          </w:tcPr>
          <w:p w14:paraId="4FDC8395" w14:textId="77777777" w:rsidR="00DA7E40" w:rsidRPr="00D800F0" w:rsidRDefault="00DA7E40" w:rsidP="0000614D">
            <w:pPr>
              <w:rPr>
                <w:rFonts w:ascii="Arial" w:hAnsi="Arial" w:cs="Arial"/>
              </w:rPr>
            </w:pPr>
          </w:p>
        </w:tc>
      </w:tr>
      <w:tr w:rsidR="00DA7E40" w:rsidRPr="00D800F0" w14:paraId="0A40E246"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F8C583A" w14:textId="77777777" w:rsidR="00DA7E40" w:rsidRPr="00D800F0" w:rsidRDefault="00000000" w:rsidP="0000614D">
            <w:pPr>
              <w:jc w:val="center"/>
              <w:rPr>
                <w:rFonts w:ascii="Arial" w:eastAsia="Cambria Math" w:hAnsi="Arial" w:cs="Arial"/>
                <w:b/>
                <w:bCs/>
                <w:sz w:val="24"/>
                <w:szCs w:val="24"/>
              </w:rPr>
            </w:pPr>
            <m:oMathPara>
              <m:oMath>
                <m:sSub>
                  <m:sSubPr>
                    <m:ctrlPr>
                      <w:rPr>
                        <w:rFonts w:ascii="Cambria Math" w:eastAsia="Cambria Math" w:hAnsi="Cambria Math" w:cs="Arial"/>
                        <w:b/>
                        <w:bCs/>
                        <w:sz w:val="24"/>
                        <w:szCs w:val="24"/>
                      </w:rPr>
                    </m:ctrlPr>
                  </m:sSubPr>
                  <m:e>
                    <m:r>
                      <m:rPr>
                        <m:sty m:val="bi"/>
                      </m:rPr>
                      <w:rPr>
                        <w:rFonts w:ascii="Cambria Math" w:eastAsia="Cambria Math" w:hAnsi="Cambria Math" w:cs="Arial"/>
                        <w:sz w:val="24"/>
                        <w:szCs w:val="24"/>
                      </w:rPr>
                      <m:t>M</m:t>
                    </m:r>
                  </m:e>
                  <m:sub>
                    <m:r>
                      <m:rPr>
                        <m:sty m:val="bi"/>
                      </m:rPr>
                      <w:rPr>
                        <w:rFonts w:ascii="Cambria Math" w:eastAsia="Cambria Math" w:hAnsi="Cambria Math" w:cs="Arial"/>
                        <w:sz w:val="24"/>
                        <w:szCs w:val="24"/>
                      </w:rPr>
                      <m:t>NG</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762193B1" w14:textId="77777777" w:rsidR="00DA7E40" w:rsidRPr="00D800F0" w:rsidRDefault="00DA7E40" w:rsidP="0000614D">
            <w:pPr>
              <w:rPr>
                <w:rFonts w:ascii="Arial" w:hAnsi="Arial" w:cs="Arial"/>
              </w:rPr>
            </w:pPr>
            <w:r w:rsidRPr="00D800F0">
              <w:rPr>
                <w:rFonts w:ascii="Arial" w:hAnsi="Arial" w:cs="Arial"/>
              </w:rPr>
              <w:t>energy flowrate of natural gas</w:t>
            </w:r>
          </w:p>
        </w:tc>
        <w:tc>
          <w:tcPr>
            <w:tcW w:w="2440" w:type="dxa"/>
            <w:tcBorders>
              <w:top w:val="nil"/>
              <w:left w:val="nil"/>
              <w:bottom w:val="nil"/>
              <w:right w:val="nil"/>
            </w:tcBorders>
            <w:shd w:val="clear" w:color="auto" w:fill="auto"/>
            <w:tcMar>
              <w:top w:w="100" w:type="dxa"/>
              <w:left w:w="100" w:type="dxa"/>
              <w:bottom w:w="100" w:type="dxa"/>
              <w:right w:w="100" w:type="dxa"/>
            </w:tcMar>
          </w:tcPr>
          <w:p w14:paraId="012BD96D" w14:textId="77777777" w:rsidR="00DA7E40" w:rsidRPr="00D800F0" w:rsidRDefault="00DA7E40" w:rsidP="0000614D">
            <w:pPr>
              <w:widowControl w:val="0"/>
              <w:rPr>
                <w:rFonts w:ascii="Arial" w:hAnsi="Arial" w:cs="Arial"/>
              </w:rPr>
            </w:pPr>
            <w:r w:rsidRPr="00D800F0">
              <w:rPr>
                <w:rFonts w:ascii="Arial" w:hAnsi="Arial" w:cs="Arial"/>
              </w:rPr>
              <w:t>mmBTU/year</w:t>
            </w:r>
          </w:p>
        </w:tc>
      </w:tr>
      <w:tr w:rsidR="00DA7E40" w:rsidRPr="00D800F0" w14:paraId="3EEF2BF9"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76354955" w14:textId="77777777" w:rsidR="00DA7E40" w:rsidRPr="00D800F0" w:rsidRDefault="00000000" w:rsidP="0000614D">
            <w:pPr>
              <w:jc w:val="center"/>
              <w:rPr>
                <w:rFonts w:ascii="Arial" w:eastAsia="Cambria Math" w:hAnsi="Arial" w:cs="Arial"/>
                <w:b/>
                <w:bCs/>
                <w:sz w:val="24"/>
                <w:szCs w:val="24"/>
              </w:rPr>
            </w:pPr>
            <m:oMathPara>
              <m:oMath>
                <m:sSub>
                  <m:sSubPr>
                    <m:ctrlPr>
                      <w:rPr>
                        <w:rFonts w:ascii="Cambria Math" w:eastAsia="Cambria Math" w:hAnsi="Cambria Math" w:cs="Arial"/>
                        <w:b/>
                        <w:bCs/>
                        <w:sz w:val="24"/>
                        <w:szCs w:val="24"/>
                      </w:rPr>
                    </m:ctrlPr>
                  </m:sSubPr>
                  <m:e>
                    <m:r>
                      <m:rPr>
                        <m:sty m:val="bi"/>
                      </m:rPr>
                      <w:rPr>
                        <w:rFonts w:ascii="Cambria Math" w:eastAsia="Cambria Math" w:hAnsi="Cambria Math" w:cs="Arial"/>
                        <w:sz w:val="24"/>
                        <w:szCs w:val="24"/>
                      </w:rPr>
                      <m:t>M</m:t>
                    </m:r>
                  </m:e>
                  <m:sub>
                    <m:r>
                      <m:rPr>
                        <m:sty m:val="bi"/>
                      </m:rPr>
                      <w:rPr>
                        <w:rFonts w:ascii="Cambria Math" w:eastAsia="Cambria Math" w:hAnsi="Cambria Math" w:cs="Arial"/>
                        <w:sz w:val="24"/>
                        <w:szCs w:val="24"/>
                      </w:rPr>
                      <m:t>EL</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754B262B" w14:textId="77777777" w:rsidR="00DA7E40" w:rsidRPr="00D800F0" w:rsidRDefault="00DA7E40" w:rsidP="0000614D">
            <w:pPr>
              <w:rPr>
                <w:rFonts w:ascii="Arial" w:hAnsi="Arial" w:cs="Arial"/>
              </w:rPr>
            </w:pPr>
            <w:r w:rsidRPr="00D800F0">
              <w:rPr>
                <w:rFonts w:ascii="Arial" w:hAnsi="Arial" w:cs="Arial"/>
              </w:rPr>
              <w:t>electricity demand</w:t>
            </w:r>
          </w:p>
        </w:tc>
        <w:tc>
          <w:tcPr>
            <w:tcW w:w="2440" w:type="dxa"/>
            <w:tcBorders>
              <w:top w:val="nil"/>
              <w:left w:val="nil"/>
              <w:bottom w:val="nil"/>
              <w:right w:val="nil"/>
            </w:tcBorders>
            <w:shd w:val="clear" w:color="auto" w:fill="auto"/>
            <w:tcMar>
              <w:top w:w="100" w:type="dxa"/>
              <w:left w:w="100" w:type="dxa"/>
              <w:bottom w:w="100" w:type="dxa"/>
              <w:right w:w="100" w:type="dxa"/>
            </w:tcMar>
          </w:tcPr>
          <w:p w14:paraId="5F043196" w14:textId="77777777" w:rsidR="00DA7E40" w:rsidRPr="00D800F0" w:rsidRDefault="00DA7E40" w:rsidP="0000614D">
            <w:pPr>
              <w:widowControl w:val="0"/>
              <w:rPr>
                <w:rFonts w:ascii="Arial" w:hAnsi="Arial" w:cs="Arial"/>
              </w:rPr>
            </w:pPr>
            <w:r w:rsidRPr="00D800F0">
              <w:rPr>
                <w:rFonts w:ascii="Arial" w:hAnsi="Arial" w:cs="Arial"/>
              </w:rPr>
              <w:t>kWh/year</w:t>
            </w:r>
          </w:p>
        </w:tc>
      </w:tr>
      <w:tr w:rsidR="00DA7E40" w:rsidRPr="00D800F0" w14:paraId="32520E70"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7876B92F"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EL</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7DAB3615" w14:textId="77777777" w:rsidR="00DA7E40" w:rsidRPr="00D800F0" w:rsidRDefault="00DA7E40" w:rsidP="0000614D">
            <w:pPr>
              <w:rPr>
                <w:rFonts w:ascii="Arial" w:hAnsi="Arial" w:cs="Arial"/>
              </w:rPr>
            </w:pPr>
            <w:r w:rsidRPr="00D800F0">
              <w:rPr>
                <w:rFonts w:ascii="Arial" w:hAnsi="Arial" w:cs="Arial"/>
              </w:rPr>
              <w:t>electricity operating hour</w:t>
            </w:r>
          </w:p>
        </w:tc>
        <w:tc>
          <w:tcPr>
            <w:tcW w:w="2440" w:type="dxa"/>
            <w:tcBorders>
              <w:top w:val="nil"/>
              <w:left w:val="nil"/>
              <w:bottom w:val="nil"/>
              <w:right w:val="nil"/>
            </w:tcBorders>
            <w:shd w:val="clear" w:color="auto" w:fill="auto"/>
            <w:tcMar>
              <w:top w:w="100" w:type="dxa"/>
              <w:left w:w="100" w:type="dxa"/>
              <w:bottom w:w="100" w:type="dxa"/>
              <w:right w:w="100" w:type="dxa"/>
            </w:tcMar>
          </w:tcPr>
          <w:p w14:paraId="2C46C721" w14:textId="77777777" w:rsidR="00DA7E40" w:rsidRPr="00D800F0" w:rsidRDefault="00DA7E40" w:rsidP="0000614D">
            <w:pPr>
              <w:widowControl w:val="0"/>
              <w:rPr>
                <w:rFonts w:ascii="Arial" w:hAnsi="Arial" w:cs="Arial"/>
              </w:rPr>
            </w:pPr>
            <w:r w:rsidRPr="00D800F0">
              <w:rPr>
                <w:rFonts w:ascii="Arial" w:hAnsi="Arial" w:cs="Arial"/>
              </w:rPr>
              <w:t>hour</w:t>
            </w:r>
          </w:p>
        </w:tc>
      </w:tr>
      <w:tr w:rsidR="00DA7E40" w:rsidRPr="00D800F0" w14:paraId="7AAA0472"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100A32D"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update</m:t>
                    </m:r>
                    <m:sSub>
                      <m:sSubPr>
                        <m:ctrlPr>
                          <w:rPr>
                            <w:rFonts w:ascii="Cambria Math" w:eastAsia="Cambria Math" w:hAnsi="Cambria Math" w:cs="Arial"/>
                            <w:b/>
                            <w:i/>
                          </w:rPr>
                        </m:ctrlPr>
                      </m:sSubPr>
                      <m:e>
                        <m:r>
                          <m:rPr>
                            <m:sty m:val="bi"/>
                          </m:rPr>
                          <w:rPr>
                            <w:rFonts w:ascii="Cambria Math" w:eastAsia="Cambria Math" w:hAnsi="Cambria Math" w:cs="Arial"/>
                          </w:rPr>
                          <m:t>d</m:t>
                        </m:r>
                      </m:e>
                      <m:sub>
                        <m:r>
                          <m:rPr>
                            <m:sty m:val="bi"/>
                          </m:rPr>
                          <w:rPr>
                            <w:rFonts w:ascii="Cambria Math" w:eastAsia="Cambria Math" w:hAnsi="Cambria Math" w:cs="Arial"/>
                          </w:rPr>
                          <m:t>j</m:t>
                        </m:r>
                      </m:sub>
                    </m:sSub>
                  </m:sub>
                </m:sSub>
              </m:oMath>
            </m:oMathPara>
          </w:p>
        </w:tc>
        <w:tc>
          <w:tcPr>
            <w:tcW w:w="3800" w:type="dxa"/>
            <w:tcBorders>
              <w:top w:val="nil"/>
              <w:left w:val="nil"/>
              <w:bottom w:val="nil"/>
              <w:right w:val="nil"/>
            </w:tcBorders>
          </w:tcPr>
          <w:p w14:paraId="6080A992" w14:textId="77777777" w:rsidR="00DA7E40" w:rsidRPr="00D800F0" w:rsidRDefault="00DA7E40" w:rsidP="0000614D">
            <w:pPr>
              <w:rPr>
                <w:rFonts w:ascii="Arial" w:hAnsi="Arial" w:cs="Arial"/>
              </w:rPr>
            </w:pPr>
            <w:r w:rsidRPr="00D800F0">
              <w:rPr>
                <w:rFonts w:ascii="Arial" w:hAnsi="Arial" w:cs="Arial"/>
              </w:rPr>
              <w:t>updated CAPEX after adding the additional cost</w:t>
            </w:r>
          </w:p>
        </w:tc>
        <w:tc>
          <w:tcPr>
            <w:tcW w:w="2440" w:type="dxa"/>
            <w:tcBorders>
              <w:top w:val="nil"/>
              <w:left w:val="nil"/>
              <w:bottom w:val="nil"/>
              <w:right w:val="nil"/>
            </w:tcBorders>
            <w:shd w:val="clear" w:color="auto" w:fill="auto"/>
            <w:tcMar>
              <w:top w:w="100" w:type="dxa"/>
              <w:left w:w="100" w:type="dxa"/>
              <w:bottom w:w="100" w:type="dxa"/>
              <w:right w:w="100" w:type="dxa"/>
            </w:tcMar>
          </w:tcPr>
          <w:p w14:paraId="42F63708"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268A4A2E"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77981BF" w14:textId="77777777" w:rsidR="00DA7E40" w:rsidRPr="00D800F0" w:rsidRDefault="00DA7E40" w:rsidP="0000614D">
            <w:pPr>
              <w:jc w:val="center"/>
              <w:rPr>
                <w:rFonts w:ascii="Arial" w:hAnsi="Arial" w:cs="Arial"/>
                <w:b/>
              </w:rPr>
            </w:pPr>
            <m:oMathPara>
              <m:oMath>
                <m:r>
                  <m:rPr>
                    <m:sty m:val="bi"/>
                  </m:rPr>
                  <w:rPr>
                    <w:rFonts w:ascii="Cambria Math" w:hAnsi="Cambria Math" w:cs="Arial"/>
                  </w:rPr>
                  <m:t>FC</m:t>
                </m:r>
                <m:sSub>
                  <m:sSubPr>
                    <m:ctrlPr>
                      <w:rPr>
                        <w:rFonts w:ascii="Cambria Math" w:hAnsi="Cambria Math" w:cs="Arial"/>
                        <w:b/>
                        <w:i/>
                      </w:rPr>
                    </m:ctrlPr>
                  </m:sSubPr>
                  <m:e>
                    <m:r>
                      <m:rPr>
                        <m:sty m:val="bi"/>
                      </m:rPr>
                      <w:rPr>
                        <w:rFonts w:ascii="Cambria Math" w:hAnsi="Cambria Math" w:cs="Arial"/>
                      </w:rPr>
                      <m:t>I</m:t>
                    </m:r>
                  </m:e>
                  <m:sub>
                    <m:r>
                      <m:rPr>
                        <m:sty m:val="bi"/>
                      </m:rPr>
                      <w:rPr>
                        <w:rFonts w:ascii="Cambria Math" w:hAnsi="Cambria Math" w:cs="Arial"/>
                      </w:rPr>
                      <m:t>J</m:t>
                    </m:r>
                  </m:sub>
                </m:sSub>
              </m:oMath>
            </m:oMathPara>
          </w:p>
        </w:tc>
        <w:tc>
          <w:tcPr>
            <w:tcW w:w="3800" w:type="dxa"/>
            <w:tcBorders>
              <w:top w:val="nil"/>
              <w:left w:val="nil"/>
              <w:bottom w:val="nil"/>
              <w:right w:val="nil"/>
            </w:tcBorders>
          </w:tcPr>
          <w:p w14:paraId="3B7371CD" w14:textId="77777777" w:rsidR="00DA7E40" w:rsidRPr="00D800F0" w:rsidRDefault="00DA7E40" w:rsidP="0000614D">
            <w:pPr>
              <w:rPr>
                <w:rFonts w:ascii="Arial" w:hAnsi="Arial" w:cs="Arial"/>
              </w:rPr>
            </w:pPr>
            <w:r w:rsidRPr="00D800F0">
              <w:rPr>
                <w:rFonts w:ascii="Arial" w:hAnsi="Arial" w:cs="Arial"/>
              </w:rPr>
              <w:t xml:space="preserve">Fixed capital investment of technology </w:t>
            </w:r>
            <m:oMath>
              <m:r>
                <m:rPr>
                  <m:sty m:val="bi"/>
                </m:rPr>
                <w:rPr>
                  <w:rFonts w:ascii="Cambria Math" w:hAnsi="Cambria Math" w:cs="Arial"/>
                </w:rPr>
                <m:t>j</m:t>
              </m:r>
            </m:oMath>
          </w:p>
        </w:tc>
        <w:tc>
          <w:tcPr>
            <w:tcW w:w="2440" w:type="dxa"/>
            <w:tcBorders>
              <w:top w:val="nil"/>
              <w:left w:val="nil"/>
              <w:bottom w:val="nil"/>
              <w:right w:val="nil"/>
            </w:tcBorders>
            <w:shd w:val="clear" w:color="auto" w:fill="auto"/>
            <w:tcMar>
              <w:top w:w="100" w:type="dxa"/>
              <w:left w:w="100" w:type="dxa"/>
              <w:bottom w:w="100" w:type="dxa"/>
              <w:right w:w="100" w:type="dxa"/>
            </w:tcMar>
          </w:tcPr>
          <w:p w14:paraId="56E19126" w14:textId="77777777" w:rsidR="00DA7E40" w:rsidRPr="00D800F0" w:rsidRDefault="00DA7E40" w:rsidP="0000614D">
            <w:pPr>
              <w:widowControl w:val="0"/>
              <w:rPr>
                <w:rFonts w:ascii="Arial" w:hAnsi="Arial" w:cs="Arial"/>
              </w:rPr>
            </w:pPr>
          </w:p>
        </w:tc>
      </w:tr>
      <w:tr w:rsidR="00DA7E40" w:rsidRPr="00D800F0" w14:paraId="221BCCE7"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224C855A"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6CA4A1D6" w14:textId="77777777" w:rsidR="00DA7E40" w:rsidRPr="00D800F0" w:rsidRDefault="00DA7E40" w:rsidP="0000614D">
            <w:pPr>
              <w:rPr>
                <w:rFonts w:ascii="Arial" w:hAnsi="Arial" w:cs="Arial"/>
              </w:rPr>
            </w:pPr>
            <w:r w:rsidRPr="00D800F0">
              <w:rPr>
                <w:rFonts w:ascii="Arial" w:hAnsi="Arial" w:cs="Arial"/>
              </w:rPr>
              <w:t xml:space="preserve">Uninstalled cost for technology </w:t>
            </w:r>
            <m:oMath>
              <m:r>
                <m:rPr>
                  <m:sty m:val="bi"/>
                </m:rPr>
                <w:rPr>
                  <w:rFonts w:ascii="Cambria Math" w:eastAsia="Cambria Math" w:hAnsi="Cambria Math" w:cs="Arial"/>
                </w:rPr>
                <m:t>j</m:t>
              </m:r>
            </m:oMath>
          </w:p>
        </w:tc>
        <w:tc>
          <w:tcPr>
            <w:tcW w:w="2440" w:type="dxa"/>
            <w:tcBorders>
              <w:top w:val="nil"/>
              <w:left w:val="nil"/>
              <w:bottom w:val="nil"/>
              <w:right w:val="nil"/>
            </w:tcBorders>
            <w:shd w:val="clear" w:color="auto" w:fill="auto"/>
            <w:tcMar>
              <w:top w:w="100" w:type="dxa"/>
              <w:left w:w="100" w:type="dxa"/>
              <w:bottom w:w="100" w:type="dxa"/>
              <w:right w:w="100" w:type="dxa"/>
            </w:tcMar>
          </w:tcPr>
          <w:p w14:paraId="02E18E46"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07BD5410"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F90799D"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w:lastRenderedPageBreak/>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04962F4A" w14:textId="77777777" w:rsidR="00DA7E40" w:rsidRPr="00D800F0" w:rsidRDefault="00DA7E40" w:rsidP="0000614D">
            <w:pPr>
              <w:rPr>
                <w:rFonts w:ascii="Arial" w:hAnsi="Arial" w:cs="Arial"/>
              </w:rPr>
            </w:pPr>
            <w:r w:rsidRPr="00D800F0">
              <w:rPr>
                <w:rFonts w:ascii="Arial" w:hAnsi="Arial" w:cs="Arial"/>
              </w:rPr>
              <w:t xml:space="preserve">Installed cost for technology </w:t>
            </w:r>
            <m:oMath>
              <m:r>
                <m:rPr>
                  <m:sty m:val="bi"/>
                </m:rPr>
                <w:rPr>
                  <w:rFonts w:ascii="Cambria Math" w:eastAsia="Cambria Math" w:hAnsi="Cambria Math" w:cs="Arial"/>
                </w:rPr>
                <m:t>j</m:t>
              </m:r>
            </m:oMath>
          </w:p>
        </w:tc>
        <w:tc>
          <w:tcPr>
            <w:tcW w:w="2440" w:type="dxa"/>
            <w:tcBorders>
              <w:top w:val="nil"/>
              <w:left w:val="nil"/>
              <w:bottom w:val="nil"/>
              <w:right w:val="nil"/>
            </w:tcBorders>
            <w:shd w:val="clear" w:color="auto" w:fill="auto"/>
            <w:tcMar>
              <w:top w:w="100" w:type="dxa"/>
              <w:left w:w="100" w:type="dxa"/>
              <w:bottom w:w="100" w:type="dxa"/>
              <w:right w:w="100" w:type="dxa"/>
            </w:tcMar>
          </w:tcPr>
          <w:p w14:paraId="10A0E6A7"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46E8DB93"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054E908E"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W</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320C478B" w14:textId="77777777" w:rsidR="00DA7E40" w:rsidRPr="00D800F0" w:rsidRDefault="00DA7E40" w:rsidP="0000614D">
            <w:pPr>
              <w:spacing w:line="276" w:lineRule="auto"/>
              <w:rPr>
                <w:rFonts w:ascii="Arial" w:hAnsi="Arial" w:cs="Arial"/>
              </w:rPr>
            </w:pPr>
            <w:r w:rsidRPr="00D800F0">
              <w:rPr>
                <w:rFonts w:ascii="Arial" w:hAnsi="Arial" w:cs="Arial"/>
              </w:rPr>
              <w:t xml:space="preserve">Working Capital for technology </w:t>
            </w:r>
            <m:oMath>
              <m:r>
                <m:rPr>
                  <m:sty m:val="bi"/>
                </m:rPr>
                <w:rPr>
                  <w:rFonts w:ascii="Cambria Math" w:eastAsia="Cambria Math" w:hAnsi="Cambria Math" w:cs="Arial"/>
                </w:rPr>
                <m:t>j</m:t>
              </m:r>
            </m:oMath>
          </w:p>
        </w:tc>
        <w:tc>
          <w:tcPr>
            <w:tcW w:w="2440" w:type="dxa"/>
            <w:tcBorders>
              <w:top w:val="nil"/>
              <w:left w:val="nil"/>
              <w:bottom w:val="nil"/>
              <w:right w:val="nil"/>
            </w:tcBorders>
            <w:shd w:val="clear" w:color="auto" w:fill="auto"/>
            <w:tcMar>
              <w:top w:w="100" w:type="dxa"/>
              <w:left w:w="100" w:type="dxa"/>
              <w:bottom w:w="100" w:type="dxa"/>
              <w:right w:w="100" w:type="dxa"/>
            </w:tcMar>
          </w:tcPr>
          <w:p w14:paraId="1C215C91"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3284158D"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E3C7961"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I&amp;C</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21097C6B" w14:textId="77777777" w:rsidR="00DA7E40" w:rsidRPr="00D800F0" w:rsidRDefault="00DA7E40" w:rsidP="0000614D">
            <w:pPr>
              <w:spacing w:line="276" w:lineRule="auto"/>
              <w:rPr>
                <w:rFonts w:ascii="Arial" w:hAnsi="Arial" w:cs="Arial"/>
              </w:rPr>
            </w:pPr>
            <w:r w:rsidRPr="00D800F0">
              <w:rPr>
                <w:rFonts w:ascii="Arial" w:hAnsi="Arial" w:cs="Arial"/>
              </w:rPr>
              <w:t>Cost factor for instrumentation and controls</w:t>
            </w:r>
          </w:p>
        </w:tc>
        <w:tc>
          <w:tcPr>
            <w:tcW w:w="2440" w:type="dxa"/>
            <w:tcBorders>
              <w:top w:val="nil"/>
              <w:left w:val="nil"/>
              <w:bottom w:val="nil"/>
              <w:right w:val="nil"/>
            </w:tcBorders>
            <w:shd w:val="clear" w:color="auto" w:fill="auto"/>
            <w:tcMar>
              <w:top w:w="100" w:type="dxa"/>
              <w:left w:w="100" w:type="dxa"/>
              <w:bottom w:w="100" w:type="dxa"/>
              <w:right w:w="100" w:type="dxa"/>
            </w:tcMar>
          </w:tcPr>
          <w:p w14:paraId="03F6EA38"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p>
        </w:tc>
      </w:tr>
      <w:tr w:rsidR="00DA7E40" w:rsidRPr="00D800F0" w14:paraId="5E00ED1C"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03B8656"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p</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569D48FD" w14:textId="77777777" w:rsidR="00DA7E40" w:rsidRPr="00D800F0" w:rsidRDefault="00DA7E40" w:rsidP="0000614D">
            <w:pPr>
              <w:spacing w:line="276" w:lineRule="auto"/>
              <w:rPr>
                <w:rFonts w:ascii="Arial" w:hAnsi="Arial" w:cs="Arial"/>
              </w:rPr>
            </w:pPr>
            <w:r w:rsidRPr="00D800F0">
              <w:rPr>
                <w:rFonts w:ascii="Arial" w:hAnsi="Arial" w:cs="Arial"/>
              </w:rPr>
              <w:t>Cost factor for piping</w:t>
            </w:r>
          </w:p>
        </w:tc>
        <w:tc>
          <w:tcPr>
            <w:tcW w:w="2440" w:type="dxa"/>
            <w:tcBorders>
              <w:top w:val="nil"/>
              <w:left w:val="nil"/>
              <w:bottom w:val="nil"/>
              <w:right w:val="nil"/>
            </w:tcBorders>
            <w:shd w:val="clear" w:color="auto" w:fill="auto"/>
            <w:tcMar>
              <w:top w:w="100" w:type="dxa"/>
              <w:left w:w="100" w:type="dxa"/>
              <w:bottom w:w="100" w:type="dxa"/>
              <w:right w:w="100" w:type="dxa"/>
            </w:tcMar>
          </w:tcPr>
          <w:p w14:paraId="6B05F124"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p>
        </w:tc>
      </w:tr>
      <w:tr w:rsidR="00DA7E40" w:rsidRPr="00D800F0" w14:paraId="2AD3A76D"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4952EE6"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el</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4A3524B1" w14:textId="77777777" w:rsidR="00DA7E40" w:rsidRPr="00D800F0" w:rsidRDefault="00DA7E40" w:rsidP="0000614D">
            <w:pPr>
              <w:spacing w:line="276" w:lineRule="auto"/>
              <w:rPr>
                <w:rFonts w:ascii="Arial" w:hAnsi="Arial" w:cs="Arial"/>
              </w:rPr>
            </w:pPr>
            <w:r w:rsidRPr="00D800F0">
              <w:rPr>
                <w:rFonts w:ascii="Arial" w:hAnsi="Arial" w:cs="Arial"/>
              </w:rPr>
              <w:t>Cost factor for electrical</w:t>
            </w:r>
          </w:p>
        </w:tc>
        <w:tc>
          <w:tcPr>
            <w:tcW w:w="2440" w:type="dxa"/>
            <w:tcBorders>
              <w:top w:val="nil"/>
              <w:left w:val="nil"/>
              <w:bottom w:val="nil"/>
              <w:right w:val="nil"/>
            </w:tcBorders>
            <w:shd w:val="clear" w:color="auto" w:fill="auto"/>
            <w:tcMar>
              <w:top w:w="100" w:type="dxa"/>
              <w:left w:w="100" w:type="dxa"/>
              <w:bottom w:w="100" w:type="dxa"/>
              <w:right w:w="100" w:type="dxa"/>
            </w:tcMar>
          </w:tcPr>
          <w:p w14:paraId="73CD6CCB"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p>
        </w:tc>
      </w:tr>
      <w:tr w:rsidR="00DA7E40" w:rsidRPr="00D800F0" w14:paraId="512D4D80"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4CAC7DC"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b</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4261EC6F" w14:textId="77777777" w:rsidR="00DA7E40" w:rsidRPr="00D800F0" w:rsidRDefault="00DA7E40" w:rsidP="0000614D">
            <w:pPr>
              <w:spacing w:line="276" w:lineRule="auto"/>
              <w:rPr>
                <w:rFonts w:ascii="Arial" w:hAnsi="Arial" w:cs="Arial"/>
              </w:rPr>
            </w:pPr>
            <w:r w:rsidRPr="00D800F0">
              <w:rPr>
                <w:rFonts w:ascii="Arial" w:hAnsi="Arial" w:cs="Arial"/>
              </w:rPr>
              <w:t>Cost factor for buildings</w:t>
            </w:r>
          </w:p>
        </w:tc>
        <w:tc>
          <w:tcPr>
            <w:tcW w:w="2440" w:type="dxa"/>
            <w:tcBorders>
              <w:top w:val="nil"/>
              <w:left w:val="nil"/>
              <w:bottom w:val="nil"/>
              <w:right w:val="nil"/>
            </w:tcBorders>
            <w:shd w:val="clear" w:color="auto" w:fill="auto"/>
            <w:tcMar>
              <w:top w:w="100" w:type="dxa"/>
              <w:left w:w="100" w:type="dxa"/>
              <w:bottom w:w="100" w:type="dxa"/>
              <w:right w:w="100" w:type="dxa"/>
            </w:tcMar>
          </w:tcPr>
          <w:p w14:paraId="41B829ED"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p>
        </w:tc>
      </w:tr>
      <w:tr w:rsidR="00DA7E40" w:rsidRPr="00D800F0" w14:paraId="18CD23AB"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520310A0"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sf&amp;yi</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5AA19DE5" w14:textId="77777777" w:rsidR="00DA7E40" w:rsidRPr="00D800F0" w:rsidRDefault="00DA7E40" w:rsidP="0000614D">
            <w:pPr>
              <w:spacing w:line="276" w:lineRule="auto"/>
              <w:rPr>
                <w:rFonts w:ascii="Arial" w:hAnsi="Arial" w:cs="Arial"/>
              </w:rPr>
            </w:pPr>
            <w:r w:rsidRPr="00D800F0">
              <w:rPr>
                <w:rFonts w:ascii="Arial" w:hAnsi="Arial" w:cs="Arial"/>
              </w:rPr>
              <w:t>Cost factor for service facilities and yard improvements</w:t>
            </w:r>
          </w:p>
        </w:tc>
        <w:tc>
          <w:tcPr>
            <w:tcW w:w="2440" w:type="dxa"/>
            <w:tcBorders>
              <w:top w:val="nil"/>
              <w:left w:val="nil"/>
              <w:bottom w:val="nil"/>
              <w:right w:val="nil"/>
            </w:tcBorders>
            <w:shd w:val="clear" w:color="auto" w:fill="auto"/>
            <w:tcMar>
              <w:top w:w="100" w:type="dxa"/>
              <w:left w:w="100" w:type="dxa"/>
              <w:bottom w:w="100" w:type="dxa"/>
              <w:right w:w="100" w:type="dxa"/>
            </w:tcMar>
          </w:tcPr>
          <w:p w14:paraId="053336E2"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p>
        </w:tc>
      </w:tr>
      <w:tr w:rsidR="00DA7E40" w:rsidRPr="00D800F0" w14:paraId="6C96EEDA"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0DE0701"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land</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30BF6776" w14:textId="77777777" w:rsidR="00DA7E40" w:rsidRPr="00D800F0" w:rsidRDefault="00DA7E40" w:rsidP="0000614D">
            <w:pPr>
              <w:spacing w:line="276" w:lineRule="auto"/>
              <w:rPr>
                <w:rFonts w:ascii="Arial" w:hAnsi="Arial" w:cs="Arial"/>
              </w:rPr>
            </w:pPr>
            <w:r w:rsidRPr="00D800F0">
              <w:rPr>
                <w:rFonts w:ascii="Arial" w:hAnsi="Arial" w:cs="Arial"/>
              </w:rPr>
              <w:t>Cost factor for land</w:t>
            </w:r>
          </w:p>
        </w:tc>
        <w:tc>
          <w:tcPr>
            <w:tcW w:w="2440" w:type="dxa"/>
            <w:tcBorders>
              <w:top w:val="nil"/>
              <w:left w:val="nil"/>
              <w:bottom w:val="nil"/>
              <w:right w:val="nil"/>
            </w:tcBorders>
            <w:shd w:val="clear" w:color="auto" w:fill="auto"/>
            <w:tcMar>
              <w:top w:w="100" w:type="dxa"/>
              <w:left w:w="100" w:type="dxa"/>
              <w:bottom w:w="100" w:type="dxa"/>
              <w:right w:w="100" w:type="dxa"/>
            </w:tcMar>
          </w:tcPr>
          <w:p w14:paraId="39F0F940"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p>
        </w:tc>
      </w:tr>
      <w:tr w:rsidR="00DA7E40" w:rsidRPr="00D800F0" w14:paraId="6A452068"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755622E5" w14:textId="77777777" w:rsidR="00DA7E40" w:rsidRPr="00D800F0" w:rsidRDefault="00DA7E40" w:rsidP="0000614D">
            <w:pPr>
              <w:jc w:val="center"/>
              <w:rPr>
                <w:rFonts w:ascii="Arial" w:hAnsi="Arial" w:cs="Arial"/>
                <w:b/>
                <w:bCs/>
              </w:rPr>
            </w:pPr>
            <m:oMathPara>
              <m:oMath>
                <m:r>
                  <m:rPr>
                    <m:sty m:val="bi"/>
                  </m:rPr>
                  <w:rPr>
                    <w:rFonts w:ascii="Cambria Math" w:eastAsia="Cambria Math" w:hAnsi="Cambria Math" w:cs="Arial"/>
                  </w:rPr>
                  <m:t xml:space="preserve"> </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eng</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04859538" w14:textId="77777777" w:rsidR="00DA7E40" w:rsidRPr="00D800F0" w:rsidRDefault="00DA7E40" w:rsidP="0000614D">
            <w:pPr>
              <w:spacing w:line="276" w:lineRule="auto"/>
              <w:rPr>
                <w:rFonts w:ascii="Arial" w:hAnsi="Arial" w:cs="Arial"/>
              </w:rPr>
            </w:pPr>
            <w:r w:rsidRPr="00D800F0">
              <w:rPr>
                <w:rFonts w:ascii="Arial" w:hAnsi="Arial" w:cs="Arial"/>
              </w:rPr>
              <w:t>Cost factor for engineering</w:t>
            </w:r>
          </w:p>
        </w:tc>
        <w:tc>
          <w:tcPr>
            <w:tcW w:w="2440" w:type="dxa"/>
            <w:tcBorders>
              <w:top w:val="nil"/>
              <w:left w:val="nil"/>
              <w:bottom w:val="nil"/>
              <w:right w:val="nil"/>
            </w:tcBorders>
            <w:shd w:val="clear" w:color="auto" w:fill="auto"/>
            <w:tcMar>
              <w:top w:w="100" w:type="dxa"/>
              <w:left w:w="100" w:type="dxa"/>
              <w:bottom w:w="100" w:type="dxa"/>
              <w:right w:w="100" w:type="dxa"/>
            </w:tcMar>
          </w:tcPr>
          <w:p w14:paraId="13BA39B9"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p>
        </w:tc>
      </w:tr>
      <w:tr w:rsidR="00DA7E40" w:rsidRPr="00D800F0" w14:paraId="3803EA4C"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78F92A71"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L</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09DE2A23" w14:textId="77777777" w:rsidR="00DA7E40" w:rsidRPr="00D800F0" w:rsidRDefault="00DA7E40" w:rsidP="0000614D">
            <w:pPr>
              <w:spacing w:line="276" w:lineRule="auto"/>
              <w:rPr>
                <w:rFonts w:ascii="Arial" w:hAnsi="Arial" w:cs="Arial"/>
              </w:rPr>
            </w:pPr>
            <w:r w:rsidRPr="00D800F0">
              <w:rPr>
                <w:rFonts w:ascii="Arial" w:hAnsi="Arial" w:cs="Arial"/>
              </w:rPr>
              <w:t>Cost factor for legal</w:t>
            </w:r>
          </w:p>
        </w:tc>
        <w:tc>
          <w:tcPr>
            <w:tcW w:w="2440" w:type="dxa"/>
            <w:tcBorders>
              <w:top w:val="nil"/>
              <w:left w:val="nil"/>
              <w:bottom w:val="nil"/>
              <w:right w:val="nil"/>
            </w:tcBorders>
            <w:shd w:val="clear" w:color="auto" w:fill="auto"/>
            <w:tcMar>
              <w:top w:w="100" w:type="dxa"/>
              <w:left w:w="100" w:type="dxa"/>
              <w:bottom w:w="100" w:type="dxa"/>
              <w:right w:w="100" w:type="dxa"/>
            </w:tcMar>
          </w:tcPr>
          <w:p w14:paraId="2B034893"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609C58FE"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0940369C"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c</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7F7BBFB5" w14:textId="77777777" w:rsidR="00DA7E40" w:rsidRPr="00D800F0" w:rsidRDefault="00DA7E40" w:rsidP="0000614D">
            <w:pPr>
              <w:spacing w:line="276" w:lineRule="auto"/>
              <w:rPr>
                <w:rFonts w:ascii="Arial" w:hAnsi="Arial" w:cs="Arial"/>
              </w:rPr>
            </w:pPr>
            <w:r w:rsidRPr="00D800F0">
              <w:rPr>
                <w:rFonts w:ascii="Arial" w:hAnsi="Arial" w:cs="Arial"/>
              </w:rPr>
              <w:t>Cost factor for construction</w:t>
            </w:r>
          </w:p>
        </w:tc>
        <w:tc>
          <w:tcPr>
            <w:tcW w:w="2440" w:type="dxa"/>
            <w:tcBorders>
              <w:top w:val="nil"/>
              <w:left w:val="nil"/>
              <w:bottom w:val="nil"/>
              <w:right w:val="nil"/>
            </w:tcBorders>
            <w:shd w:val="clear" w:color="auto" w:fill="auto"/>
            <w:tcMar>
              <w:top w:w="100" w:type="dxa"/>
              <w:left w:w="100" w:type="dxa"/>
              <w:bottom w:w="100" w:type="dxa"/>
              <w:right w:w="100" w:type="dxa"/>
            </w:tcMar>
          </w:tcPr>
          <w:p w14:paraId="49767611"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p>
        </w:tc>
      </w:tr>
      <w:tr w:rsidR="00DA7E40" w:rsidRPr="00D800F0" w14:paraId="01B10149"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90EFAE9"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co</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7EBCB966" w14:textId="77777777" w:rsidR="00DA7E40" w:rsidRPr="00D800F0" w:rsidRDefault="00DA7E40" w:rsidP="0000614D">
            <w:pPr>
              <w:spacing w:line="276" w:lineRule="auto"/>
              <w:rPr>
                <w:rFonts w:ascii="Arial" w:hAnsi="Arial" w:cs="Arial"/>
              </w:rPr>
            </w:pPr>
            <w:r w:rsidRPr="00D800F0">
              <w:rPr>
                <w:rFonts w:ascii="Arial" w:hAnsi="Arial" w:cs="Arial"/>
              </w:rPr>
              <w:t>Cost factor for contingency</w:t>
            </w:r>
          </w:p>
        </w:tc>
        <w:tc>
          <w:tcPr>
            <w:tcW w:w="2440" w:type="dxa"/>
            <w:tcBorders>
              <w:top w:val="nil"/>
              <w:left w:val="nil"/>
              <w:bottom w:val="nil"/>
              <w:right w:val="nil"/>
            </w:tcBorders>
            <w:shd w:val="clear" w:color="auto" w:fill="auto"/>
            <w:tcMar>
              <w:top w:w="100" w:type="dxa"/>
              <w:left w:w="100" w:type="dxa"/>
              <w:bottom w:w="100" w:type="dxa"/>
              <w:right w:w="100" w:type="dxa"/>
            </w:tcMar>
          </w:tcPr>
          <w:p w14:paraId="29216874"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p>
        </w:tc>
      </w:tr>
      <w:tr w:rsidR="00DA7E40" w:rsidRPr="00D800F0" w14:paraId="5426BAA1"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7E8B0A82"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WC</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371F17E3" w14:textId="77777777" w:rsidR="00DA7E40" w:rsidRPr="00D800F0" w:rsidRDefault="00DA7E40" w:rsidP="0000614D">
            <w:pPr>
              <w:spacing w:line="276" w:lineRule="auto"/>
              <w:rPr>
                <w:rFonts w:ascii="Arial" w:hAnsi="Arial" w:cs="Arial"/>
              </w:rPr>
            </w:pPr>
            <w:r w:rsidRPr="00D800F0">
              <w:rPr>
                <w:rFonts w:ascii="Arial" w:hAnsi="Arial" w:cs="Arial"/>
              </w:rPr>
              <w:t>Cost factor for Working capital</w:t>
            </w:r>
          </w:p>
        </w:tc>
        <w:tc>
          <w:tcPr>
            <w:tcW w:w="2440" w:type="dxa"/>
            <w:tcBorders>
              <w:top w:val="nil"/>
              <w:left w:val="nil"/>
              <w:bottom w:val="nil"/>
              <w:right w:val="nil"/>
            </w:tcBorders>
            <w:shd w:val="clear" w:color="auto" w:fill="auto"/>
            <w:tcMar>
              <w:top w:w="100" w:type="dxa"/>
              <w:left w:w="100" w:type="dxa"/>
              <w:bottom w:w="100" w:type="dxa"/>
              <w:right w:w="100" w:type="dxa"/>
            </w:tcMar>
          </w:tcPr>
          <w:p w14:paraId="3EE43735"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FCI</m:t>
              </m:r>
            </m:oMath>
          </w:p>
        </w:tc>
      </w:tr>
      <w:tr w:rsidR="00DA7E40" w:rsidRPr="00D800F0" w14:paraId="068EF8D7" w14:textId="77777777" w:rsidTr="0000614D">
        <w:trPr>
          <w:cantSplit/>
        </w:trPr>
        <w:tc>
          <w:tcPr>
            <w:tcW w:w="3120" w:type="dxa"/>
            <w:tcBorders>
              <w:top w:val="nil"/>
              <w:left w:val="nil"/>
              <w:bottom w:val="single" w:sz="4" w:space="0" w:color="auto"/>
              <w:right w:val="nil"/>
            </w:tcBorders>
            <w:shd w:val="clear" w:color="auto" w:fill="auto"/>
            <w:tcMar>
              <w:top w:w="100" w:type="dxa"/>
              <w:left w:w="100" w:type="dxa"/>
              <w:bottom w:w="100" w:type="dxa"/>
              <w:right w:w="100" w:type="dxa"/>
            </w:tcMar>
          </w:tcPr>
          <w:p w14:paraId="6CD28C2D" w14:textId="77777777" w:rsidR="00DA7E40" w:rsidRPr="00D800F0" w:rsidRDefault="00000000" w:rsidP="0000614D">
            <w:pPr>
              <w:jc w:val="center"/>
              <w:rPr>
                <w:rFonts w:ascii="Arial" w:hAnsi="Arial" w:cs="Arial"/>
                <w:b/>
                <w:bCs/>
              </w:rPr>
            </w:pPr>
            <m:oMathPara>
              <m:oMath>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AEC</m:t>
                    </m:r>
                  </m:sub>
                </m:sSub>
              </m:oMath>
            </m:oMathPara>
          </w:p>
        </w:tc>
        <w:tc>
          <w:tcPr>
            <w:tcW w:w="3800" w:type="dxa"/>
            <w:tcBorders>
              <w:top w:val="nil"/>
              <w:left w:val="nil"/>
              <w:bottom w:val="single" w:sz="4" w:space="0" w:color="auto"/>
              <w:right w:val="nil"/>
            </w:tcBorders>
            <w:shd w:val="clear" w:color="auto" w:fill="auto"/>
            <w:tcMar>
              <w:top w:w="100" w:type="dxa"/>
              <w:left w:w="100" w:type="dxa"/>
              <w:bottom w:w="100" w:type="dxa"/>
              <w:right w:w="100" w:type="dxa"/>
            </w:tcMar>
          </w:tcPr>
          <w:p w14:paraId="64588472" w14:textId="77777777" w:rsidR="00DA7E40" w:rsidRPr="00D800F0" w:rsidRDefault="00DA7E40" w:rsidP="0000614D">
            <w:pPr>
              <w:spacing w:line="276" w:lineRule="auto"/>
              <w:rPr>
                <w:rFonts w:ascii="Arial" w:hAnsi="Arial" w:cs="Arial"/>
              </w:rPr>
            </w:pPr>
            <w:r w:rsidRPr="00D800F0">
              <w:rPr>
                <w:rFonts w:ascii="Arial" w:hAnsi="Arial" w:cs="Arial"/>
              </w:rPr>
              <w:t>Cost of AEC electrolyzer</w:t>
            </w:r>
          </w:p>
        </w:tc>
        <w:tc>
          <w:tcPr>
            <w:tcW w:w="2440" w:type="dxa"/>
            <w:tcBorders>
              <w:top w:val="nil"/>
              <w:left w:val="nil"/>
              <w:bottom w:val="single" w:sz="4" w:space="0" w:color="auto"/>
              <w:right w:val="nil"/>
            </w:tcBorders>
            <w:shd w:val="clear" w:color="auto" w:fill="auto"/>
            <w:tcMar>
              <w:top w:w="100" w:type="dxa"/>
              <w:left w:w="100" w:type="dxa"/>
              <w:bottom w:w="100" w:type="dxa"/>
              <w:right w:w="100" w:type="dxa"/>
            </w:tcMar>
          </w:tcPr>
          <w:p w14:paraId="32DDEB0C" w14:textId="77777777" w:rsidR="00DA7E40" w:rsidRPr="00D800F0" w:rsidRDefault="00DA7E40" w:rsidP="0000614D">
            <w:pPr>
              <w:widowControl w:val="0"/>
              <w:rPr>
                <w:rFonts w:ascii="Arial" w:hAnsi="Arial" w:cs="Arial"/>
              </w:rPr>
            </w:pPr>
            <w:r w:rsidRPr="00D800F0">
              <w:rPr>
                <w:rFonts w:ascii="Arial" w:hAnsi="Arial" w:cs="Arial"/>
              </w:rPr>
              <w:t>$/kWe</w:t>
            </w:r>
          </w:p>
        </w:tc>
      </w:tr>
    </w:tbl>
    <w:p w14:paraId="35ECFC8A" w14:textId="77777777" w:rsidR="00DA7E40" w:rsidRPr="00D800F0" w:rsidRDefault="00DA7E40" w:rsidP="00DA7E40">
      <w:pPr>
        <w:rPr>
          <w:rFonts w:ascii="Arial" w:hAnsi="Arial" w:cs="Arial"/>
        </w:rPr>
      </w:pPr>
    </w:p>
    <w:p w14:paraId="5FA108F5" w14:textId="77777777" w:rsidR="00DA7E40" w:rsidRPr="00D800F0" w:rsidRDefault="00DA7E40" w:rsidP="006864F3">
      <w:pPr>
        <w:pStyle w:val="Heading3"/>
        <w:rPr>
          <w:rFonts w:ascii="Arial" w:hAnsi="Arial" w:cs="Arial"/>
        </w:rPr>
      </w:pPr>
      <w:bookmarkStart w:id="20" w:name="_heading=h.vxhihpfpkkds" w:colFirst="0" w:colLast="0"/>
      <w:bookmarkStart w:id="21" w:name="_Toc148296620"/>
      <w:bookmarkEnd w:id="20"/>
      <w:r w:rsidRPr="00D800F0">
        <w:rPr>
          <w:rFonts w:ascii="Arial" w:hAnsi="Arial" w:cs="Arial"/>
        </w:rPr>
        <w:t>Model Formulation CAPEX</w:t>
      </w:r>
      <w:bookmarkEnd w:id="21"/>
    </w:p>
    <w:p w14:paraId="3FE17C24" w14:textId="77777777" w:rsidR="00DA7E40" w:rsidRPr="00D800F0" w:rsidRDefault="00DA7E40" w:rsidP="006864F3">
      <w:pPr>
        <w:pStyle w:val="Heading4"/>
        <w:rPr>
          <w:rFonts w:ascii="Arial" w:hAnsi="Arial" w:cs="Arial"/>
        </w:rPr>
      </w:pPr>
      <w:r w:rsidRPr="00D800F0">
        <w:rPr>
          <w:rFonts w:ascii="Arial" w:hAnsi="Arial" w:cs="Arial"/>
        </w:rPr>
        <w:t>Estimating CAPEX</w:t>
      </w:r>
    </w:p>
    <w:tbl>
      <w:tblPr>
        <w:tblW w:w="9360" w:type="dxa"/>
        <w:tblLayout w:type="fixed"/>
        <w:tblLook w:val="0600" w:firstRow="0" w:lastRow="0" w:firstColumn="0" w:lastColumn="0" w:noHBand="1" w:noVBand="1"/>
      </w:tblPr>
      <w:tblGrid>
        <w:gridCol w:w="8490"/>
        <w:gridCol w:w="870"/>
      </w:tblGrid>
      <w:tr w:rsidR="00DA7E40" w:rsidRPr="00D800F0" w14:paraId="072320BF" w14:textId="77777777" w:rsidTr="0000614D">
        <w:trPr>
          <w:cantSplit/>
        </w:trPr>
        <w:tc>
          <w:tcPr>
            <w:tcW w:w="8490" w:type="dxa"/>
            <w:shd w:val="clear" w:color="auto" w:fill="auto"/>
            <w:tcMar>
              <w:top w:w="100" w:type="dxa"/>
              <w:left w:w="100" w:type="dxa"/>
              <w:bottom w:w="100" w:type="dxa"/>
              <w:right w:w="100" w:type="dxa"/>
            </w:tcMar>
            <w:vAlign w:val="center"/>
          </w:tcPr>
          <w:p w14:paraId="48644273"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r>
                  <m:rPr>
                    <m:sty m:val="bi"/>
                  </m:rPr>
                  <w:rPr>
                    <w:rFonts w:ascii="Cambria Math" w:eastAsia="Cambria Math" w:hAnsi="Cambria Math" w:cs="Arial"/>
                  </w:rPr>
                  <m:t>=</m:t>
                </m:r>
                <m:nary>
                  <m:naryPr>
                    <m:chr m:val="∑"/>
                    <m:ctrlPr>
                      <w:rPr>
                        <w:rFonts w:ascii="Cambria Math" w:eastAsia="Cambria Math" w:hAnsi="Cambria Math" w:cs="Arial"/>
                        <w:b/>
                        <w:bCs/>
                      </w:rPr>
                    </m:ctrlPr>
                  </m:naryPr>
                  <m:sub>
                    <m:r>
                      <m:rPr>
                        <m:sty m:val="bi"/>
                      </m:rPr>
                      <w:rPr>
                        <w:rFonts w:ascii="Cambria Math" w:eastAsia="Cambria Math" w:hAnsi="Cambria Math" w:cs="Arial"/>
                      </w:rPr>
                      <m:t>z=0</m:t>
                    </m:r>
                  </m:sub>
                  <m:sup>
                    <m:r>
                      <m:rPr>
                        <m:sty m:val="bi"/>
                      </m:rPr>
                      <w:rPr>
                        <w:rFonts w:ascii="Cambria Math" w:eastAsia="Cambria Math" w:hAnsi="Cambria Math" w:cs="Arial"/>
                      </w:rPr>
                      <m:t>z</m:t>
                    </m:r>
                  </m:sup>
                  <m:e>
                    <m:d>
                      <m:dPr>
                        <m:begChr m:val="["/>
                        <m:endChr m:val="]"/>
                        <m:ctrlPr>
                          <w:rPr>
                            <w:rFonts w:ascii="Cambria Math" w:eastAsia="Cambria Math" w:hAnsi="Cambria Math" w:cs="Arial"/>
                            <w:b/>
                            <w:bCs/>
                          </w:rPr>
                        </m:ctrlPr>
                      </m:dPr>
                      <m:e>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f</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z</m:t>
                            </m:r>
                          </m:sub>
                        </m:sSub>
                      </m:e>
                    </m:d>
                    <m:r>
                      <m:rPr>
                        <m:sty m:val="bi"/>
                      </m:rPr>
                      <w:rPr>
                        <w:rFonts w:ascii="Cambria Math" w:eastAsia="Cambria Math" w:hAnsi="Cambria Math" w:cs="Arial"/>
                      </w:rPr>
                      <m:t>×</m:t>
                    </m:r>
                    <m:sSub>
                      <m:sSubPr>
                        <m:ctrlPr>
                          <w:rPr>
                            <w:rFonts w:ascii="Cambria Math" w:eastAsia="Cambria Math" w:hAnsi="Cambria Math" w:cs="Arial"/>
                            <w:b/>
                            <w:bCs/>
                          </w:rPr>
                        </m:ctrlPr>
                      </m:sSubPr>
                      <m:e>
                        <m:d>
                          <m:dPr>
                            <m:begChr m:val="["/>
                            <m:endChr m:val="]"/>
                            <m:ctrlPr>
                              <w:rPr>
                                <w:rFonts w:ascii="Cambria Math" w:eastAsia="Cambria Math" w:hAnsi="Cambria Math" w:cs="Arial"/>
                                <w:b/>
                                <w:bCs/>
                              </w:rPr>
                            </m:ctrlPr>
                          </m:dPr>
                          <m:e>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e>
                        </m:d>
                      </m:e>
                      <m:sub>
                        <m:r>
                          <m:rPr>
                            <m:sty m:val="bi"/>
                          </m:rPr>
                          <w:rPr>
                            <w:rFonts w:ascii="Cambria Math" w:eastAsia="Cambria Math" w:hAnsi="Cambria Math" w:cs="Arial"/>
                          </w:rPr>
                          <m:t xml:space="preserve"> </m:t>
                        </m:r>
                      </m:sub>
                    </m:sSub>
                  </m:e>
                </m:nary>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land</m:t>
                    </m:r>
                  </m:sub>
                </m:sSub>
                <m:r>
                  <m:rPr>
                    <m:sty m:val="bi"/>
                  </m:rPr>
                  <w:rPr>
                    <w:rFonts w:ascii="Cambria Math" w:eastAsia="Cambria Math" w:hAnsi="Cambria Math" w:cs="Arial"/>
                  </w:rPr>
                  <m:t>+W</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m:oMathPara>
          </w:p>
        </w:tc>
        <w:tc>
          <w:tcPr>
            <w:tcW w:w="870" w:type="dxa"/>
            <w:shd w:val="clear" w:color="auto" w:fill="auto"/>
            <w:tcMar>
              <w:top w:w="100" w:type="dxa"/>
              <w:left w:w="100" w:type="dxa"/>
              <w:bottom w:w="100" w:type="dxa"/>
              <w:right w:w="100" w:type="dxa"/>
            </w:tcMar>
            <w:vAlign w:val="center"/>
          </w:tcPr>
          <w:p w14:paraId="495619A8" w14:textId="77777777" w:rsidR="00DA7E40" w:rsidRPr="00D800F0" w:rsidRDefault="00DA7E40" w:rsidP="0000614D">
            <w:pPr>
              <w:pStyle w:val="Caption"/>
              <w:spacing w:after="0"/>
              <w:jc w:val="center"/>
              <w:rPr>
                <w:rFonts w:ascii="Arial" w:eastAsia="Cambria Math" w:hAnsi="Arial" w:cs="Arial"/>
              </w:rPr>
            </w:pPr>
            <w:bookmarkStart w:id="22" w:name="_Ref146908734"/>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B</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2</w:t>
            </w:r>
            <w:r w:rsidRPr="00D800F0">
              <w:rPr>
                <w:rFonts w:ascii="Arial" w:eastAsia="Cambria Math" w:hAnsi="Arial" w:cs="Arial"/>
              </w:rPr>
              <w:fldChar w:fldCharType="end"/>
            </w:r>
            <w:r w:rsidRPr="00D800F0">
              <w:rPr>
                <w:rFonts w:ascii="Arial" w:eastAsia="Cambria Math" w:hAnsi="Arial" w:cs="Arial"/>
              </w:rPr>
              <w:t>)</w:t>
            </w:r>
            <w:bookmarkEnd w:id="22"/>
          </w:p>
        </w:tc>
      </w:tr>
    </w:tbl>
    <w:p w14:paraId="69ABE346" w14:textId="168B227F" w:rsidR="00DA7E40" w:rsidRPr="00D800F0" w:rsidRDefault="00DA7E40" w:rsidP="00DA7E40">
      <w:pPr>
        <w:rPr>
          <w:rFonts w:ascii="Arial" w:hAnsi="Arial" w:cs="Arial"/>
        </w:rPr>
      </w:pPr>
      <w:r w:rsidRPr="00D800F0">
        <w:rPr>
          <w:rFonts w:ascii="Arial" w:hAnsi="Arial" w:cs="Arial"/>
          <w:highlight w:val="yellow"/>
        </w:rPr>
        <w:fldChar w:fldCharType="begin"/>
      </w:r>
      <w:r w:rsidRPr="00D800F0">
        <w:rPr>
          <w:rFonts w:ascii="Arial" w:hAnsi="Arial" w:cs="Arial"/>
        </w:rPr>
        <w:instrText xml:space="preserve"> REF _Ref146908734 \h </w:instrText>
      </w:r>
      <w:r w:rsidR="00D800F0">
        <w:rPr>
          <w:rFonts w:ascii="Arial" w:hAnsi="Arial" w:cs="Arial"/>
          <w:highlight w:val="yellow"/>
        </w:rPr>
        <w:instrText xml:space="preserve"> \* MERGEFORMAT </w:instrText>
      </w:r>
      <w:r w:rsidRPr="00D800F0">
        <w:rPr>
          <w:rFonts w:ascii="Arial" w:hAnsi="Arial" w:cs="Arial"/>
          <w:highlight w:val="yellow"/>
        </w:rPr>
      </w:r>
      <w:r w:rsidRPr="00D800F0">
        <w:rPr>
          <w:rFonts w:ascii="Arial" w:hAnsi="Arial" w:cs="Arial"/>
          <w:highlight w:val="yellow"/>
        </w:rPr>
        <w:fldChar w:fldCharType="separate"/>
      </w:r>
      <w:r w:rsidRPr="00D800F0">
        <w:rPr>
          <w:rFonts w:ascii="Arial" w:eastAsia="Cambria Math" w:hAnsi="Arial" w:cs="Arial"/>
        </w:rPr>
        <w:t>(</w:t>
      </w:r>
      <w:r w:rsidRPr="00D800F0">
        <w:rPr>
          <w:rFonts w:ascii="Arial" w:hAnsi="Arial" w:cs="Arial"/>
        </w:rPr>
        <w:t>B.2</w:t>
      </w:r>
      <w:r w:rsidRPr="00D800F0">
        <w:rPr>
          <w:rFonts w:ascii="Arial" w:eastAsia="Cambria Math" w:hAnsi="Arial" w:cs="Arial"/>
        </w:rPr>
        <w:t>)</w:t>
      </w:r>
      <w:r w:rsidRPr="00D800F0">
        <w:rPr>
          <w:rFonts w:ascii="Arial" w:hAnsi="Arial" w:cs="Arial"/>
          <w:highlight w:val="yellow"/>
        </w:rPr>
        <w:fldChar w:fldCharType="end"/>
      </w:r>
      <w:r w:rsidRPr="00D800F0">
        <w:rPr>
          <w:rFonts w:ascii="Arial" w:hAnsi="Arial" w:cs="Arial"/>
        </w:rPr>
        <w:t xml:space="preserve"> describes how the </w:t>
      </w:r>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rPr>
        <w:t xml:space="preserve"> was estimated. This method obtains the installed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sub>
        </m:sSub>
      </m:oMath>
      <w:r w:rsidRPr="00D800F0">
        <w:rPr>
          <w:rFonts w:ascii="Arial" w:hAnsi="Arial" w:cs="Arial"/>
        </w:rPr>
        <w:t>)</w:t>
      </w:r>
      <w:r w:rsidRPr="00D800F0">
        <w:rPr>
          <w:rFonts w:ascii="Arial" w:hAnsi="Arial" w:cs="Arial"/>
          <w:b/>
        </w:rPr>
        <w:t xml:space="preserve"> </w:t>
      </w:r>
      <w:r w:rsidRPr="00D800F0">
        <w:rPr>
          <w:rFonts w:ascii="Arial" w:hAnsi="Arial" w:cs="Arial"/>
        </w:rPr>
        <w:t>and uninstalled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r w:rsidRPr="00D800F0">
        <w:rPr>
          <w:rFonts w:ascii="Arial" w:hAnsi="Arial" w:cs="Arial"/>
        </w:rPr>
        <w:t xml:space="preserve">) costs for a specific technology and calculates the </w:t>
      </w:r>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rPr>
        <w:t>. The values for</w:t>
      </w:r>
      <w:r w:rsidRPr="00D800F0">
        <w:rPr>
          <w:rFonts w:ascii="Arial" w:eastAsia="Cambria Math" w:hAnsi="Arial" w:cs="Arial"/>
          <w:b/>
          <w:i/>
        </w:rPr>
        <w:t xml:space="preserve"> </w:t>
      </w:r>
      <m:oMath>
        <m:r>
          <m:rPr>
            <m:sty m:val="bi"/>
          </m:rPr>
          <w:rPr>
            <w:rFonts w:ascii="Cambria Math" w:eastAsia="Cambria Math" w:hAnsi="Cambria Math" w:cs="Arial"/>
          </w:rPr>
          <w:lastRenderedPageBreak/>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sub>
        </m:sSub>
      </m:oMath>
      <w:r w:rsidRPr="00D800F0">
        <w:rPr>
          <w:rFonts w:ascii="Arial" w:hAnsi="Arial" w:cs="Arial"/>
        </w:rPr>
        <w:t xml:space="preserve"> and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r w:rsidRPr="00D800F0">
        <w:rPr>
          <w:rFonts w:ascii="Arial" w:hAnsi="Arial" w:cs="Arial"/>
          <w:b/>
        </w:rPr>
        <w:t xml:space="preserve"> </w:t>
      </w:r>
      <w:r w:rsidRPr="00D800F0">
        <w:rPr>
          <w:rFonts w:ascii="Arial" w:hAnsi="Arial" w:cs="Arial"/>
        </w:rPr>
        <w:t xml:space="preserve">were calculated based on the equipment data sets described in section A. </w:t>
      </w:r>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z</m:t>
            </m:r>
          </m:sub>
        </m:sSub>
      </m:oMath>
      <w:r w:rsidRPr="00D800F0">
        <w:rPr>
          <w:rFonts w:ascii="Arial" w:hAnsi="Arial" w:cs="Arial"/>
        </w:rPr>
        <w:t xml:space="preserve"> is a cost factor for a set of facilities, </w:t>
      </w:r>
      <m:oMath>
        <m:r>
          <m:rPr>
            <m:sty m:val="bi"/>
          </m:rPr>
          <w:rPr>
            <w:rFonts w:ascii="Cambria Math" w:eastAsia="Cambria Math" w:hAnsi="Cambria Math" w:cs="Arial"/>
          </w:rPr>
          <m:t>z</m:t>
        </m:r>
      </m:oMath>
      <w:r w:rsidRPr="00D800F0">
        <w:rPr>
          <w:rFonts w:ascii="Arial" w:hAnsi="Arial" w:cs="Arial"/>
        </w:rPr>
        <w:t xml:space="preserve"> (Peters et al. 2003). </w:t>
      </w:r>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land</m:t>
            </m:r>
          </m:sub>
        </m:sSub>
      </m:oMath>
      <w:r w:rsidRPr="00D800F0">
        <w:rPr>
          <w:rFonts w:ascii="Arial" w:hAnsi="Arial" w:cs="Arial"/>
          <w:b/>
        </w:rPr>
        <w:t xml:space="preserve"> </w:t>
      </w:r>
      <w:r w:rsidRPr="00D800F0">
        <w:rPr>
          <w:rFonts w:ascii="Arial" w:hAnsi="Arial" w:cs="Arial"/>
        </w:rPr>
        <w:t xml:space="preserve">is the cost of land and a constant for all technologies. </w:t>
      </w:r>
      <m:oMath>
        <m:r>
          <m:rPr>
            <m:sty m:val="bi"/>
          </m:rPr>
          <w:rPr>
            <w:rFonts w:ascii="Cambria Math" w:eastAsia="Cambria Math" w:hAnsi="Cambria Math" w:cs="Arial"/>
          </w:rPr>
          <m:t>W</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w:r w:rsidRPr="00D800F0">
        <w:rPr>
          <w:rFonts w:ascii="Arial" w:hAnsi="Arial" w:cs="Arial"/>
          <w:b/>
        </w:rPr>
        <w:t xml:space="preserve"> </w:t>
      </w:r>
      <w:r w:rsidRPr="00D800F0">
        <w:rPr>
          <w:rFonts w:ascii="Arial" w:hAnsi="Arial" w:cs="Arial"/>
        </w:rPr>
        <w:t xml:space="preserve">is the working capital (calculated in </w:t>
      </w:r>
      <w:r w:rsidRPr="00D800F0">
        <w:rPr>
          <w:rFonts w:ascii="Arial" w:hAnsi="Arial" w:cs="Arial"/>
          <w:highlight w:val="yellow"/>
        </w:rPr>
        <w:fldChar w:fldCharType="begin"/>
      </w:r>
      <w:r w:rsidRPr="00D800F0">
        <w:rPr>
          <w:rFonts w:ascii="Arial" w:hAnsi="Arial" w:cs="Arial"/>
        </w:rPr>
        <w:instrText xml:space="preserve"> REF _Ref146908854 \h </w:instrText>
      </w:r>
      <w:r w:rsidR="00D800F0">
        <w:rPr>
          <w:rFonts w:ascii="Arial" w:hAnsi="Arial" w:cs="Arial"/>
          <w:highlight w:val="yellow"/>
        </w:rPr>
        <w:instrText xml:space="preserve"> \* MERGEFORMAT </w:instrText>
      </w:r>
      <w:r w:rsidRPr="00D800F0">
        <w:rPr>
          <w:rFonts w:ascii="Arial" w:hAnsi="Arial" w:cs="Arial"/>
          <w:highlight w:val="yellow"/>
        </w:rPr>
      </w:r>
      <w:r w:rsidRPr="00D800F0">
        <w:rPr>
          <w:rFonts w:ascii="Arial" w:hAnsi="Arial" w:cs="Arial"/>
          <w:highlight w:val="yellow"/>
        </w:rPr>
        <w:fldChar w:fldCharType="separate"/>
      </w:r>
      <w:r w:rsidRPr="00D800F0">
        <w:rPr>
          <w:rFonts w:ascii="Arial" w:hAnsi="Arial" w:cs="Arial"/>
        </w:rPr>
        <w:t>(</w:t>
      </w:r>
      <w:r w:rsidRPr="00D800F0">
        <w:rPr>
          <w:rFonts w:ascii="Arial" w:hAnsi="Arial" w:cs="Arial"/>
          <w:noProof/>
        </w:rPr>
        <w:t>B</w:t>
      </w:r>
      <w:r w:rsidRPr="00D800F0">
        <w:rPr>
          <w:rFonts w:ascii="Arial" w:hAnsi="Arial" w:cs="Arial"/>
        </w:rPr>
        <w:t>.</w:t>
      </w:r>
      <w:r w:rsidRPr="00D800F0">
        <w:rPr>
          <w:rFonts w:ascii="Arial" w:hAnsi="Arial" w:cs="Arial"/>
          <w:noProof/>
        </w:rPr>
        <w:t>4</w:t>
      </w:r>
      <w:r w:rsidRPr="00D800F0">
        <w:rPr>
          <w:rFonts w:ascii="Arial" w:hAnsi="Arial" w:cs="Arial"/>
        </w:rPr>
        <w:t>)</w:t>
      </w:r>
      <w:r w:rsidRPr="00D800F0">
        <w:rPr>
          <w:rFonts w:ascii="Arial" w:hAnsi="Arial" w:cs="Arial"/>
          <w:highlight w:val="yellow"/>
        </w:rPr>
        <w:fldChar w:fldCharType="end"/>
      </w:r>
      <w:r w:rsidRPr="00D800F0">
        <w:rPr>
          <w:rFonts w:ascii="Arial" w:hAnsi="Arial" w:cs="Arial"/>
        </w:rPr>
        <w:t>).</w:t>
      </w:r>
    </w:p>
    <w:p w14:paraId="023AF4DC" w14:textId="77777777" w:rsidR="00DA7E40" w:rsidRPr="00D800F0" w:rsidRDefault="00DA7E40" w:rsidP="00DA7E40">
      <w:pPr>
        <w:ind w:firstLine="720"/>
        <w:rPr>
          <w:rFonts w:ascii="Arial" w:hAnsi="Arial" w:cs="Arial"/>
        </w:rPr>
      </w:pPr>
      <w:r w:rsidRPr="00D800F0">
        <w:rPr>
          <w:rFonts w:ascii="Arial" w:hAnsi="Arial" w:cs="Arial"/>
        </w:rPr>
        <w:t xml:space="preserve">The average value of the cost factors for each technology for each scenario is in annexed excel file named </w:t>
      </w:r>
      <w:r w:rsidRPr="00D800F0">
        <w:rPr>
          <w:rFonts w:ascii="Arial" w:hAnsi="Arial" w:cs="Arial"/>
          <w:b/>
          <w:bCs/>
          <w:i/>
          <w:iCs/>
        </w:rPr>
        <w:t>AP_NE_CAPEX.xlsx</w:t>
      </w:r>
      <w:r w:rsidRPr="00D800F0">
        <w:rPr>
          <w:rFonts w:ascii="Arial" w:hAnsi="Arial" w:cs="Arial"/>
        </w:rPr>
        <w:t>. More detailed information on the CAPEX estimation methodology is in Peters et al. 2003. For clarity, we specify the cost factors below.</w:t>
      </w:r>
    </w:p>
    <w:tbl>
      <w:tblPr>
        <w:tblW w:w="9360" w:type="dxa"/>
        <w:tblLayout w:type="fixed"/>
        <w:tblLook w:val="0600" w:firstRow="0" w:lastRow="0" w:firstColumn="0" w:lastColumn="0" w:noHBand="1" w:noVBand="1"/>
      </w:tblPr>
      <w:tblGrid>
        <w:gridCol w:w="8490"/>
        <w:gridCol w:w="870"/>
      </w:tblGrid>
      <w:tr w:rsidR="00DA7E40" w:rsidRPr="00D800F0" w14:paraId="33DD9A60" w14:textId="77777777" w:rsidTr="0000614D">
        <w:trPr>
          <w:cantSplit/>
        </w:trPr>
        <w:tc>
          <w:tcPr>
            <w:tcW w:w="8490" w:type="dxa"/>
            <w:shd w:val="clear" w:color="auto" w:fill="auto"/>
            <w:tcMar>
              <w:top w:w="100" w:type="dxa"/>
              <w:left w:w="100" w:type="dxa"/>
              <w:bottom w:w="100" w:type="dxa"/>
              <w:right w:w="100" w:type="dxa"/>
            </w:tcMar>
          </w:tcPr>
          <w:p w14:paraId="2AD05C23"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z</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I&amp;C</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p</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el</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b</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sf&amp;yi</m:t>
                    </m:r>
                  </m:sub>
                </m:sSub>
                <m:r>
                  <m:rPr>
                    <m:sty m:val="bi"/>
                  </m:rPr>
                  <w:rPr>
                    <w:rFonts w:ascii="Cambria Math" w:eastAsia="Cambria Math" w:hAnsi="Cambria Math" w:cs="Arial"/>
                  </w:rPr>
                  <m:t xml:space="preserve">, </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eng</m:t>
                    </m:r>
                  </m:sub>
                </m:sSub>
                <m:r>
                  <m:rPr>
                    <m:sty m:val="bi"/>
                  </m:rPr>
                  <w:rPr>
                    <w:rFonts w:ascii="Cambria Math" w:eastAsia="Cambria Math" w:hAnsi="Cambria Math" w:cs="Arial"/>
                  </w:rPr>
                  <m:t xml:space="preserve">, </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L</m:t>
                    </m:r>
                  </m:sub>
                </m:sSub>
                <m:r>
                  <m:rPr>
                    <m:sty m:val="bi"/>
                  </m:rPr>
                  <w:rPr>
                    <w:rFonts w:ascii="Cambria Math" w:eastAsia="Cambria Math" w:hAnsi="Cambria Math" w:cs="Arial"/>
                  </w:rPr>
                  <m:t xml:space="preserve">, </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c</m:t>
                    </m:r>
                  </m:sub>
                </m:sSub>
                <m:r>
                  <m:rPr>
                    <m:sty m:val="bi"/>
                  </m:rPr>
                  <w:rPr>
                    <w:rFonts w:ascii="Cambria Math" w:eastAsia="Cambria Math" w:hAnsi="Cambria Math" w:cs="Arial"/>
                  </w:rPr>
                  <m:t xml:space="preserve">, </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co</m:t>
                    </m:r>
                  </m:sub>
                </m:sSub>
                <m:r>
                  <m:rPr>
                    <m:sty m:val="bi"/>
                  </m:rPr>
                  <w:rPr>
                    <w:rFonts w:ascii="Cambria Math" w:eastAsia="Cambria Math" w:hAnsi="Cambria Math" w:cs="Arial"/>
                  </w:rPr>
                  <m:t>}</m:t>
                </m:r>
              </m:oMath>
            </m:oMathPara>
          </w:p>
        </w:tc>
        <w:tc>
          <w:tcPr>
            <w:tcW w:w="870" w:type="dxa"/>
            <w:shd w:val="clear" w:color="auto" w:fill="auto"/>
            <w:tcMar>
              <w:top w:w="100" w:type="dxa"/>
              <w:left w:w="100" w:type="dxa"/>
              <w:bottom w:w="100" w:type="dxa"/>
              <w:right w:w="100" w:type="dxa"/>
            </w:tcMar>
          </w:tcPr>
          <w:p w14:paraId="166B77BF" w14:textId="77777777" w:rsidR="00DA7E40" w:rsidRPr="00D800F0" w:rsidRDefault="00DA7E40" w:rsidP="0000614D">
            <w:pPr>
              <w:pStyle w:val="Caption"/>
              <w:spacing w:after="0"/>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3</w:t>
            </w:r>
            <w:r w:rsidRPr="00D800F0">
              <w:rPr>
                <w:rFonts w:ascii="Arial" w:hAnsi="Arial" w:cs="Arial"/>
                <w:noProof/>
              </w:rPr>
              <w:fldChar w:fldCharType="end"/>
            </w:r>
            <w:r w:rsidRPr="00D800F0">
              <w:rPr>
                <w:rFonts w:ascii="Arial" w:hAnsi="Arial" w:cs="Arial"/>
              </w:rPr>
              <w:t>)</w:t>
            </w:r>
          </w:p>
        </w:tc>
      </w:tr>
    </w:tbl>
    <w:p w14:paraId="5778335C" w14:textId="77777777" w:rsidR="00DA7E40" w:rsidRPr="00D800F0" w:rsidRDefault="00DA7E40" w:rsidP="00DA7E40">
      <w:pPr>
        <w:rPr>
          <w:rFonts w:ascii="Arial" w:hAnsi="Arial" w:cs="Arial"/>
        </w:rPr>
      </w:pPr>
      <w:r w:rsidRPr="00D800F0">
        <w:rPr>
          <w:rFonts w:ascii="Arial" w:hAnsi="Arial" w:cs="Arial"/>
        </w:rPr>
        <w:t xml:space="preserve">where each cost factor, </w:t>
      </w:r>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z</m:t>
            </m:r>
          </m:sub>
        </m:sSub>
      </m:oMath>
      <w:r w:rsidRPr="00D800F0">
        <w:rPr>
          <w:rFonts w:ascii="Arial" w:hAnsi="Arial" w:cs="Arial"/>
        </w:rPr>
        <w:t>, corresponds to instrumentation and control, piping, electrical, buildings, service facilities and yard improvements, engineering, legal, construction, and contingency, respectively.</w:t>
      </w:r>
    </w:p>
    <w:p w14:paraId="39572C23" w14:textId="72B70E31" w:rsidR="00DA7E40" w:rsidRPr="00D800F0" w:rsidRDefault="00DA7E40" w:rsidP="00DA7E40">
      <w:pPr>
        <w:rPr>
          <w:rFonts w:ascii="Arial" w:hAnsi="Arial" w:cs="Arial"/>
        </w:rPr>
      </w:pPr>
      <w:r w:rsidRPr="00D800F0">
        <w:rPr>
          <w:rFonts w:ascii="Arial" w:hAnsi="Arial" w:cs="Arial"/>
        </w:rPr>
        <w:tab/>
        <w:t>The working capital,</w:t>
      </w:r>
      <w:r w:rsidRPr="00D800F0">
        <w:rPr>
          <w:rFonts w:ascii="Arial" w:eastAsia="Cambria Math" w:hAnsi="Arial" w:cs="Arial"/>
          <w:b/>
          <w:i/>
        </w:rPr>
        <w:t xml:space="preserve"> </w:t>
      </w:r>
      <m:oMath>
        <m:r>
          <m:rPr>
            <m:sty m:val="bi"/>
          </m:rPr>
          <w:rPr>
            <w:rFonts w:ascii="Cambria Math" w:eastAsia="Cambria Math" w:hAnsi="Cambria Math" w:cs="Arial"/>
          </w:rPr>
          <m:t>W</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w:r w:rsidRPr="00D800F0">
        <w:rPr>
          <w:rFonts w:ascii="Arial" w:hAnsi="Arial" w:cs="Arial"/>
        </w:rPr>
        <w:t>,</w:t>
      </w:r>
      <w:r w:rsidRPr="00D800F0">
        <w:rPr>
          <w:rFonts w:ascii="Arial" w:hAnsi="Arial" w:cs="Arial"/>
          <w:b/>
        </w:rPr>
        <w:t xml:space="preserve"> </w:t>
      </w:r>
      <w:r w:rsidRPr="00D800F0">
        <w:rPr>
          <w:rFonts w:ascii="Arial" w:hAnsi="Arial" w:cs="Arial"/>
        </w:rPr>
        <w:t xml:space="preserve">was calculated using the formula below </w:t>
      </w:r>
      <w:r w:rsidRPr="00D800F0">
        <w:rPr>
          <w:rFonts w:ascii="Arial" w:hAnsi="Arial" w:cs="Arial"/>
        </w:rPr>
        <w:fldChar w:fldCharType="begin"/>
      </w:r>
      <w:r w:rsidRPr="00D800F0">
        <w:rPr>
          <w:rFonts w:ascii="Arial" w:hAnsi="Arial" w:cs="Arial"/>
        </w:rPr>
        <w:instrText xml:space="preserve"> REF _Ref146908854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w:t>
      </w:r>
      <w:r w:rsidRPr="00D800F0">
        <w:rPr>
          <w:rFonts w:ascii="Arial" w:hAnsi="Arial" w:cs="Arial"/>
          <w:noProof/>
        </w:rPr>
        <w:t>B</w:t>
      </w:r>
      <w:r w:rsidRPr="00D800F0">
        <w:rPr>
          <w:rFonts w:ascii="Arial" w:hAnsi="Arial" w:cs="Arial"/>
        </w:rPr>
        <w:t>.</w:t>
      </w:r>
      <w:r w:rsidRPr="00D800F0">
        <w:rPr>
          <w:rFonts w:ascii="Arial" w:hAnsi="Arial" w:cs="Arial"/>
          <w:noProof/>
        </w:rPr>
        <w:t>4</w:t>
      </w:r>
      <w:r w:rsidRPr="00D800F0">
        <w:rPr>
          <w:rFonts w:ascii="Arial" w:hAnsi="Arial" w:cs="Arial"/>
        </w:rPr>
        <w:t>)</w:t>
      </w:r>
      <w:r w:rsidRPr="00D800F0">
        <w:rPr>
          <w:rFonts w:ascii="Arial" w:hAnsi="Arial" w:cs="Arial"/>
        </w:rPr>
        <w:fldChar w:fldCharType="end"/>
      </w:r>
      <w:r w:rsidRPr="00D800F0">
        <w:rPr>
          <w:rFonts w:ascii="Arial" w:hAnsi="Arial" w:cs="Arial"/>
        </w:rPr>
        <w:t xml:space="preserve">. </w:t>
      </w:r>
    </w:p>
    <w:tbl>
      <w:tblPr>
        <w:tblW w:w="9360" w:type="dxa"/>
        <w:tblLayout w:type="fixed"/>
        <w:tblLook w:val="0600" w:firstRow="0" w:lastRow="0" w:firstColumn="0" w:lastColumn="0" w:noHBand="1" w:noVBand="1"/>
      </w:tblPr>
      <w:tblGrid>
        <w:gridCol w:w="8490"/>
        <w:gridCol w:w="870"/>
      </w:tblGrid>
      <w:tr w:rsidR="00DA7E40" w:rsidRPr="00D800F0" w14:paraId="59923BFA" w14:textId="77777777" w:rsidTr="0000614D">
        <w:trPr>
          <w:cantSplit/>
        </w:trPr>
        <w:tc>
          <w:tcPr>
            <w:tcW w:w="8490" w:type="dxa"/>
            <w:shd w:val="clear" w:color="auto" w:fill="auto"/>
            <w:tcMar>
              <w:top w:w="100" w:type="dxa"/>
              <w:left w:w="100" w:type="dxa"/>
              <w:bottom w:w="100" w:type="dxa"/>
              <w:right w:w="100" w:type="dxa"/>
            </w:tcMar>
            <w:vAlign w:val="center"/>
          </w:tcPr>
          <w:p w14:paraId="6044FAC7"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W</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r>
                  <m:rPr>
                    <m:sty m:val="bi"/>
                  </m:rPr>
                  <w:rPr>
                    <w:rFonts w:ascii="Cambria Math" w:eastAsia="Cambria Math" w:hAnsi="Cambria Math" w:cs="Arial"/>
                  </w:rPr>
                  <m:t>=FC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WC</m:t>
                    </m:r>
                  </m:sub>
                </m:sSub>
                <m:r>
                  <m:rPr>
                    <m:sty m:val="bi"/>
                  </m:rPr>
                  <w:rPr>
                    <w:rFonts w:ascii="Cambria Math" w:eastAsia="Cambria Math" w:hAnsi="Cambria Math" w:cs="Arial"/>
                  </w:rPr>
                  <m:t>=</m:t>
                </m:r>
                <m:d>
                  <m:dPr>
                    <m:ctrlPr>
                      <w:rPr>
                        <w:rFonts w:ascii="Cambria Math" w:eastAsia="Cambria Math" w:hAnsi="Cambria Math" w:cs="Arial"/>
                        <w:b/>
                        <w:bCs/>
                      </w:rPr>
                    </m:ctrlPr>
                  </m:dPr>
                  <m:e>
                    <m:nary>
                      <m:naryPr>
                        <m:chr m:val="∑"/>
                        <m:ctrlPr>
                          <w:rPr>
                            <w:rFonts w:ascii="Cambria Math" w:eastAsia="Cambria Math" w:hAnsi="Cambria Math" w:cs="Arial"/>
                            <w:b/>
                            <w:bCs/>
                          </w:rPr>
                        </m:ctrlPr>
                      </m:naryPr>
                      <m:sub>
                        <m:r>
                          <m:rPr>
                            <m:sty m:val="bi"/>
                          </m:rPr>
                          <w:rPr>
                            <w:rFonts w:ascii="Cambria Math" w:eastAsia="Cambria Math" w:hAnsi="Cambria Math" w:cs="Arial"/>
                          </w:rPr>
                          <m:t>z=0</m:t>
                        </m:r>
                      </m:sub>
                      <m:sup>
                        <m:r>
                          <m:rPr>
                            <m:sty m:val="bi"/>
                          </m:rPr>
                          <w:rPr>
                            <w:rFonts w:ascii="Cambria Math" w:eastAsia="Cambria Math" w:hAnsi="Cambria Math" w:cs="Arial"/>
                          </w:rPr>
                          <m:t>z</m:t>
                        </m:r>
                      </m:sup>
                      <m:e>
                        <m:d>
                          <m:dPr>
                            <m:begChr m:val="["/>
                            <m:endChr m:val="]"/>
                            <m:ctrlPr>
                              <w:rPr>
                                <w:rFonts w:ascii="Cambria Math" w:eastAsia="Cambria Math" w:hAnsi="Cambria Math" w:cs="Arial"/>
                                <w:b/>
                                <w:bCs/>
                              </w:rPr>
                            </m:ctrlPr>
                          </m:dPr>
                          <m:e>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f</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z</m:t>
                                </m:r>
                              </m:sub>
                            </m:sSub>
                          </m:e>
                        </m:d>
                      </m:e>
                    </m:nary>
                    <m:r>
                      <m:rPr>
                        <m:sty m:val="bi"/>
                      </m:rPr>
                      <w:rPr>
                        <w:rFonts w:ascii="Cambria Math" w:eastAsia="Cambria Math" w:hAnsi="Cambria Math" w:cs="Arial"/>
                      </w:rPr>
                      <m:t>×</m:t>
                    </m:r>
                    <m:sSub>
                      <m:sSubPr>
                        <m:ctrlPr>
                          <w:rPr>
                            <w:rFonts w:ascii="Cambria Math" w:eastAsia="Cambria Math" w:hAnsi="Cambria Math" w:cs="Arial"/>
                            <w:b/>
                            <w:bCs/>
                          </w:rPr>
                        </m:ctrlPr>
                      </m:sSubPr>
                      <m:e>
                        <m:d>
                          <m:dPr>
                            <m:begChr m:val="["/>
                            <m:endChr m:val="]"/>
                            <m:ctrlPr>
                              <w:rPr>
                                <w:rFonts w:ascii="Cambria Math" w:eastAsia="Cambria Math" w:hAnsi="Cambria Math" w:cs="Arial"/>
                                <w:b/>
                                <w:bCs/>
                              </w:rPr>
                            </m:ctrlPr>
                          </m:dPr>
                          <m:e>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e>
                        </m:d>
                      </m:e>
                      <m:sub>
                        <m:r>
                          <m:rPr>
                            <m:sty m:val="bi"/>
                          </m:rPr>
                          <w:rPr>
                            <w:rFonts w:ascii="Cambria Math" w:eastAsia="Cambria Math" w:hAnsi="Cambria Math" w:cs="Arial"/>
                          </w:rPr>
                          <m:t xml:space="preserve"> </m:t>
                        </m:r>
                      </m:sub>
                    </m:sSub>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land</m:t>
                        </m:r>
                      </m:sub>
                    </m:sSub>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WC</m:t>
                    </m:r>
                  </m:sub>
                </m:sSub>
              </m:oMath>
            </m:oMathPara>
          </w:p>
        </w:tc>
        <w:tc>
          <w:tcPr>
            <w:tcW w:w="870" w:type="dxa"/>
            <w:shd w:val="clear" w:color="auto" w:fill="auto"/>
            <w:tcMar>
              <w:top w:w="100" w:type="dxa"/>
              <w:left w:w="100" w:type="dxa"/>
              <w:bottom w:w="100" w:type="dxa"/>
              <w:right w:w="100" w:type="dxa"/>
            </w:tcMar>
            <w:vAlign w:val="center"/>
          </w:tcPr>
          <w:p w14:paraId="515589BF" w14:textId="77777777" w:rsidR="00DA7E40" w:rsidRPr="00D800F0" w:rsidRDefault="00DA7E40" w:rsidP="0000614D">
            <w:pPr>
              <w:pStyle w:val="Caption"/>
              <w:spacing w:after="0"/>
              <w:jc w:val="center"/>
              <w:rPr>
                <w:rFonts w:ascii="Arial" w:hAnsi="Arial" w:cs="Arial"/>
              </w:rPr>
            </w:pPr>
            <w:bookmarkStart w:id="23" w:name="_Ref146908854"/>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4</w:t>
            </w:r>
            <w:r w:rsidRPr="00D800F0">
              <w:rPr>
                <w:rFonts w:ascii="Arial" w:hAnsi="Arial" w:cs="Arial"/>
                <w:noProof/>
              </w:rPr>
              <w:fldChar w:fldCharType="end"/>
            </w:r>
            <w:r w:rsidRPr="00D800F0">
              <w:rPr>
                <w:rFonts w:ascii="Arial" w:hAnsi="Arial" w:cs="Arial"/>
              </w:rPr>
              <w:t>)</w:t>
            </w:r>
            <w:bookmarkEnd w:id="23"/>
          </w:p>
        </w:tc>
      </w:tr>
    </w:tbl>
    <w:p w14:paraId="5A13CC9F" w14:textId="77777777" w:rsidR="00DA7E40" w:rsidRPr="00D800F0" w:rsidRDefault="00DA7E40" w:rsidP="00DA7E40">
      <w:pPr>
        <w:ind w:firstLine="720"/>
        <w:rPr>
          <w:rFonts w:ascii="Arial" w:hAnsi="Arial" w:cs="Arial"/>
        </w:rPr>
      </w:pPr>
      <w:r w:rsidRPr="00D800F0">
        <w:rPr>
          <w:rFonts w:ascii="Arial" w:hAnsi="Arial" w:cs="Arial"/>
        </w:rPr>
        <w:t xml:space="preserve">The textbook cost factors used to calculate </w:t>
      </w:r>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b/>
          <w:bCs/>
        </w:rPr>
        <w:t xml:space="preserve"> </w:t>
      </w:r>
      <w:r w:rsidRPr="00D800F0">
        <w:rPr>
          <w:rFonts w:ascii="Arial" w:hAnsi="Arial" w:cs="Arial"/>
        </w:rPr>
        <w:t xml:space="preserve">and related parameters are based on a scale of the order of 100 TPD (Peters et al. 2003). Hence, each parameter was scaled by using the six-tenths rule to the AP scale of </w:t>
      </w:r>
      <m:oMath>
        <m:sSub>
          <m:sSubPr>
            <m:ctrlPr>
              <w:rPr>
                <w:rFonts w:ascii="Cambria Math" w:eastAsia="Cambria Math" w:hAnsi="Cambria Math" w:cs="Arial"/>
              </w:rPr>
            </m:ctrlPr>
          </m:sSubPr>
          <m:e>
            <m:r>
              <w:rPr>
                <w:rFonts w:ascii="Cambria Math" w:eastAsia="Cambria Math" w:hAnsi="Cambria Math" w:cs="Arial"/>
              </w:rPr>
              <m:t>M</m:t>
            </m:r>
          </m:e>
          <m:sub>
            <m:r>
              <w:rPr>
                <w:rFonts w:ascii="Cambria Math" w:eastAsia="Cambria Math" w:hAnsi="Cambria Math" w:cs="Arial"/>
              </w:rPr>
              <m:t>N</m:t>
            </m:r>
            <m:sSub>
              <m:sSubPr>
                <m:ctrlPr>
                  <w:rPr>
                    <w:rFonts w:ascii="Cambria Math" w:eastAsia="Cambria Math" w:hAnsi="Cambria Math" w:cs="Arial"/>
                  </w:rPr>
                </m:ctrlPr>
              </m:sSubPr>
              <m:e>
                <m:r>
                  <w:rPr>
                    <w:rFonts w:ascii="Cambria Math" w:eastAsia="Cambria Math" w:hAnsi="Cambria Math" w:cs="Arial"/>
                  </w:rPr>
                  <m:t>H</m:t>
                </m:r>
              </m:e>
              <m:sub>
                <m:r>
                  <w:rPr>
                    <w:rFonts w:ascii="Cambria Math" w:eastAsia="Cambria Math" w:hAnsi="Cambria Math" w:cs="Arial"/>
                  </w:rPr>
                  <m:t>3</m:t>
                </m:r>
              </m:sub>
            </m:sSub>
          </m:sub>
        </m:sSub>
      </m:oMath>
      <w:r w:rsidRPr="00D800F0">
        <w:rPr>
          <w:rFonts w:ascii="Arial" w:hAnsi="Arial" w:cs="Arial"/>
          <w:b/>
        </w:rPr>
        <w:t xml:space="preserve"> </w:t>
      </w:r>
      <w:r w:rsidRPr="00D800F0">
        <w:rPr>
          <w:rFonts w:ascii="Arial" w:hAnsi="Arial" w:cs="Arial"/>
        </w:rPr>
        <w:t xml:space="preserve">(2717 TPD NH3). The factor is defined as </w:t>
      </w:r>
      <m:oMath>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f</m:t>
            </m:r>
          </m:sub>
        </m:sSub>
      </m:oMath>
      <w:r w:rsidRPr="00D800F0">
        <w:rPr>
          <w:rFonts w:ascii="Arial" w:hAnsi="Arial" w:cs="Arial"/>
        </w:rPr>
        <w:t xml:space="preserve">. </w:t>
      </w:r>
    </w:p>
    <w:tbl>
      <w:tblPr>
        <w:tblW w:w="9360" w:type="dxa"/>
        <w:tblLayout w:type="fixed"/>
        <w:tblLook w:val="0600" w:firstRow="0" w:lastRow="0" w:firstColumn="0" w:lastColumn="0" w:noHBand="1" w:noVBand="1"/>
      </w:tblPr>
      <w:tblGrid>
        <w:gridCol w:w="8490"/>
        <w:gridCol w:w="870"/>
      </w:tblGrid>
      <w:tr w:rsidR="00DA7E40" w:rsidRPr="00D800F0" w14:paraId="252934FB" w14:textId="77777777" w:rsidTr="0000614D">
        <w:trPr>
          <w:cantSplit/>
          <w:trHeight w:val="987"/>
        </w:trPr>
        <w:tc>
          <w:tcPr>
            <w:tcW w:w="8490" w:type="dxa"/>
            <w:shd w:val="clear" w:color="auto" w:fill="auto"/>
            <w:tcMar>
              <w:top w:w="100" w:type="dxa"/>
              <w:left w:w="100" w:type="dxa"/>
              <w:bottom w:w="100" w:type="dxa"/>
              <w:right w:w="100" w:type="dxa"/>
            </w:tcMar>
            <w:vAlign w:val="center"/>
          </w:tcPr>
          <w:p w14:paraId="449DD1B1"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f</m:t>
                    </m:r>
                  </m:sub>
                </m:sSub>
                <m:r>
                  <m:rPr>
                    <m:sty m:val="bi"/>
                  </m:rPr>
                  <w:rPr>
                    <w:rFonts w:ascii="Cambria Math" w:eastAsia="Cambria Math" w:hAnsi="Cambria Math" w:cs="Arial"/>
                  </w:rPr>
                  <m:t>=</m:t>
                </m:r>
                <m:f>
                  <m:fPr>
                    <m:ctrlPr>
                      <w:rPr>
                        <w:rFonts w:ascii="Cambria Math" w:eastAsia="Cambria Math" w:hAnsi="Cambria Math" w:cs="Arial"/>
                        <w:b/>
                        <w:bCs/>
                      </w:rPr>
                    </m:ctrlPr>
                  </m:fPr>
                  <m:num>
                    <m:r>
                      <m:rPr>
                        <m:sty m:val="bi"/>
                      </m:rPr>
                      <w:rPr>
                        <w:rFonts w:ascii="Cambria Math" w:eastAsia="Cambria Math" w:hAnsi="Cambria Math" w:cs="Arial"/>
                      </w:rPr>
                      <m:t>1</m:t>
                    </m:r>
                  </m:num>
                  <m:den>
                    <m:sSup>
                      <m:sSupPr>
                        <m:ctrlPr>
                          <w:rPr>
                            <w:rFonts w:ascii="Cambria Math" w:eastAsia="Cambria Math" w:hAnsi="Cambria Math" w:cs="Arial"/>
                            <w:b/>
                            <w:bCs/>
                          </w:rPr>
                        </m:ctrlPr>
                      </m:sSupPr>
                      <m:e>
                        <m:d>
                          <m:dPr>
                            <m:ctrlPr>
                              <w:rPr>
                                <w:rFonts w:ascii="Cambria Math" w:eastAsia="Cambria Math" w:hAnsi="Cambria Math" w:cs="Arial"/>
                                <w:b/>
                                <w:bCs/>
                              </w:rPr>
                            </m:ctrlPr>
                          </m:dPr>
                          <m:e>
                            <m:f>
                              <m:fPr>
                                <m:ctrlPr>
                                  <w:rPr>
                                    <w:rFonts w:ascii="Cambria Math" w:eastAsia="Cambria Math" w:hAnsi="Cambria Math" w:cs="Arial"/>
                                    <w:b/>
                                    <w:bCs/>
                                  </w:rPr>
                                </m:ctrlPr>
                              </m:fPr>
                              <m:num>
                                <m:r>
                                  <m:rPr>
                                    <m:sty m:val="bi"/>
                                  </m:rPr>
                                  <w:rPr>
                                    <w:rFonts w:ascii="Cambria Math" w:eastAsia="Cambria Math" w:hAnsi="Cambria Math" w:cs="Arial"/>
                                  </w:rPr>
                                  <m:t>100</m:t>
                                </m:r>
                              </m:num>
                              <m:den>
                                <m:sSub>
                                  <m:sSubPr>
                                    <m:ctrlPr>
                                      <w:rPr>
                                        <w:rFonts w:ascii="Cambria Math" w:eastAsia="Cambria Math" w:hAnsi="Cambria Math" w:cs="Arial"/>
                                        <w:b/>
                                        <w:bCs/>
                                      </w:rPr>
                                    </m:ctrlPr>
                                  </m:sSubPr>
                                  <m:e>
                                    <m:r>
                                      <m:rPr>
                                        <m:sty m:val="bi"/>
                                      </m:rPr>
                                      <w:rPr>
                                        <w:rFonts w:ascii="Cambria Math" w:eastAsia="Cambria Math" w:hAnsi="Cambria Math" w:cs="Arial"/>
                                      </w:rPr>
                                      <m:t>M</m:t>
                                    </m:r>
                                  </m:e>
                                  <m:sub>
                                    <m:r>
                                      <m:rPr>
                                        <m:sty m:val="bi"/>
                                      </m:rPr>
                                      <w:rPr>
                                        <w:rFonts w:ascii="Cambria Math" w:eastAsia="Cambria Math" w:hAnsi="Cambria Math" w:cs="Arial"/>
                                      </w:rPr>
                                      <m:t>N</m:t>
                                    </m:r>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3</m:t>
                                        </m:r>
                                      </m:sub>
                                    </m:sSub>
                                  </m:sub>
                                </m:sSub>
                              </m:den>
                            </m:f>
                          </m:e>
                        </m:d>
                      </m:e>
                      <m:sup>
                        <m:r>
                          <m:rPr>
                            <m:sty m:val="bi"/>
                          </m:rPr>
                          <w:rPr>
                            <w:rFonts w:ascii="Cambria Math" w:eastAsia="Cambria Math" w:hAnsi="Cambria Math" w:cs="Arial"/>
                          </w:rPr>
                          <m:t>0.6</m:t>
                        </m:r>
                      </m:sup>
                    </m:sSup>
                  </m:den>
                </m:f>
              </m:oMath>
            </m:oMathPara>
          </w:p>
        </w:tc>
        <w:tc>
          <w:tcPr>
            <w:tcW w:w="870" w:type="dxa"/>
            <w:shd w:val="clear" w:color="auto" w:fill="auto"/>
            <w:tcMar>
              <w:top w:w="100" w:type="dxa"/>
              <w:left w:w="100" w:type="dxa"/>
              <w:bottom w:w="100" w:type="dxa"/>
              <w:right w:w="100" w:type="dxa"/>
            </w:tcMar>
            <w:vAlign w:val="center"/>
          </w:tcPr>
          <w:p w14:paraId="75825CA6" w14:textId="77777777" w:rsidR="00DA7E40" w:rsidRPr="00D800F0" w:rsidRDefault="00DA7E40" w:rsidP="0000614D">
            <w:pPr>
              <w:pStyle w:val="Caption"/>
              <w:spacing w:after="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5</w:t>
            </w:r>
            <w:r w:rsidRPr="00D800F0">
              <w:rPr>
                <w:rFonts w:ascii="Arial" w:hAnsi="Arial" w:cs="Arial"/>
                <w:noProof/>
              </w:rPr>
              <w:fldChar w:fldCharType="end"/>
            </w:r>
            <w:r w:rsidRPr="00D800F0">
              <w:rPr>
                <w:rFonts w:ascii="Arial" w:hAnsi="Arial" w:cs="Arial"/>
              </w:rPr>
              <w:t>)</w:t>
            </w:r>
          </w:p>
        </w:tc>
      </w:tr>
    </w:tbl>
    <w:p w14:paraId="38E25195" w14:textId="1E717B0C" w:rsidR="00DA7E40" w:rsidRPr="00D800F0" w:rsidRDefault="00DA7E40" w:rsidP="00DA7E40">
      <w:pPr>
        <w:ind w:firstLine="720"/>
        <w:rPr>
          <w:rFonts w:ascii="Arial" w:hAnsi="Arial" w:cs="Arial"/>
        </w:rPr>
      </w:pP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r w:rsidRPr="00D800F0">
        <w:rPr>
          <w:rFonts w:ascii="Arial" w:hAnsi="Arial" w:cs="Arial"/>
          <w:b/>
        </w:rPr>
        <w:t xml:space="preserve"> </w:t>
      </w:r>
      <w:r w:rsidRPr="00D800F0">
        <w:rPr>
          <w:rFonts w:ascii="Arial" w:hAnsi="Arial" w:cs="Arial"/>
        </w:rPr>
        <w:t xml:space="preserve">and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sub>
        </m:sSub>
      </m:oMath>
      <w:r w:rsidRPr="00D800F0">
        <w:rPr>
          <w:rFonts w:ascii="Arial" w:hAnsi="Arial" w:cs="Arial"/>
          <w:b/>
        </w:rPr>
        <w:t xml:space="preserve"> </w:t>
      </w:r>
      <w:r w:rsidRPr="00D800F0">
        <w:rPr>
          <w:rFonts w:ascii="Arial" w:hAnsi="Arial" w:cs="Arial"/>
        </w:rPr>
        <w:t xml:space="preserve">were calculated using equations </w:t>
      </w:r>
      <w:r w:rsidRPr="00D800F0">
        <w:rPr>
          <w:rFonts w:ascii="Arial" w:hAnsi="Arial" w:cs="Arial"/>
        </w:rPr>
        <w:fldChar w:fldCharType="begin"/>
      </w:r>
      <w:r w:rsidRPr="00D800F0">
        <w:rPr>
          <w:rFonts w:ascii="Arial" w:hAnsi="Arial" w:cs="Arial"/>
        </w:rPr>
        <w:instrText xml:space="preserve"> REF _Ref146909177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w:t>
      </w:r>
      <w:r w:rsidRPr="00D800F0">
        <w:rPr>
          <w:rFonts w:ascii="Arial" w:hAnsi="Arial" w:cs="Arial"/>
          <w:noProof/>
        </w:rPr>
        <w:t>B</w:t>
      </w:r>
      <w:r w:rsidRPr="00D800F0">
        <w:rPr>
          <w:rFonts w:ascii="Arial" w:hAnsi="Arial" w:cs="Arial"/>
        </w:rPr>
        <w:t>.</w:t>
      </w:r>
      <w:r w:rsidRPr="00D800F0">
        <w:rPr>
          <w:rFonts w:ascii="Arial" w:hAnsi="Arial" w:cs="Arial"/>
          <w:noProof/>
        </w:rPr>
        <w:t>6</w:t>
      </w:r>
      <w:r w:rsidRPr="00D800F0">
        <w:rPr>
          <w:rFonts w:ascii="Arial" w:hAnsi="Arial" w:cs="Arial"/>
        </w:rPr>
        <w:t>)</w:t>
      </w:r>
      <w:r w:rsidRPr="00D800F0">
        <w:rPr>
          <w:rFonts w:ascii="Arial" w:hAnsi="Arial" w:cs="Arial"/>
        </w:rPr>
        <w:fldChar w:fldCharType="end"/>
      </w:r>
      <w:r w:rsidRPr="00D800F0">
        <w:rPr>
          <w:rFonts w:ascii="Arial" w:hAnsi="Arial" w:cs="Arial"/>
        </w:rPr>
        <w:t xml:space="preserve"> and </w:t>
      </w:r>
      <w:r w:rsidRPr="00D800F0">
        <w:rPr>
          <w:rFonts w:ascii="Arial" w:hAnsi="Arial" w:cs="Arial"/>
        </w:rPr>
        <w:fldChar w:fldCharType="begin"/>
      </w:r>
      <w:r w:rsidRPr="00D800F0">
        <w:rPr>
          <w:rFonts w:ascii="Arial" w:hAnsi="Arial" w:cs="Arial"/>
        </w:rPr>
        <w:instrText xml:space="preserve"> REF _Ref146909181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w:t>
      </w:r>
      <w:r w:rsidRPr="00D800F0">
        <w:rPr>
          <w:rFonts w:ascii="Arial" w:hAnsi="Arial" w:cs="Arial"/>
          <w:noProof/>
        </w:rPr>
        <w:t>B</w:t>
      </w:r>
      <w:r w:rsidRPr="00D800F0">
        <w:rPr>
          <w:rFonts w:ascii="Arial" w:hAnsi="Arial" w:cs="Arial"/>
        </w:rPr>
        <w:t>.</w:t>
      </w:r>
      <w:r w:rsidRPr="00D800F0">
        <w:rPr>
          <w:rFonts w:ascii="Arial" w:hAnsi="Arial" w:cs="Arial"/>
          <w:noProof/>
        </w:rPr>
        <w:t>7</w:t>
      </w:r>
      <w:r w:rsidRPr="00D800F0">
        <w:rPr>
          <w:rFonts w:ascii="Arial" w:hAnsi="Arial" w:cs="Arial"/>
        </w:rPr>
        <w:t>)</w:t>
      </w:r>
      <w:r w:rsidRPr="00D800F0">
        <w:rPr>
          <w:rFonts w:ascii="Arial" w:hAnsi="Arial" w:cs="Arial"/>
        </w:rPr>
        <w:fldChar w:fldCharType="end"/>
      </w:r>
      <w:r w:rsidRPr="00D800F0">
        <w:rPr>
          <w:rFonts w:ascii="Arial" w:hAnsi="Arial" w:cs="Arial"/>
        </w:rPr>
        <w:t>.</w:t>
      </w:r>
    </w:p>
    <w:tbl>
      <w:tblPr>
        <w:tblW w:w="9360" w:type="dxa"/>
        <w:tblLayout w:type="fixed"/>
        <w:tblLook w:val="0600" w:firstRow="0" w:lastRow="0" w:firstColumn="0" w:lastColumn="0" w:noHBand="1" w:noVBand="1"/>
      </w:tblPr>
      <w:tblGrid>
        <w:gridCol w:w="8550"/>
        <w:gridCol w:w="810"/>
      </w:tblGrid>
      <w:tr w:rsidR="00DA7E40" w:rsidRPr="00D800F0" w14:paraId="7818392A" w14:textId="77777777" w:rsidTr="0000614D">
        <w:trPr>
          <w:cantSplit/>
        </w:trPr>
        <w:tc>
          <w:tcPr>
            <w:tcW w:w="8550" w:type="dxa"/>
            <w:shd w:val="clear" w:color="auto" w:fill="auto"/>
            <w:tcMar>
              <w:top w:w="100" w:type="dxa"/>
              <w:left w:w="100" w:type="dxa"/>
              <w:bottom w:w="100" w:type="dxa"/>
              <w:right w:w="100" w:type="dxa"/>
            </w:tcMar>
            <w:vAlign w:val="center"/>
          </w:tcPr>
          <w:p w14:paraId="5D609725"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r>
                  <m:rPr>
                    <m:sty m:val="bi"/>
                  </m:rPr>
                  <w:rPr>
                    <w:rFonts w:ascii="Cambria Math" w:eastAsia="Cambria Math" w:hAnsi="Cambria Math" w:cs="Arial"/>
                  </w:rPr>
                  <m:t>=</m:t>
                </m:r>
                <m:nary>
                  <m:naryPr>
                    <m:chr m:val="∑"/>
                    <m:ctrlPr>
                      <w:rPr>
                        <w:rFonts w:ascii="Cambria Math" w:eastAsia="Cambria Math" w:hAnsi="Cambria Math" w:cs="Arial"/>
                        <w:b/>
                        <w:bCs/>
                      </w:rPr>
                    </m:ctrlPr>
                  </m:naryPr>
                  <m:sub>
                    <m:r>
                      <m:rPr>
                        <m:sty m:val="bi"/>
                      </m:rPr>
                      <w:rPr>
                        <w:rFonts w:ascii="Cambria Math" w:eastAsia="Cambria Math" w:hAnsi="Cambria Math" w:cs="Arial"/>
                      </w:rPr>
                      <m:t>n=0</m:t>
                    </m:r>
                  </m:sub>
                  <m:sup>
                    <m:r>
                      <m:rPr>
                        <m:sty m:val="bi"/>
                      </m:rPr>
                      <w:rPr>
                        <w:rFonts w:ascii="Cambria Math" w:eastAsia="Cambria Math" w:hAnsi="Cambria Math" w:cs="Arial"/>
                      </w:rPr>
                      <m:t>N</m:t>
                    </m:r>
                  </m:sup>
                  <m:e>
                    <m:sSub>
                      <m:sSubPr>
                        <m:ctrlPr>
                          <w:rPr>
                            <w:rFonts w:ascii="Cambria Math" w:eastAsia="Cambria Math" w:hAnsi="Cambria Math" w:cs="Arial"/>
                            <w:b/>
                            <w:bCs/>
                          </w:rPr>
                        </m:ctrlPr>
                      </m:sSubPr>
                      <m:e>
                        <m:r>
                          <m:rPr>
                            <m:sty m:val="bi"/>
                          </m:rPr>
                          <w:rPr>
                            <w:rFonts w:ascii="Cambria Math" w:eastAsia="Cambria Math" w:hAnsi="Cambria Math" w:cs="Arial"/>
                          </w:rPr>
                          <m:t>m</m:t>
                        </m:r>
                      </m:e>
                      <m:sub>
                        <m:r>
                          <m:rPr>
                            <m:sty m:val="bi"/>
                          </m:rPr>
                          <w:rPr>
                            <w:rFonts w:ascii="Cambria Math" w:eastAsia="Cambria Math" w:hAnsi="Cambria Math" w:cs="Arial"/>
                          </w:rPr>
                          <m:t>n</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P</m:t>
                        </m:r>
                      </m:e>
                      <m:sub>
                        <m:d>
                          <m:dPr>
                            <m:ctrlPr>
                              <w:rPr>
                                <w:rFonts w:ascii="Cambria Math" w:eastAsia="Cambria Math" w:hAnsi="Cambria Math" w:cs="Arial"/>
                                <w:b/>
                                <w:bCs/>
                              </w:rPr>
                            </m:ctrlPr>
                          </m:dPr>
                          <m:e>
                            <m:r>
                              <m:rPr>
                                <m:sty m:val="bi"/>
                              </m:rPr>
                              <w:rPr>
                                <w:rFonts w:ascii="Cambria Math" w:eastAsia="Cambria Math" w:hAnsi="Cambria Math" w:cs="Arial"/>
                              </w:rPr>
                              <m:t>n,</m:t>
                            </m:r>
                            <m:sSub>
                              <m:sSubPr>
                                <m:ctrlPr>
                                  <w:rPr>
                                    <w:rFonts w:ascii="Cambria Math" w:eastAsia="Cambria Math" w:hAnsi="Cambria Math" w:cs="Arial"/>
                                    <w:b/>
                                    <w:bCs/>
                                  </w:rPr>
                                </m:ctrlPr>
                              </m:sSubPr>
                              <m:e>
                                <m:r>
                                  <m:rPr>
                                    <m:sty m:val="bi"/>
                                  </m:rPr>
                                  <w:rPr>
                                    <w:rFonts w:ascii="Cambria Math" w:eastAsia="Cambria Math" w:hAnsi="Cambria Math" w:cs="Arial"/>
                                  </w:rPr>
                                  <m:t>t</m:t>
                                </m:r>
                              </m:e>
                              <m:sub>
                                <m:r>
                                  <m:rPr>
                                    <m:sty m:val="bi"/>
                                  </m:rPr>
                                  <w:rPr>
                                    <w:rFonts w:ascii="Cambria Math" w:eastAsia="Cambria Math" w:hAnsi="Cambria Math" w:cs="Arial"/>
                                  </w:rPr>
                                  <m:t>0</m:t>
                                </m:r>
                              </m:sub>
                            </m:sSub>
                            <m:r>
                              <m:rPr>
                                <m:sty m:val="bi"/>
                              </m:rPr>
                              <w:rPr>
                                <w:rFonts w:ascii="Cambria Math" w:eastAsia="Cambria Math" w:hAnsi="Cambria Math" w:cs="Arial"/>
                              </w:rPr>
                              <m:t>,j</m:t>
                            </m:r>
                          </m:e>
                        </m:d>
                      </m:sub>
                    </m:sSub>
                    <m:r>
                      <m:rPr>
                        <m:sty m:val="bi"/>
                      </m:rPr>
                      <w:rPr>
                        <w:rFonts w:ascii="Cambria Math" w:eastAsia="Cambria Math" w:hAnsi="Cambria Math" w:cs="Arial"/>
                      </w:rPr>
                      <m:t>*</m:t>
                    </m:r>
                    <m:sSup>
                      <m:sSupPr>
                        <m:ctrlPr>
                          <w:rPr>
                            <w:rFonts w:ascii="Cambria Math" w:eastAsia="Cambria Math" w:hAnsi="Cambria Math" w:cs="Arial"/>
                            <w:b/>
                            <w:bCs/>
                          </w:rPr>
                        </m:ctrlPr>
                      </m:sSupPr>
                      <m:e>
                        <m:d>
                          <m:dPr>
                            <m:ctrlPr>
                              <w:rPr>
                                <w:rFonts w:ascii="Cambria Math" w:eastAsia="Cambria Math" w:hAnsi="Cambria Math" w:cs="Arial"/>
                                <w:b/>
                                <w:bCs/>
                              </w:rPr>
                            </m:ctrlPr>
                          </m:dPr>
                          <m:e>
                            <m:f>
                              <m:fPr>
                                <m:ctrlPr>
                                  <w:rPr>
                                    <w:rFonts w:ascii="Cambria Math" w:eastAsia="Cambria Math" w:hAnsi="Cambria Math" w:cs="Arial"/>
                                    <w:b/>
                                    <w:bCs/>
                                  </w:rPr>
                                </m:ctrlPr>
                              </m:fPr>
                              <m:num>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n</m:t>
                                    </m:r>
                                  </m:sub>
                                </m:sSub>
                              </m:num>
                              <m:den>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n</m:t>
                                    </m:r>
                                    <m:r>
                                      <m:rPr>
                                        <m:sty m:val="bi"/>
                                      </m:rPr>
                                      <w:rPr>
                                        <w:rFonts w:ascii="Cambria Math" w:eastAsia="Cambria Math" w:hAnsi="Cambria Math" w:cs="Arial"/>
                                      </w:rPr>
                                      <m:t>0</m:t>
                                    </m:r>
                                  </m:sub>
                                </m:sSub>
                              </m:den>
                            </m:f>
                          </m:e>
                        </m:d>
                      </m:e>
                      <m:sup>
                        <m:r>
                          <m:rPr>
                            <m:sty m:val="bi"/>
                          </m:rPr>
                          <w:rPr>
                            <w:rFonts w:ascii="Cambria Math" w:eastAsia="Cambria Math" w:hAnsi="Cambria Math" w:cs="Arial"/>
                          </w:rPr>
                          <m:t>f</m:t>
                        </m:r>
                      </m:sup>
                    </m:sSup>
                    <m:r>
                      <m:rPr>
                        <m:sty m:val="bi"/>
                      </m:rPr>
                      <w:rPr>
                        <w:rFonts w:ascii="Cambria Math" w:eastAsia="Cambria Math" w:hAnsi="Cambria Math" w:cs="Arial"/>
                      </w:rPr>
                      <m:t>*</m:t>
                    </m:r>
                    <m:d>
                      <m:dPr>
                        <m:ctrlPr>
                          <w:rPr>
                            <w:rFonts w:ascii="Cambria Math" w:eastAsia="Cambria Math" w:hAnsi="Cambria Math" w:cs="Arial"/>
                            <w:b/>
                            <w:bCs/>
                          </w:rPr>
                        </m:ctrlPr>
                      </m:dPr>
                      <m:e>
                        <m:f>
                          <m:fPr>
                            <m:ctrlPr>
                              <w:rPr>
                                <w:rFonts w:ascii="Cambria Math" w:eastAsia="Cambria Math" w:hAnsi="Cambria Math" w:cs="Arial"/>
                                <w:b/>
                                <w:bCs/>
                              </w:rPr>
                            </m:ctrlPr>
                          </m:fPr>
                          <m:num>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2023</m:t>
                                </m:r>
                              </m:sub>
                            </m:sSub>
                          </m:num>
                          <m:den>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t</m:t>
                                    </m:r>
                                  </m:e>
                                  <m:sub>
                                    <m:r>
                                      <m:rPr>
                                        <m:sty m:val="bi"/>
                                      </m:rPr>
                                      <w:rPr>
                                        <w:rFonts w:ascii="Cambria Math" w:eastAsia="Cambria Math" w:hAnsi="Cambria Math" w:cs="Arial"/>
                                      </w:rPr>
                                      <m:t>0</m:t>
                                    </m:r>
                                  </m:sub>
                                </m:sSub>
                              </m:sub>
                            </m:sSub>
                          </m:den>
                        </m:f>
                      </m:e>
                    </m:d>
                  </m:e>
                </m:nary>
              </m:oMath>
            </m:oMathPara>
          </w:p>
        </w:tc>
        <w:tc>
          <w:tcPr>
            <w:tcW w:w="810" w:type="dxa"/>
            <w:shd w:val="clear" w:color="auto" w:fill="auto"/>
            <w:tcMar>
              <w:top w:w="100" w:type="dxa"/>
              <w:left w:w="100" w:type="dxa"/>
              <w:bottom w:w="100" w:type="dxa"/>
              <w:right w:w="100" w:type="dxa"/>
            </w:tcMar>
            <w:vAlign w:val="center"/>
          </w:tcPr>
          <w:p w14:paraId="5D93545C" w14:textId="77777777" w:rsidR="00DA7E40" w:rsidRPr="00D800F0" w:rsidRDefault="00DA7E40" w:rsidP="0000614D">
            <w:pPr>
              <w:pStyle w:val="Caption"/>
              <w:spacing w:after="0"/>
              <w:jc w:val="center"/>
              <w:rPr>
                <w:rFonts w:ascii="Arial" w:hAnsi="Arial" w:cs="Arial"/>
              </w:rPr>
            </w:pPr>
            <w:bookmarkStart w:id="24" w:name="_Ref146909177"/>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6</w:t>
            </w:r>
            <w:r w:rsidRPr="00D800F0">
              <w:rPr>
                <w:rFonts w:ascii="Arial" w:hAnsi="Arial" w:cs="Arial"/>
                <w:noProof/>
              </w:rPr>
              <w:fldChar w:fldCharType="end"/>
            </w:r>
            <w:r w:rsidRPr="00D800F0">
              <w:rPr>
                <w:rFonts w:ascii="Arial" w:hAnsi="Arial" w:cs="Arial"/>
              </w:rPr>
              <w:t>)</w:t>
            </w:r>
            <w:bookmarkEnd w:id="24"/>
          </w:p>
        </w:tc>
      </w:tr>
      <w:tr w:rsidR="00DA7E40" w:rsidRPr="00D800F0" w14:paraId="21CD183E" w14:textId="77777777" w:rsidTr="0000614D">
        <w:trPr>
          <w:cantSplit/>
        </w:trPr>
        <w:tc>
          <w:tcPr>
            <w:tcW w:w="8550" w:type="dxa"/>
            <w:shd w:val="clear" w:color="auto" w:fill="auto"/>
            <w:tcMar>
              <w:top w:w="100" w:type="dxa"/>
              <w:left w:w="100" w:type="dxa"/>
              <w:bottom w:w="100" w:type="dxa"/>
              <w:right w:w="100" w:type="dxa"/>
            </w:tcMar>
            <w:vAlign w:val="center"/>
          </w:tcPr>
          <w:p w14:paraId="5456081A"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sub>
                </m:sSub>
                <m:r>
                  <m:rPr>
                    <m:sty m:val="bi"/>
                  </m:rPr>
                  <w:rPr>
                    <w:rFonts w:ascii="Cambria Math" w:eastAsia="Cambria Math" w:hAnsi="Cambria Math" w:cs="Arial"/>
                  </w:rPr>
                  <m:t>=</m:t>
                </m:r>
                <m:nary>
                  <m:naryPr>
                    <m:chr m:val="∑"/>
                    <m:ctrlPr>
                      <w:rPr>
                        <w:rFonts w:ascii="Cambria Math" w:eastAsia="Cambria Math" w:hAnsi="Cambria Math" w:cs="Arial"/>
                        <w:b/>
                        <w:bCs/>
                      </w:rPr>
                    </m:ctrlPr>
                  </m:naryPr>
                  <m:sub>
                    <m:r>
                      <m:rPr>
                        <m:sty m:val="bi"/>
                      </m:rPr>
                      <w:rPr>
                        <w:rFonts w:ascii="Cambria Math" w:eastAsia="Cambria Math" w:hAnsi="Cambria Math" w:cs="Arial"/>
                      </w:rPr>
                      <m:t>n</m:t>
                    </m:r>
                  </m:sub>
                  <m:sup>
                    <m:r>
                      <m:rPr>
                        <m:sty m:val="bi"/>
                      </m:rPr>
                      <w:rPr>
                        <w:rFonts w:ascii="Cambria Math" w:eastAsia="Cambria Math" w:hAnsi="Cambria Math" w:cs="Arial"/>
                      </w:rPr>
                      <m:t>N</m:t>
                    </m:r>
                  </m:sup>
                  <m:e>
                    <m:sSub>
                      <m:sSubPr>
                        <m:ctrlPr>
                          <w:rPr>
                            <w:rFonts w:ascii="Cambria Math" w:eastAsia="Cambria Math" w:hAnsi="Cambria Math" w:cs="Arial"/>
                            <w:b/>
                            <w:bCs/>
                          </w:rPr>
                        </m:ctrlPr>
                      </m:sSubPr>
                      <m:e>
                        <m:r>
                          <m:rPr>
                            <m:sty m:val="bi"/>
                          </m:rPr>
                          <w:rPr>
                            <w:rFonts w:ascii="Cambria Math" w:eastAsia="Cambria Math" w:hAnsi="Cambria Math" w:cs="Arial"/>
                          </w:rPr>
                          <m:t>m</m:t>
                        </m:r>
                      </m:e>
                      <m:sub>
                        <m:r>
                          <m:rPr>
                            <m:sty m:val="bi"/>
                          </m:rPr>
                          <w:rPr>
                            <w:rFonts w:ascii="Cambria Math" w:eastAsia="Cambria Math" w:hAnsi="Cambria Math" w:cs="Arial"/>
                          </w:rPr>
                          <m:t>n</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P</m:t>
                        </m:r>
                      </m:e>
                      <m:sub>
                        <m:d>
                          <m:dPr>
                            <m:ctrlPr>
                              <w:rPr>
                                <w:rFonts w:ascii="Cambria Math" w:eastAsia="Cambria Math" w:hAnsi="Cambria Math" w:cs="Arial"/>
                                <w:b/>
                                <w:bCs/>
                              </w:rPr>
                            </m:ctrlPr>
                          </m:dPr>
                          <m:e>
                            <m:sSub>
                              <m:sSubPr>
                                <m:ctrlPr>
                                  <w:rPr>
                                    <w:rFonts w:ascii="Cambria Math" w:eastAsia="Cambria Math" w:hAnsi="Cambria Math" w:cs="Arial"/>
                                    <w:b/>
                                    <w:bCs/>
                                  </w:rPr>
                                </m:ctrlPr>
                              </m:sSubPr>
                              <m:e>
                                <m:r>
                                  <m:rPr>
                                    <m:sty m:val="bi"/>
                                  </m:rPr>
                                  <w:rPr>
                                    <w:rFonts w:ascii="Cambria Math" w:eastAsia="Cambria Math" w:hAnsi="Cambria Math" w:cs="Arial"/>
                                  </w:rPr>
                                  <m:t>n</m:t>
                                </m:r>
                              </m:e>
                              <m:sub>
                                <m:r>
                                  <m:rPr>
                                    <m:sty m:val="bi"/>
                                  </m:rPr>
                                  <w:rPr>
                                    <w:rFonts w:ascii="Cambria Math" w:eastAsia="Cambria Math" w:hAnsi="Cambria Math" w:cs="Arial"/>
                                  </w:rPr>
                                  <m:t>0</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t</m:t>
                                </m:r>
                              </m:e>
                              <m:sub>
                                <m:r>
                                  <m:rPr>
                                    <m:sty m:val="bi"/>
                                  </m:rPr>
                                  <w:rPr>
                                    <w:rFonts w:ascii="Cambria Math" w:eastAsia="Cambria Math" w:hAnsi="Cambria Math" w:cs="Arial"/>
                                  </w:rPr>
                                  <m:t>0</m:t>
                                </m:r>
                              </m:sub>
                            </m:sSub>
                            <m:r>
                              <m:rPr>
                                <m:sty m:val="bi"/>
                              </m:rPr>
                              <w:rPr>
                                <w:rFonts w:ascii="Cambria Math" w:eastAsia="Cambria Math" w:hAnsi="Cambria Math" w:cs="Arial"/>
                              </w:rPr>
                              <m:t>,j</m:t>
                            </m:r>
                          </m:e>
                        </m:d>
                      </m:sub>
                    </m:sSub>
                    <m:r>
                      <m:rPr>
                        <m:sty m:val="bi"/>
                      </m:rPr>
                      <w:rPr>
                        <w:rFonts w:ascii="Cambria Math" w:eastAsia="Cambria Math" w:hAnsi="Cambria Math" w:cs="Arial"/>
                      </w:rPr>
                      <m:t>*</m:t>
                    </m:r>
                    <m:sSup>
                      <m:sSupPr>
                        <m:ctrlPr>
                          <w:rPr>
                            <w:rFonts w:ascii="Cambria Math" w:eastAsia="Cambria Math" w:hAnsi="Cambria Math" w:cs="Arial"/>
                            <w:b/>
                            <w:bCs/>
                          </w:rPr>
                        </m:ctrlPr>
                      </m:sSupPr>
                      <m:e>
                        <m:d>
                          <m:dPr>
                            <m:ctrlPr>
                              <w:rPr>
                                <w:rFonts w:ascii="Cambria Math" w:eastAsia="Cambria Math" w:hAnsi="Cambria Math" w:cs="Arial"/>
                                <w:b/>
                                <w:bCs/>
                              </w:rPr>
                            </m:ctrlPr>
                          </m:dPr>
                          <m:e>
                            <m:f>
                              <m:fPr>
                                <m:ctrlPr>
                                  <w:rPr>
                                    <w:rFonts w:ascii="Cambria Math" w:eastAsia="Cambria Math" w:hAnsi="Cambria Math" w:cs="Arial"/>
                                    <w:b/>
                                    <w:bCs/>
                                  </w:rPr>
                                </m:ctrlPr>
                              </m:fPr>
                              <m:num>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n</m:t>
                                    </m:r>
                                  </m:sub>
                                </m:sSub>
                              </m:num>
                              <m:den>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n</m:t>
                                    </m:r>
                                    <m:r>
                                      <m:rPr>
                                        <m:sty m:val="bi"/>
                                      </m:rPr>
                                      <w:rPr>
                                        <w:rFonts w:ascii="Cambria Math" w:eastAsia="Cambria Math" w:hAnsi="Cambria Math" w:cs="Arial"/>
                                      </w:rPr>
                                      <m:t>0</m:t>
                                    </m:r>
                                  </m:sub>
                                </m:sSub>
                              </m:den>
                            </m:f>
                          </m:e>
                        </m:d>
                      </m:e>
                      <m:sup>
                        <m:r>
                          <m:rPr>
                            <m:sty m:val="bi"/>
                          </m:rPr>
                          <w:rPr>
                            <w:rFonts w:ascii="Cambria Math" w:eastAsia="Cambria Math" w:hAnsi="Cambria Math" w:cs="Arial"/>
                          </w:rPr>
                          <m:t>f</m:t>
                        </m:r>
                      </m:sup>
                    </m:sSup>
                    <m:r>
                      <m:rPr>
                        <m:sty m:val="bi"/>
                      </m:rPr>
                      <w:rPr>
                        <w:rFonts w:ascii="Cambria Math" w:eastAsia="Cambria Math" w:hAnsi="Cambria Math" w:cs="Arial"/>
                      </w:rPr>
                      <m:t>*</m:t>
                    </m:r>
                    <m:d>
                      <m:dPr>
                        <m:ctrlPr>
                          <w:rPr>
                            <w:rFonts w:ascii="Cambria Math" w:eastAsia="Cambria Math" w:hAnsi="Cambria Math" w:cs="Arial"/>
                            <w:b/>
                            <w:bCs/>
                          </w:rPr>
                        </m:ctrlPr>
                      </m:dPr>
                      <m:e>
                        <m:r>
                          <m:rPr>
                            <m:sty m:val="bi"/>
                          </m:rPr>
                          <w:rPr>
                            <w:rFonts w:ascii="Cambria Math" w:eastAsia="Cambria Math" w:hAnsi="Cambria Math" w:cs="Arial"/>
                          </w:rPr>
                          <m:t>1+i</m:t>
                        </m:r>
                      </m:e>
                    </m:d>
                    <m:r>
                      <m:rPr>
                        <m:sty m:val="bi"/>
                      </m:rPr>
                      <w:rPr>
                        <w:rFonts w:ascii="Cambria Math" w:eastAsia="Cambria Math" w:hAnsi="Cambria Math" w:cs="Arial"/>
                      </w:rPr>
                      <m:t>*</m:t>
                    </m:r>
                    <m:d>
                      <m:dPr>
                        <m:ctrlPr>
                          <w:rPr>
                            <w:rFonts w:ascii="Cambria Math" w:eastAsia="Cambria Math" w:hAnsi="Cambria Math" w:cs="Arial"/>
                            <w:b/>
                            <w:bCs/>
                          </w:rPr>
                        </m:ctrlPr>
                      </m:dPr>
                      <m:e>
                        <m:f>
                          <m:fPr>
                            <m:ctrlPr>
                              <w:rPr>
                                <w:rFonts w:ascii="Cambria Math" w:eastAsia="Cambria Math" w:hAnsi="Cambria Math" w:cs="Arial"/>
                                <w:b/>
                                <w:bCs/>
                              </w:rPr>
                            </m:ctrlPr>
                          </m:fPr>
                          <m:num>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2023</m:t>
                                </m:r>
                              </m:sub>
                            </m:sSub>
                          </m:num>
                          <m:den>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t</m:t>
                                    </m:r>
                                  </m:e>
                                  <m:sub>
                                    <m:r>
                                      <m:rPr>
                                        <m:sty m:val="bi"/>
                                      </m:rPr>
                                      <w:rPr>
                                        <w:rFonts w:ascii="Cambria Math" w:eastAsia="Cambria Math" w:hAnsi="Cambria Math" w:cs="Arial"/>
                                      </w:rPr>
                                      <m:t>0</m:t>
                                    </m:r>
                                  </m:sub>
                                </m:sSub>
                              </m:sub>
                            </m:sSub>
                          </m:den>
                        </m:f>
                      </m:e>
                    </m:d>
                  </m:e>
                </m:nary>
              </m:oMath>
            </m:oMathPara>
          </w:p>
        </w:tc>
        <w:tc>
          <w:tcPr>
            <w:tcW w:w="810" w:type="dxa"/>
            <w:shd w:val="clear" w:color="auto" w:fill="auto"/>
            <w:tcMar>
              <w:top w:w="100" w:type="dxa"/>
              <w:left w:w="100" w:type="dxa"/>
              <w:bottom w:w="100" w:type="dxa"/>
              <w:right w:w="100" w:type="dxa"/>
            </w:tcMar>
            <w:vAlign w:val="center"/>
          </w:tcPr>
          <w:p w14:paraId="0381B36D" w14:textId="77777777" w:rsidR="00DA7E40" w:rsidRPr="00D800F0" w:rsidRDefault="00DA7E40" w:rsidP="0000614D">
            <w:pPr>
              <w:pStyle w:val="Caption"/>
              <w:spacing w:after="0"/>
              <w:jc w:val="center"/>
              <w:rPr>
                <w:rFonts w:ascii="Arial" w:hAnsi="Arial" w:cs="Arial"/>
              </w:rPr>
            </w:pPr>
            <w:bookmarkStart w:id="25" w:name="_Ref146909181"/>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7</w:t>
            </w:r>
            <w:r w:rsidRPr="00D800F0">
              <w:rPr>
                <w:rFonts w:ascii="Arial" w:hAnsi="Arial" w:cs="Arial"/>
                <w:noProof/>
              </w:rPr>
              <w:fldChar w:fldCharType="end"/>
            </w:r>
            <w:r w:rsidRPr="00D800F0">
              <w:rPr>
                <w:rFonts w:ascii="Arial" w:hAnsi="Arial" w:cs="Arial"/>
              </w:rPr>
              <w:t>)</w:t>
            </w:r>
            <w:bookmarkEnd w:id="25"/>
          </w:p>
        </w:tc>
      </w:tr>
    </w:tbl>
    <w:p w14:paraId="5427CC7A" w14:textId="77777777" w:rsidR="00DA7E40" w:rsidRPr="00D800F0" w:rsidRDefault="00DA7E40" w:rsidP="00DA7E40">
      <w:pPr>
        <w:ind w:firstLine="720"/>
        <w:rPr>
          <w:rFonts w:ascii="Arial" w:hAnsi="Arial" w:cs="Arial"/>
        </w:rPr>
      </w:pP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r w:rsidRPr="00D800F0">
        <w:rPr>
          <w:rFonts w:ascii="Arial" w:hAnsi="Arial" w:cs="Arial"/>
          <w:b/>
        </w:rPr>
        <w:t xml:space="preserve"> </w:t>
      </w:r>
      <w:r w:rsidRPr="00D800F0">
        <w:rPr>
          <w:rFonts w:ascii="Arial" w:hAnsi="Arial" w:cs="Arial"/>
        </w:rPr>
        <w:t>and</w:t>
      </w:r>
      <w:r w:rsidRPr="00D800F0">
        <w:rPr>
          <w:rFonts w:ascii="Arial" w:hAnsi="Arial" w:cs="Arial"/>
          <w:b/>
          <w:bCs/>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sub>
        </m:sSub>
      </m:oMath>
      <w:r w:rsidRPr="00D800F0">
        <w:rPr>
          <w:rFonts w:ascii="Arial" w:hAnsi="Arial" w:cs="Arial"/>
          <w:b/>
        </w:rPr>
        <w:t xml:space="preserve"> </w:t>
      </w:r>
      <w:r w:rsidRPr="00D800F0">
        <w:rPr>
          <w:rFonts w:ascii="Arial" w:hAnsi="Arial" w:cs="Arial"/>
        </w:rPr>
        <w:t xml:space="preserve">are functions of the sum of the base-capacity uninstalled equipment costs </w:t>
      </w:r>
      <m:oMath>
        <m:sSub>
          <m:sSubPr>
            <m:ctrlPr>
              <w:rPr>
                <w:rFonts w:ascii="Cambria Math" w:eastAsia="Cambria Math" w:hAnsi="Cambria Math" w:cs="Arial"/>
                <w:b/>
                <w:bCs/>
              </w:rPr>
            </m:ctrlPr>
          </m:sSubPr>
          <m:e>
            <m:r>
              <m:rPr>
                <m:sty m:val="bi"/>
              </m:rPr>
              <w:rPr>
                <w:rFonts w:ascii="Cambria Math" w:eastAsia="Cambria Math" w:hAnsi="Cambria Math" w:cs="Arial"/>
              </w:rPr>
              <m:t>P</m:t>
            </m:r>
          </m:e>
          <m:sub>
            <m:d>
              <m:dPr>
                <m:ctrlPr>
                  <w:rPr>
                    <w:rFonts w:ascii="Cambria Math" w:eastAsia="Cambria Math" w:hAnsi="Cambria Math" w:cs="Arial"/>
                    <w:b/>
                    <w:bCs/>
                  </w:rPr>
                </m:ctrlPr>
              </m:dPr>
              <m:e>
                <m:sSub>
                  <m:sSubPr>
                    <m:ctrlPr>
                      <w:rPr>
                        <w:rFonts w:ascii="Cambria Math" w:eastAsia="Cambria Math" w:hAnsi="Cambria Math" w:cs="Arial"/>
                        <w:b/>
                        <w:bCs/>
                      </w:rPr>
                    </m:ctrlPr>
                  </m:sSubPr>
                  <m:e>
                    <m:r>
                      <m:rPr>
                        <m:sty m:val="bi"/>
                      </m:rPr>
                      <w:rPr>
                        <w:rFonts w:ascii="Cambria Math" w:eastAsia="Cambria Math" w:hAnsi="Cambria Math" w:cs="Arial"/>
                      </w:rPr>
                      <m:t>n</m:t>
                    </m:r>
                  </m:e>
                  <m:sub>
                    <m:r>
                      <m:rPr>
                        <m:sty m:val="bi"/>
                      </m:rPr>
                      <w:rPr>
                        <w:rFonts w:ascii="Cambria Math" w:eastAsia="Cambria Math" w:hAnsi="Cambria Math" w:cs="Arial"/>
                      </w:rPr>
                      <m:t>0</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t</m:t>
                    </m:r>
                  </m:e>
                  <m:sub>
                    <m:r>
                      <m:rPr>
                        <m:sty m:val="bi"/>
                      </m:rPr>
                      <w:rPr>
                        <w:rFonts w:ascii="Cambria Math" w:eastAsia="Cambria Math" w:hAnsi="Cambria Math" w:cs="Arial"/>
                      </w:rPr>
                      <m:t>0</m:t>
                    </m:r>
                  </m:sub>
                </m:sSub>
                <m:r>
                  <m:rPr>
                    <m:sty m:val="bi"/>
                  </m:rPr>
                  <w:rPr>
                    <w:rFonts w:ascii="Cambria Math" w:eastAsia="Cambria Math" w:hAnsi="Cambria Math" w:cs="Arial"/>
                  </w:rPr>
                  <m:t>,z</m:t>
                </m:r>
              </m:e>
            </m:d>
          </m:sub>
        </m:sSub>
      </m:oMath>
      <w:r w:rsidRPr="00D800F0">
        <w:rPr>
          <w:rFonts w:ascii="Arial" w:hAnsi="Arial" w:cs="Arial"/>
        </w:rPr>
        <w:t xml:space="preserve"> where </w:t>
      </w:r>
      <m:oMath>
        <m:sSub>
          <m:sSubPr>
            <m:ctrlPr>
              <w:rPr>
                <w:rFonts w:ascii="Cambria Math" w:eastAsia="Cambria Math" w:hAnsi="Cambria Math" w:cs="Arial"/>
                <w:b/>
                <w:bCs/>
              </w:rPr>
            </m:ctrlPr>
          </m:sSubPr>
          <m:e>
            <m:r>
              <m:rPr>
                <m:sty m:val="bi"/>
              </m:rPr>
              <w:rPr>
                <w:rFonts w:ascii="Cambria Math" w:eastAsia="Cambria Math" w:hAnsi="Cambria Math" w:cs="Arial"/>
              </w:rPr>
              <m:t>n</m:t>
            </m:r>
          </m:e>
          <m:sub>
            <m:r>
              <m:rPr>
                <m:sty m:val="bi"/>
              </m:rPr>
              <w:rPr>
                <w:rFonts w:ascii="Cambria Math" w:eastAsia="Cambria Math" w:hAnsi="Cambria Math" w:cs="Arial"/>
              </w:rPr>
              <m:t>0</m:t>
            </m:r>
          </m:sub>
        </m:sSub>
      </m:oMath>
      <w:r w:rsidRPr="00D800F0">
        <w:rPr>
          <w:rFonts w:ascii="Arial" w:hAnsi="Arial" w:cs="Arial"/>
          <w:b/>
        </w:rPr>
        <w:t xml:space="preserve"> </w:t>
      </w:r>
      <w:r w:rsidRPr="00D800F0">
        <w:rPr>
          <w:rFonts w:ascii="Arial" w:hAnsi="Arial" w:cs="Arial"/>
        </w:rPr>
        <w:t>denotes the name of the piece of equipment (see equipment list,</w:t>
      </w:r>
      <m:oMath>
        <m:r>
          <w:rPr>
            <w:rFonts w:ascii="Cambria Math" w:eastAsia="Cambria Math" w:hAnsi="Cambria Math" w:cs="Arial"/>
          </w:rPr>
          <m:t xml:space="preserve"> </m:t>
        </m:r>
        <m:r>
          <m:rPr>
            <m:sty m:val="bi"/>
          </m:rPr>
          <w:rPr>
            <w:rFonts w:ascii="Cambria Math" w:eastAsia="Cambria Math" w:hAnsi="Cambria Math" w:cs="Arial"/>
          </w:rPr>
          <m:t>N</m:t>
        </m:r>
      </m:oMath>
      <w:r w:rsidRPr="00D800F0">
        <w:rPr>
          <w:rFonts w:ascii="Arial" w:hAnsi="Arial" w:cs="Arial"/>
        </w:rPr>
        <w:t xml:space="preserve">, in Excel file named </w:t>
      </w:r>
      <w:r w:rsidRPr="00D800F0">
        <w:rPr>
          <w:rFonts w:ascii="Arial" w:hAnsi="Arial" w:cs="Arial"/>
          <w:b/>
          <w:bCs/>
          <w:i/>
          <w:iCs/>
        </w:rPr>
        <w:t>AP_NE_Equipment_List.xlsx</w:t>
      </w:r>
      <w:r w:rsidRPr="00D800F0">
        <w:rPr>
          <w:rFonts w:ascii="Arial" w:hAnsi="Arial" w:cs="Arial"/>
        </w:rPr>
        <w:t>)</w:t>
      </w:r>
      <w:r w:rsidRPr="00D800F0">
        <w:rPr>
          <w:rFonts w:ascii="Arial" w:hAnsi="Arial" w:cs="Arial"/>
          <w:vertAlign w:val="superscript"/>
        </w:rPr>
        <w:footnoteReference w:id="1"/>
      </w:r>
      <w:r w:rsidRPr="00D800F0">
        <w:rPr>
          <w:rFonts w:ascii="Arial" w:hAnsi="Arial" w:cs="Arial"/>
        </w:rPr>
        <w:t xml:space="preserve">, and </w:t>
      </w:r>
      <m:oMath>
        <m:sSub>
          <m:sSubPr>
            <m:ctrlPr>
              <w:rPr>
                <w:rFonts w:ascii="Cambria Math" w:eastAsia="Cambria Math" w:hAnsi="Cambria Math" w:cs="Arial"/>
                <w:b/>
                <w:bCs/>
              </w:rPr>
            </m:ctrlPr>
          </m:sSubPr>
          <m:e>
            <m:r>
              <m:rPr>
                <m:sty m:val="bi"/>
              </m:rPr>
              <w:rPr>
                <w:rFonts w:ascii="Cambria Math" w:eastAsia="Cambria Math" w:hAnsi="Cambria Math" w:cs="Arial"/>
              </w:rPr>
              <m:t>t</m:t>
            </m:r>
          </m:e>
          <m:sub>
            <m:r>
              <m:rPr>
                <m:sty m:val="bi"/>
              </m:rPr>
              <w:rPr>
                <w:rFonts w:ascii="Cambria Math" w:eastAsia="Cambria Math" w:hAnsi="Cambria Math" w:cs="Arial"/>
              </w:rPr>
              <m:t>0</m:t>
            </m:r>
          </m:sub>
        </m:sSub>
      </m:oMath>
      <w:r w:rsidRPr="00D800F0">
        <w:rPr>
          <w:rFonts w:ascii="Arial" w:hAnsi="Arial" w:cs="Arial"/>
          <w:b/>
        </w:rPr>
        <w:t xml:space="preserve"> </w:t>
      </w:r>
      <w:r w:rsidRPr="00D800F0">
        <w:rPr>
          <w:rFonts w:ascii="Arial" w:hAnsi="Arial" w:cs="Arial"/>
        </w:rPr>
        <w:t>is the time when the equipment cost was estimated.</w:t>
      </w:r>
      <w:r w:rsidRPr="00D800F0">
        <w:rPr>
          <w:rFonts w:ascii="Arial" w:eastAsia="Cambria Math" w:hAnsi="Arial" w:cs="Arial"/>
          <w:b/>
        </w:rPr>
        <w:t xml:space="preserve"> </w:t>
      </w:r>
      <m:oMath>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n</m:t>
            </m:r>
          </m:sub>
        </m:sSub>
      </m:oMath>
      <w:r w:rsidRPr="00D800F0">
        <w:rPr>
          <w:rFonts w:ascii="Arial" w:eastAsia="Cambria Math" w:hAnsi="Arial" w:cs="Arial"/>
          <w:b/>
        </w:rPr>
        <w:t xml:space="preserve"> </w:t>
      </w:r>
      <w:r w:rsidRPr="00D800F0">
        <w:rPr>
          <w:rFonts w:ascii="Arial" w:hAnsi="Arial" w:cs="Arial"/>
        </w:rPr>
        <w:t xml:space="preserve">is the required capacity of the piece of equipment. </w:t>
      </w:r>
      <m:oMath>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n</m:t>
            </m:r>
            <m:r>
              <m:rPr>
                <m:sty m:val="bi"/>
              </m:rPr>
              <w:rPr>
                <w:rFonts w:ascii="Cambria Math" w:eastAsia="Cambria Math" w:hAnsi="Cambria Math" w:cs="Arial"/>
              </w:rPr>
              <m:t>0</m:t>
            </m:r>
          </m:sub>
        </m:sSub>
      </m:oMath>
      <w:r w:rsidRPr="00D800F0">
        <w:rPr>
          <w:rFonts w:ascii="Arial" w:hAnsi="Arial" w:cs="Arial"/>
          <w:b/>
        </w:rPr>
        <w:t xml:space="preserve"> </w:t>
      </w:r>
      <w:r w:rsidRPr="00D800F0">
        <w:rPr>
          <w:rFonts w:ascii="Arial" w:hAnsi="Arial" w:cs="Arial"/>
        </w:rPr>
        <w:t xml:space="preserve">is the base equipment capacity. </w:t>
      </w:r>
      <m:oMath>
        <m:r>
          <m:rPr>
            <m:sty m:val="bi"/>
          </m:rPr>
          <w:rPr>
            <w:rFonts w:ascii="Cambria Math" w:eastAsia="Cambria Math" w:hAnsi="Cambria Math" w:cs="Arial"/>
          </w:rPr>
          <m:t>f</m:t>
        </m:r>
      </m:oMath>
      <w:r w:rsidRPr="00D800F0">
        <w:rPr>
          <w:rFonts w:ascii="Arial" w:hAnsi="Arial" w:cs="Arial"/>
          <w:b/>
        </w:rPr>
        <w:t xml:space="preserve"> </w:t>
      </w:r>
      <w:r w:rsidRPr="00D800F0">
        <w:rPr>
          <w:rFonts w:ascii="Arial" w:hAnsi="Arial" w:cs="Arial"/>
        </w:rPr>
        <w:t>are the economies of scale factor obtained from Peters et al. (2003) (also in the Excel file).</w:t>
      </w:r>
      <w:r w:rsidRPr="00D800F0">
        <w:rPr>
          <w:rFonts w:ascii="Arial" w:hAnsi="Arial" w:cs="Arial"/>
          <w:b/>
          <w:bCs/>
        </w:rPr>
        <w:t xml:space="preserve"> </w:t>
      </w:r>
      <m:oMath>
        <m:d>
          <m:dPr>
            <m:ctrlPr>
              <w:rPr>
                <w:rFonts w:ascii="Cambria Math" w:eastAsia="Cambria Math" w:hAnsi="Cambria Math" w:cs="Arial"/>
                <w:b/>
                <w:bCs/>
              </w:rPr>
            </m:ctrlPr>
          </m:dPr>
          <m:e>
            <m:r>
              <m:rPr>
                <m:sty m:val="bi"/>
              </m:rPr>
              <w:rPr>
                <w:rFonts w:ascii="Cambria Math" w:eastAsia="Cambria Math" w:hAnsi="Cambria Math" w:cs="Arial"/>
              </w:rPr>
              <m:t>1+i</m:t>
            </m:r>
          </m:e>
        </m:d>
      </m:oMath>
      <w:r w:rsidRPr="00D800F0">
        <w:rPr>
          <w:rFonts w:ascii="Arial" w:hAnsi="Arial" w:cs="Arial"/>
          <w:b/>
        </w:rPr>
        <w:t xml:space="preserve"> </w:t>
      </w:r>
      <w:r w:rsidRPr="00D800F0">
        <w:rPr>
          <w:rFonts w:ascii="Arial" w:hAnsi="Arial" w:cs="Arial"/>
        </w:rPr>
        <w:t xml:space="preserve">is the installation factor obtained from Peters et al. (2003). </w:t>
      </w:r>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2023</m:t>
            </m:r>
          </m:sub>
        </m:sSub>
      </m:oMath>
      <w:r w:rsidRPr="00D800F0">
        <w:rPr>
          <w:rFonts w:ascii="Arial" w:hAnsi="Arial" w:cs="Arial"/>
          <w:b/>
        </w:rPr>
        <w:t xml:space="preserve"> </w:t>
      </w:r>
      <w:r w:rsidRPr="00D800F0">
        <w:rPr>
          <w:rFonts w:ascii="Arial" w:hAnsi="Arial" w:cs="Arial"/>
        </w:rPr>
        <w:t xml:space="preserve">is the </w:t>
      </w:r>
      <w:r w:rsidRPr="00D800F0">
        <w:rPr>
          <w:rFonts w:ascii="Arial" w:hAnsi="Arial" w:cs="Arial"/>
        </w:rPr>
        <w:lastRenderedPageBreak/>
        <w:t xml:space="preserve">chemical engineering plant index (CEPCI) in 2023 and </w:t>
      </w:r>
      <m:oMath>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t</m:t>
                </m:r>
              </m:e>
              <m:sub>
                <m:r>
                  <m:rPr>
                    <m:sty m:val="bi"/>
                  </m:rPr>
                  <w:rPr>
                    <w:rFonts w:ascii="Cambria Math" w:eastAsia="Cambria Math" w:hAnsi="Cambria Math" w:cs="Arial"/>
                  </w:rPr>
                  <m:t>0</m:t>
                </m:r>
              </m:sub>
            </m:sSub>
          </m:sub>
        </m:sSub>
      </m:oMath>
      <w:r w:rsidRPr="00D800F0">
        <w:rPr>
          <w:rFonts w:ascii="Arial" w:hAnsi="Arial" w:cs="Arial"/>
          <w:b/>
        </w:rPr>
        <w:t xml:space="preserve"> </w:t>
      </w:r>
      <w:r w:rsidRPr="00D800F0">
        <w:rPr>
          <w:rFonts w:ascii="Arial" w:hAnsi="Arial" w:cs="Arial"/>
        </w:rPr>
        <w:t xml:space="preserve">is the CEPCI at the time the piece of equipment was cost estimated. </w:t>
      </w:r>
      <m:oMath>
        <m:sSub>
          <m:sSubPr>
            <m:ctrlPr>
              <w:rPr>
                <w:rFonts w:ascii="Cambria Math" w:eastAsia="Cambria Math" w:hAnsi="Cambria Math" w:cs="Arial"/>
                <w:b/>
                <w:bCs/>
              </w:rPr>
            </m:ctrlPr>
          </m:sSubPr>
          <m:e>
            <m:r>
              <m:rPr>
                <m:sty m:val="bi"/>
              </m:rPr>
              <w:rPr>
                <w:rFonts w:ascii="Cambria Math" w:eastAsia="Cambria Math" w:hAnsi="Cambria Math" w:cs="Arial"/>
              </w:rPr>
              <m:t>m</m:t>
            </m:r>
          </m:e>
          <m:sub>
            <m:r>
              <m:rPr>
                <m:sty m:val="bi"/>
              </m:rPr>
              <w:rPr>
                <w:rFonts w:ascii="Cambria Math" w:eastAsia="Cambria Math" w:hAnsi="Cambria Math" w:cs="Arial"/>
              </w:rPr>
              <m:t>n</m:t>
            </m:r>
          </m:sub>
        </m:sSub>
      </m:oMath>
      <w:r w:rsidRPr="00D800F0">
        <w:rPr>
          <w:rFonts w:ascii="Arial" w:hAnsi="Arial" w:cs="Arial"/>
          <w:b/>
        </w:rPr>
        <w:t xml:space="preserve"> </w:t>
      </w:r>
      <w:r w:rsidRPr="00D800F0">
        <w:rPr>
          <w:rFonts w:ascii="Arial" w:hAnsi="Arial" w:cs="Arial"/>
        </w:rPr>
        <w:t>is the number of spares for a given piece of equipment (</w:t>
      </w:r>
      <m:oMath>
        <m:sSub>
          <m:sSubPr>
            <m:ctrlPr>
              <w:rPr>
                <w:rFonts w:ascii="Cambria Math" w:eastAsia="Cambria Math" w:hAnsi="Cambria Math" w:cs="Arial"/>
                <w:b/>
                <w:bCs/>
              </w:rPr>
            </m:ctrlPr>
          </m:sSubPr>
          <m:e>
            <m:r>
              <m:rPr>
                <m:sty m:val="bi"/>
              </m:rPr>
              <w:rPr>
                <w:rFonts w:ascii="Cambria Math" w:eastAsia="Cambria Math" w:hAnsi="Cambria Math" w:cs="Arial"/>
              </w:rPr>
              <m:t>m</m:t>
            </m:r>
          </m:e>
          <m:sub>
            <m:r>
              <m:rPr>
                <m:sty m:val="bi"/>
              </m:rPr>
              <w:rPr>
                <w:rFonts w:ascii="Cambria Math" w:eastAsia="Cambria Math" w:hAnsi="Cambria Math" w:cs="Arial"/>
              </w:rPr>
              <m:t>n</m:t>
            </m:r>
          </m:sub>
        </m:sSub>
        <m:r>
          <m:rPr>
            <m:scr m:val="double-struck"/>
            <m:sty m:val="bi"/>
          </m:rPr>
          <w:rPr>
            <w:rFonts w:ascii="Cambria Math" w:eastAsia="Cambria Math" w:hAnsi="Cambria Math" w:cs="Arial"/>
          </w:rPr>
          <m:t xml:space="preserve"> ∈N</m:t>
        </m:r>
      </m:oMath>
      <w:r w:rsidRPr="00D800F0">
        <w:rPr>
          <w:rFonts w:ascii="Arial" w:hAnsi="Arial" w:cs="Arial"/>
        </w:rPr>
        <w:t xml:space="preserve">). </w:t>
      </w:r>
    </w:p>
    <w:p w14:paraId="15DC48E1" w14:textId="77777777" w:rsidR="00DA7E40" w:rsidRPr="00D800F0" w:rsidRDefault="00DA7E40" w:rsidP="006864F3">
      <w:pPr>
        <w:pStyle w:val="Heading4"/>
        <w:rPr>
          <w:rFonts w:ascii="Arial" w:hAnsi="Arial" w:cs="Arial"/>
        </w:rPr>
      </w:pPr>
      <w:r w:rsidRPr="00D800F0">
        <w:rPr>
          <w:rFonts w:ascii="Arial" w:hAnsi="Arial" w:cs="Arial"/>
        </w:rPr>
        <w:t xml:space="preserve">Back-propagation of additional CAPEX on other CAPEX-related cost factors. </w:t>
      </w:r>
    </w:p>
    <w:p w14:paraId="3EE48A13" w14:textId="77777777" w:rsidR="00DA7E40" w:rsidRPr="00D800F0" w:rsidRDefault="00DA7E40" w:rsidP="00DA7E40">
      <w:pPr>
        <w:rPr>
          <w:rFonts w:ascii="Arial" w:hAnsi="Arial" w:cs="Arial"/>
        </w:rPr>
      </w:pPr>
      <w:r w:rsidRPr="00D800F0">
        <w:rPr>
          <w:rFonts w:ascii="Arial" w:hAnsi="Arial" w:cs="Arial"/>
        </w:rPr>
        <w:t xml:space="preserve">There are times when we need to add the cost of certain modules directly into the </w:t>
      </w:r>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b/>
        </w:rPr>
        <w:t xml:space="preserve"> </w:t>
      </w:r>
      <w:r w:rsidRPr="00D800F0">
        <w:rPr>
          <w:rFonts w:ascii="Arial" w:hAnsi="Arial" w:cs="Arial"/>
        </w:rPr>
        <w:t>from the scientific literature. Once we do this, we also need to scale the cost components of the capex (</w:t>
      </w:r>
      <m:oMath>
        <m:d>
          <m:dPr>
            <m:begChr m:val="["/>
            <m:endChr m:val="]"/>
            <m:ctrlPr>
              <w:rPr>
                <w:rFonts w:ascii="Cambria Math" w:hAnsi="Cambria Math" w:cs="Arial"/>
                <w:b/>
                <w:bCs/>
              </w:rPr>
            </m:ctrlPr>
          </m:dPr>
          <m:e>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f</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z</m:t>
                </m:r>
              </m:sub>
            </m:sSub>
          </m:e>
        </m:d>
        <m:r>
          <m:rPr>
            <m:sty m:val="bi"/>
          </m:rPr>
          <w:rPr>
            <w:rFonts w:ascii="Cambria Math" w:eastAsia="Cambria Math" w:hAnsi="Cambria Math" w:cs="Arial"/>
          </w:rPr>
          <m:t>×</m:t>
        </m:r>
        <m:sSub>
          <m:sSubPr>
            <m:ctrlPr>
              <w:rPr>
                <w:rFonts w:ascii="Cambria Math" w:eastAsia="Cambria Math" w:hAnsi="Cambria Math" w:cs="Arial"/>
                <w:b/>
                <w:bCs/>
              </w:rPr>
            </m:ctrlPr>
          </m:sSubPr>
          <m:e>
            <m:d>
              <m:dPr>
                <m:begChr m:val="["/>
                <m:endChr m:val="]"/>
                <m:ctrlPr>
                  <w:rPr>
                    <w:rFonts w:ascii="Cambria Math" w:eastAsia="Cambria Math" w:hAnsi="Cambria Math" w:cs="Arial"/>
                    <w:b/>
                    <w:bCs/>
                  </w:rPr>
                </m:ctrlPr>
              </m:dPr>
              <m:e>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e>
            </m:d>
          </m:e>
          <m:sub>
            <m:r>
              <m:rPr>
                <m:sty m:val="bi"/>
              </m:rPr>
              <w:rPr>
                <w:rFonts w:ascii="Cambria Math" w:eastAsia="Cambria Math" w:hAnsi="Cambria Math" w:cs="Arial"/>
              </w:rPr>
              <m:t>.</m:t>
            </m:r>
          </m:sub>
        </m:sSub>
      </m:oMath>
      <w:r w:rsidRPr="00D800F0">
        <w:rPr>
          <w:rFonts w:ascii="Arial" w:hAnsi="Arial" w:cs="Arial"/>
        </w:rPr>
        <w:t>) to be adjusted to the higher CAPEX. We perform the method described below for the AP AEC electrolyzer, wind farm, and battery storage costs</w:t>
      </w:r>
      <w:r w:rsidRPr="00D800F0">
        <w:rPr>
          <w:rStyle w:val="FootnoteReference"/>
          <w:rFonts w:ascii="Arial" w:hAnsi="Arial" w:cs="Arial"/>
        </w:rPr>
        <w:footnoteReference w:id="2"/>
      </w:r>
      <w:r w:rsidRPr="00D800F0">
        <w:rPr>
          <w:rFonts w:ascii="Arial" w:hAnsi="Arial" w:cs="Arial"/>
        </w:rPr>
        <w:t xml:space="preserve">. </w:t>
      </w:r>
    </w:p>
    <w:p w14:paraId="6091C66E" w14:textId="77777777" w:rsidR="00DA7E40" w:rsidRPr="00D800F0" w:rsidRDefault="00DA7E40" w:rsidP="00DA7E40">
      <w:pPr>
        <w:rPr>
          <w:rFonts w:ascii="Arial" w:hAnsi="Arial" w:cs="Arial"/>
        </w:rPr>
      </w:pPr>
      <w:r w:rsidRPr="00D800F0">
        <w:rPr>
          <w:rFonts w:ascii="Arial" w:hAnsi="Arial" w:cs="Arial"/>
        </w:rPr>
        <w:tab/>
        <w:t xml:space="preserve">We define a new variable </w:t>
      </w:r>
      <m:oMath>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j</m:t>
            </m:r>
          </m:sub>
        </m:sSub>
      </m:oMath>
      <w:r w:rsidRPr="00D800F0">
        <w:rPr>
          <w:rFonts w:ascii="Arial" w:hAnsi="Arial" w:cs="Arial"/>
        </w:rPr>
        <w:t xml:space="preserve"> to represent the scaling ratio by which to increase each capex component.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10"/>
        <w:gridCol w:w="750"/>
      </w:tblGrid>
      <w:tr w:rsidR="00DA7E40" w:rsidRPr="00D800F0" w14:paraId="71E4FC94" w14:textId="77777777" w:rsidTr="0000614D">
        <w:trPr>
          <w:cantSplit/>
          <w:trHeight w:val="491"/>
        </w:trPr>
        <w:tc>
          <w:tcPr>
            <w:tcW w:w="8610" w:type="dxa"/>
            <w:tcBorders>
              <w:top w:val="nil"/>
              <w:left w:val="nil"/>
              <w:bottom w:val="nil"/>
              <w:right w:val="nil"/>
            </w:tcBorders>
            <w:shd w:val="clear" w:color="auto" w:fill="auto"/>
            <w:tcMar>
              <w:top w:w="100" w:type="dxa"/>
              <w:left w:w="100" w:type="dxa"/>
              <w:bottom w:w="100" w:type="dxa"/>
              <w:right w:w="100" w:type="dxa"/>
            </w:tcMar>
            <w:vAlign w:val="center"/>
          </w:tcPr>
          <w:p w14:paraId="53764765"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j</m:t>
                    </m:r>
                  </m:sub>
                </m:sSub>
                <m:r>
                  <m:rPr>
                    <m:sty m:val="bi"/>
                  </m:rPr>
                  <w:rPr>
                    <w:rFonts w:ascii="Cambria Math" w:eastAsia="Cambria Math" w:hAnsi="Cambria Math" w:cs="Arial"/>
                  </w:rPr>
                  <m:t>=1+</m:t>
                </m:r>
                <m:f>
                  <m:fPr>
                    <m:ctrlPr>
                      <w:rPr>
                        <w:rFonts w:ascii="Cambria Math" w:eastAsia="Cambria Math" w:hAnsi="Cambria Math" w:cs="Arial"/>
                        <w:b/>
                        <w:bCs/>
                      </w:rPr>
                    </m:ctrlPr>
                  </m:fPr>
                  <m:num>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additional</m:t>
                            </m:r>
                          </m:sub>
                        </m:sSub>
                      </m:e>
                      <m:sub>
                        <m:r>
                          <m:rPr>
                            <m:sty m:val="bi"/>
                          </m:rPr>
                          <w:rPr>
                            <w:rFonts w:ascii="Cambria Math" w:eastAsia="Cambria Math" w:hAnsi="Cambria Math" w:cs="Arial"/>
                          </w:rPr>
                          <m:t>j</m:t>
                        </m:r>
                      </m:sub>
                    </m:sSub>
                  </m:num>
                  <m:den>
                    <m:r>
                      <m:rPr>
                        <m:sty m:val="bi"/>
                      </m:rPr>
                      <w:rPr>
                        <w:rFonts w:ascii="Cambria Math" w:eastAsia="Cambria Math" w:hAnsi="Cambria Math" w:cs="Arial"/>
                      </w:rPr>
                      <m:t>CAPE</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Updated</m:t>
                            </m:r>
                          </m:sub>
                        </m:sSub>
                      </m:e>
                      <m:sub>
                        <m:r>
                          <m:rPr>
                            <m:sty m:val="bi"/>
                          </m:rPr>
                          <w:rPr>
                            <w:rFonts w:ascii="Cambria Math" w:eastAsia="Cambria Math" w:hAnsi="Cambria Math" w:cs="Arial"/>
                          </w:rPr>
                          <m:t>j</m:t>
                        </m:r>
                      </m:sub>
                    </m:sSub>
                  </m:den>
                </m:f>
              </m:oMath>
            </m:oMathPara>
          </w:p>
        </w:tc>
        <w:tc>
          <w:tcPr>
            <w:tcW w:w="750" w:type="dxa"/>
            <w:tcBorders>
              <w:top w:val="nil"/>
              <w:left w:val="nil"/>
              <w:bottom w:val="nil"/>
              <w:right w:val="nil"/>
            </w:tcBorders>
            <w:shd w:val="clear" w:color="auto" w:fill="auto"/>
            <w:tcMar>
              <w:top w:w="100" w:type="dxa"/>
              <w:left w:w="100" w:type="dxa"/>
              <w:bottom w:w="100" w:type="dxa"/>
              <w:right w:w="100" w:type="dxa"/>
            </w:tcMar>
            <w:vAlign w:val="center"/>
          </w:tcPr>
          <w:p w14:paraId="7B9DDAEF" w14:textId="77777777" w:rsidR="00DA7E40" w:rsidRPr="00D800F0" w:rsidRDefault="00DA7E40" w:rsidP="0000614D">
            <w:pPr>
              <w:pStyle w:val="Caption"/>
              <w:spacing w:after="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8</w:t>
            </w:r>
            <w:r w:rsidRPr="00D800F0">
              <w:rPr>
                <w:rFonts w:ascii="Arial" w:hAnsi="Arial" w:cs="Arial"/>
                <w:noProof/>
              </w:rPr>
              <w:fldChar w:fldCharType="end"/>
            </w:r>
            <w:r w:rsidRPr="00D800F0">
              <w:rPr>
                <w:rFonts w:ascii="Arial" w:hAnsi="Arial" w:cs="Arial"/>
              </w:rPr>
              <w:t>)</w:t>
            </w:r>
          </w:p>
        </w:tc>
      </w:tr>
      <w:tr w:rsidR="00DA7E40" w:rsidRPr="00D800F0" w14:paraId="0470D8A6" w14:textId="77777777" w:rsidTr="0000614D">
        <w:trPr>
          <w:cantSplit/>
          <w:trHeight w:val="491"/>
        </w:trPr>
        <w:tc>
          <w:tcPr>
            <w:tcW w:w="8610" w:type="dxa"/>
            <w:tcBorders>
              <w:top w:val="nil"/>
              <w:left w:val="nil"/>
              <w:bottom w:val="nil"/>
              <w:right w:val="nil"/>
            </w:tcBorders>
            <w:shd w:val="clear" w:color="auto" w:fill="auto"/>
            <w:tcMar>
              <w:top w:w="100" w:type="dxa"/>
              <w:left w:w="100" w:type="dxa"/>
              <w:bottom w:w="100" w:type="dxa"/>
              <w:right w:w="100" w:type="dxa"/>
            </w:tcMar>
          </w:tcPr>
          <w:p w14:paraId="78BAC069"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d>
                      <m:dPr>
                        <m:begChr m:val="|"/>
                        <m:endChr m:val="|"/>
                        <m:ctrlPr>
                          <w:rPr>
                            <w:rFonts w:ascii="Cambria Math" w:hAnsi="Cambria Math" w:cs="Arial"/>
                            <w:b/>
                            <w:bCs/>
                          </w:rPr>
                        </m:ctrlPr>
                      </m:dPr>
                      <m:e>
                        <m:d>
                          <m:dPr>
                            <m:begChr m:val="["/>
                            <m:endChr m:val="]"/>
                            <m:ctrlPr>
                              <w:rPr>
                                <w:rFonts w:ascii="Cambria Math" w:hAnsi="Cambria Math" w:cs="Arial"/>
                                <w:b/>
                                <w:bCs/>
                              </w:rPr>
                            </m:ctrlPr>
                          </m:dPr>
                          <m:e>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f</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z</m:t>
                                </m:r>
                              </m:sub>
                            </m:sSub>
                          </m:e>
                        </m:d>
                        <m:r>
                          <m:rPr>
                            <m:sty m:val="bi"/>
                          </m:rPr>
                          <w:rPr>
                            <w:rFonts w:ascii="Cambria Math" w:eastAsia="Cambria Math" w:hAnsi="Cambria Math" w:cs="Arial"/>
                          </w:rPr>
                          <m:t>×</m:t>
                        </m:r>
                        <m:sSub>
                          <m:sSubPr>
                            <m:ctrlPr>
                              <w:rPr>
                                <w:rFonts w:ascii="Cambria Math" w:eastAsia="Cambria Math" w:hAnsi="Cambria Math" w:cs="Arial"/>
                                <w:b/>
                                <w:bCs/>
                              </w:rPr>
                            </m:ctrlPr>
                          </m:sSubPr>
                          <m:e>
                            <m:d>
                              <m:dPr>
                                <m:begChr m:val="["/>
                                <m:endChr m:val="]"/>
                                <m:ctrlPr>
                                  <w:rPr>
                                    <w:rFonts w:ascii="Cambria Math" w:eastAsia="Cambria Math" w:hAnsi="Cambria Math" w:cs="Arial"/>
                                    <w:b/>
                                    <w:bCs/>
                                  </w:rPr>
                                </m:ctrlPr>
                              </m:dPr>
                              <m:e>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e>
                            </m:d>
                          </m:e>
                          <m:sub>
                            <m:r>
                              <m:rPr>
                                <m:sty m:val="bi"/>
                              </m:rPr>
                              <w:rPr>
                                <w:rFonts w:ascii="Cambria Math" w:eastAsia="Cambria Math" w:hAnsi="Cambria Math" w:cs="Arial"/>
                              </w:rPr>
                              <m:t>.</m:t>
                            </m:r>
                          </m:sub>
                        </m:sSub>
                      </m:e>
                    </m:d>
                  </m:e>
                  <m:sub>
                    <m:r>
                      <m:rPr>
                        <m:sty m:val="bi"/>
                      </m:rPr>
                      <w:rPr>
                        <w:rFonts w:ascii="Cambria Math" w:eastAsia="Cambria Math" w:hAnsi="Cambria Math" w:cs="Arial"/>
                      </w:rPr>
                      <m:t>updated</m:t>
                    </m:r>
                  </m:sub>
                </m:sSub>
                <m:r>
                  <m:rPr>
                    <m:sty m:val="bi"/>
                  </m:rPr>
                  <w:rPr>
                    <w:rFonts w:ascii="Cambria Math" w:eastAsia="Cambria Math" w:hAnsi="Cambria Math" w:cs="Arial"/>
                  </w:rPr>
                  <m:t>=</m:t>
                </m:r>
                <m:d>
                  <m:dPr>
                    <m:begChr m:val="["/>
                    <m:endChr m:val="]"/>
                    <m:ctrlPr>
                      <w:rPr>
                        <w:rFonts w:ascii="Cambria Math" w:eastAsia="Cambria Math" w:hAnsi="Cambria Math" w:cs="Arial"/>
                        <w:b/>
                        <w:bCs/>
                      </w:rPr>
                    </m:ctrlPr>
                  </m:dPr>
                  <m:e>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f</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z</m:t>
                        </m:r>
                      </m:sub>
                    </m:sSub>
                  </m:e>
                </m:d>
                <m:r>
                  <m:rPr>
                    <m:sty m:val="bi"/>
                  </m:rPr>
                  <w:rPr>
                    <w:rFonts w:ascii="Cambria Math" w:eastAsia="Cambria Math" w:hAnsi="Cambria Math" w:cs="Arial"/>
                  </w:rPr>
                  <m:t>×</m:t>
                </m:r>
                <m:sSub>
                  <m:sSubPr>
                    <m:ctrlPr>
                      <w:rPr>
                        <w:rFonts w:ascii="Cambria Math" w:eastAsia="Cambria Math" w:hAnsi="Cambria Math" w:cs="Arial"/>
                        <w:b/>
                        <w:bCs/>
                      </w:rPr>
                    </m:ctrlPr>
                  </m:sSubPr>
                  <m:e>
                    <m:d>
                      <m:dPr>
                        <m:begChr m:val="["/>
                        <m:endChr m:val="]"/>
                        <m:ctrlPr>
                          <w:rPr>
                            <w:rFonts w:ascii="Cambria Math" w:eastAsia="Cambria Math" w:hAnsi="Cambria Math" w:cs="Arial"/>
                            <w:b/>
                            <w:bCs/>
                          </w:rPr>
                        </m:ctrlPr>
                      </m:dPr>
                      <m:e>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e>
                    </m:d>
                  </m:e>
                  <m:sub>
                    <m:r>
                      <m:rPr>
                        <m:sty m:val="bi"/>
                      </m:rPr>
                      <w:rPr>
                        <w:rFonts w:ascii="Cambria Math" w:eastAsia="Cambria Math" w:hAnsi="Cambria Math" w:cs="Arial"/>
                      </w:rPr>
                      <m:t>.</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j</m:t>
                    </m:r>
                  </m:sub>
                </m:sSub>
              </m:oMath>
            </m:oMathPara>
          </w:p>
        </w:tc>
        <w:tc>
          <w:tcPr>
            <w:tcW w:w="750" w:type="dxa"/>
            <w:tcBorders>
              <w:top w:val="nil"/>
              <w:left w:val="nil"/>
              <w:bottom w:val="nil"/>
              <w:right w:val="nil"/>
            </w:tcBorders>
            <w:shd w:val="clear" w:color="auto" w:fill="auto"/>
            <w:tcMar>
              <w:top w:w="100" w:type="dxa"/>
              <w:left w:w="100" w:type="dxa"/>
              <w:bottom w:w="100" w:type="dxa"/>
              <w:right w:w="100" w:type="dxa"/>
            </w:tcMar>
          </w:tcPr>
          <w:p w14:paraId="2F7465B8" w14:textId="77777777" w:rsidR="00DA7E40" w:rsidRPr="00D800F0" w:rsidRDefault="00DA7E40" w:rsidP="0000614D">
            <w:pPr>
              <w:pStyle w:val="Caption"/>
              <w:spacing w:after="0"/>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9</w:t>
            </w:r>
            <w:r w:rsidRPr="00D800F0">
              <w:rPr>
                <w:rFonts w:ascii="Arial" w:hAnsi="Arial" w:cs="Arial"/>
                <w:noProof/>
              </w:rPr>
              <w:fldChar w:fldCharType="end"/>
            </w:r>
            <w:r w:rsidRPr="00D800F0">
              <w:rPr>
                <w:rFonts w:ascii="Arial" w:hAnsi="Arial" w:cs="Arial"/>
              </w:rPr>
              <w:t>)</w:t>
            </w:r>
          </w:p>
          <w:p w14:paraId="1F6F1B23" w14:textId="77777777" w:rsidR="00DA7E40" w:rsidRPr="00D800F0" w:rsidRDefault="00DA7E40" w:rsidP="0000614D">
            <w:pPr>
              <w:keepNext/>
              <w:widowControl w:val="0"/>
              <w:rPr>
                <w:rFonts w:ascii="Arial" w:hAnsi="Arial" w:cs="Arial"/>
              </w:rPr>
            </w:pPr>
          </w:p>
        </w:tc>
      </w:tr>
    </w:tbl>
    <w:p w14:paraId="7833FDFE" w14:textId="77777777" w:rsidR="00DA7E40" w:rsidRPr="00D800F0" w:rsidRDefault="00DA7E40" w:rsidP="00DA7E40">
      <w:pPr>
        <w:ind w:firstLine="720"/>
        <w:rPr>
          <w:rFonts w:ascii="Arial" w:hAnsi="Arial" w:cs="Arial"/>
        </w:rPr>
      </w:pPr>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update</m:t>
            </m:r>
            <m:sSub>
              <m:sSubPr>
                <m:ctrlPr>
                  <w:rPr>
                    <w:rFonts w:ascii="Cambria Math" w:eastAsia="Cambria Math" w:hAnsi="Cambria Math" w:cs="Arial"/>
                    <w:b/>
                    <w:bCs/>
                  </w:rPr>
                </m:ctrlPr>
              </m:sSubPr>
              <m:e>
                <m:r>
                  <m:rPr>
                    <m:sty m:val="bi"/>
                  </m:rPr>
                  <w:rPr>
                    <w:rFonts w:ascii="Cambria Math" w:eastAsia="Cambria Math" w:hAnsi="Cambria Math" w:cs="Arial"/>
                  </w:rPr>
                  <m:t>d</m:t>
                </m:r>
              </m:e>
              <m:sub>
                <m:r>
                  <m:rPr>
                    <m:sty m:val="bi"/>
                  </m:rPr>
                  <w:rPr>
                    <w:rFonts w:ascii="Cambria Math" w:eastAsia="Cambria Math" w:hAnsi="Cambria Math" w:cs="Arial"/>
                  </w:rPr>
                  <m:t>j</m:t>
                </m:r>
              </m:sub>
            </m:sSub>
          </m:sub>
        </m:sSub>
      </m:oMath>
      <w:r w:rsidRPr="00D800F0">
        <w:rPr>
          <w:rFonts w:ascii="Arial" w:hAnsi="Arial" w:cs="Arial"/>
        </w:rPr>
        <w:t xml:space="preserve"> is the updated CAPEX after adding the additional cost </w:t>
      </w:r>
      <m:oMath>
        <m:r>
          <w:rPr>
            <w:rFonts w:ascii="Cambria Math" w:eastAsia="Cambria Math" w:hAnsi="Cambria Math" w:cs="Arial"/>
          </w:rPr>
          <m:t>(</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additional</m:t>
                </m:r>
              </m:sub>
            </m:sSub>
          </m:e>
          <m:sub>
            <m:r>
              <m:rPr>
                <m:sty m:val="bi"/>
              </m:rPr>
              <w:rPr>
                <w:rFonts w:ascii="Cambria Math" w:eastAsia="Cambria Math" w:hAnsi="Cambria Math" w:cs="Arial"/>
              </w:rPr>
              <m:t>j</m:t>
            </m:r>
          </m:sub>
        </m:sSub>
        <m:r>
          <w:rPr>
            <w:rFonts w:ascii="Cambria Math" w:eastAsia="Cambria Math" w:hAnsi="Cambria Math" w:cs="Arial"/>
          </w:rPr>
          <m:t>)</m:t>
        </m:r>
      </m:oMath>
      <w:r w:rsidRPr="00D800F0">
        <w:rPr>
          <w:rFonts w:ascii="Arial" w:hAnsi="Arial" w:cs="Arial"/>
        </w:rPr>
        <w:t>. This ensures that the overall CAPEX estimate accurately reflects the depreciation effect of the additional costs on the project's financial analysis.</w:t>
      </w:r>
    </w:p>
    <w:tbl>
      <w:tblPr>
        <w:tblW w:w="9360" w:type="dxa"/>
        <w:tblLayout w:type="fixed"/>
        <w:tblLook w:val="0600" w:firstRow="0" w:lastRow="0" w:firstColumn="0" w:lastColumn="0" w:noHBand="1" w:noVBand="1"/>
      </w:tblPr>
      <w:tblGrid>
        <w:gridCol w:w="8565"/>
        <w:gridCol w:w="795"/>
      </w:tblGrid>
      <w:tr w:rsidR="00DA7E40" w:rsidRPr="00D800F0" w14:paraId="0F69D104" w14:textId="77777777" w:rsidTr="0000614D">
        <w:trPr>
          <w:cantSplit/>
          <w:trHeight w:val="389"/>
        </w:trPr>
        <w:tc>
          <w:tcPr>
            <w:tcW w:w="8565" w:type="dxa"/>
            <w:shd w:val="clear" w:color="auto" w:fill="auto"/>
            <w:tcMar>
              <w:top w:w="100" w:type="dxa"/>
              <w:left w:w="100" w:type="dxa"/>
              <w:bottom w:w="100" w:type="dxa"/>
              <w:right w:w="100" w:type="dxa"/>
            </w:tcMar>
          </w:tcPr>
          <w:p w14:paraId="7DA3E11F"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updated</m:t>
                    </m:r>
                  </m:sub>
                </m:sSub>
                <m:r>
                  <m:rPr>
                    <m:sty m:val="bi"/>
                  </m:rPr>
                  <w:rPr>
                    <w:rFonts w:ascii="Cambria Math" w:eastAsia="Cambria Math" w:hAnsi="Cambria Math" w:cs="Arial"/>
                  </w:rPr>
                  <m:t>=CAPEX+</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additional</m:t>
                    </m:r>
                  </m:sub>
                </m:sSub>
              </m:oMath>
            </m:oMathPara>
          </w:p>
        </w:tc>
        <w:tc>
          <w:tcPr>
            <w:tcW w:w="795" w:type="dxa"/>
            <w:shd w:val="clear" w:color="auto" w:fill="auto"/>
            <w:tcMar>
              <w:top w:w="100" w:type="dxa"/>
              <w:left w:w="100" w:type="dxa"/>
              <w:bottom w:w="100" w:type="dxa"/>
              <w:right w:w="100" w:type="dxa"/>
            </w:tcMar>
          </w:tcPr>
          <w:p w14:paraId="1300592D" w14:textId="77777777" w:rsidR="00DA7E40" w:rsidRPr="00D800F0" w:rsidRDefault="00DA7E40" w:rsidP="0000614D">
            <w:pPr>
              <w:pStyle w:val="Caption"/>
              <w:spacing w:after="0"/>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10</w:t>
            </w:r>
            <w:r w:rsidRPr="00D800F0">
              <w:rPr>
                <w:rFonts w:ascii="Arial" w:hAnsi="Arial" w:cs="Arial"/>
                <w:noProof/>
              </w:rPr>
              <w:fldChar w:fldCharType="end"/>
            </w:r>
            <w:r w:rsidRPr="00D800F0">
              <w:rPr>
                <w:rFonts w:ascii="Arial" w:hAnsi="Arial" w:cs="Arial"/>
              </w:rPr>
              <w:t>)</w:t>
            </w:r>
          </w:p>
        </w:tc>
      </w:tr>
    </w:tbl>
    <w:p w14:paraId="69844CBC" w14:textId="77777777" w:rsidR="00DA7E40" w:rsidRPr="00D800F0" w:rsidRDefault="00DA7E40" w:rsidP="00DA7E40">
      <w:pPr>
        <w:pStyle w:val="Caption"/>
        <w:rPr>
          <w:rFonts w:ascii="Arial" w:hAnsi="Arial" w:cs="Arial"/>
        </w:rPr>
      </w:pPr>
      <w:r w:rsidRPr="00D800F0">
        <w:rPr>
          <w:rFonts w:ascii="Arial" w:hAnsi="Arial" w:cs="Arial"/>
        </w:rPr>
        <w:tab/>
        <w:t>Specific to AP AEC, we calculate the CAPEX based on established heuristics by the literature and the electricity demand required to electrolyze water.</w:t>
      </w:r>
    </w:p>
    <w:tbl>
      <w:tblPr>
        <w:tblW w:w="9360" w:type="dxa"/>
        <w:tblLayout w:type="fixed"/>
        <w:tblLook w:val="0600" w:firstRow="0" w:lastRow="0" w:firstColumn="0" w:lastColumn="0" w:noHBand="1" w:noVBand="1"/>
      </w:tblPr>
      <w:tblGrid>
        <w:gridCol w:w="8565"/>
        <w:gridCol w:w="795"/>
      </w:tblGrid>
      <w:tr w:rsidR="00DA7E40" w:rsidRPr="00D800F0" w14:paraId="5600F024" w14:textId="77777777" w:rsidTr="0000614D">
        <w:trPr>
          <w:cantSplit/>
          <w:trHeight w:val="389"/>
        </w:trPr>
        <w:tc>
          <w:tcPr>
            <w:tcW w:w="8565" w:type="dxa"/>
            <w:shd w:val="clear" w:color="auto" w:fill="auto"/>
            <w:tcMar>
              <w:top w:w="100" w:type="dxa"/>
              <w:left w:w="100" w:type="dxa"/>
              <w:bottom w:w="100" w:type="dxa"/>
              <w:right w:w="100" w:type="dxa"/>
            </w:tcMar>
          </w:tcPr>
          <w:p w14:paraId="1380B0AD"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i/>
                      </w:rPr>
                    </m:ctrlPr>
                  </m:sSubPr>
                  <m:e>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additional</m:t>
                        </m:r>
                      </m:sub>
                    </m:sSub>
                  </m:e>
                  <m:sub>
                    <m:r>
                      <m:rPr>
                        <m:sty m:val="bi"/>
                      </m:rPr>
                      <w:rPr>
                        <w:rFonts w:ascii="Cambria Math" w:eastAsia="Cambria Math" w:hAnsi="Cambria Math" w:cs="Arial"/>
                      </w:rPr>
                      <m:t>AP AEC</m:t>
                    </m:r>
                  </m:sub>
                </m:sSub>
                <m:r>
                  <w:rPr>
                    <w:rFonts w:ascii="Cambria Math" w:eastAsia="Cambria Math" w:hAnsi="Cambria Math" w:cs="Arial"/>
                  </w:rPr>
                  <m:t>=</m:t>
                </m:r>
                <m:d>
                  <m:dPr>
                    <m:begChr m:val="["/>
                    <m:endChr m:val="]"/>
                    <m:ctrlPr>
                      <w:rPr>
                        <w:rFonts w:ascii="Cambria Math" w:eastAsia="Cambria Math" w:hAnsi="Cambria Math" w:cs="Arial"/>
                        <w:b/>
                        <w:bCs/>
                        <w:i/>
                      </w:rPr>
                    </m:ctrlPr>
                  </m:dPr>
                  <m:e>
                    <m:f>
                      <m:fPr>
                        <m:ctrlPr>
                          <w:rPr>
                            <w:rFonts w:ascii="Cambria Math" w:hAnsi="Cambria Math" w:cs="Arial"/>
                            <w:b/>
                            <w:bCs/>
                            <w:i/>
                          </w:rPr>
                        </m:ctrlPr>
                      </m:fPr>
                      <m:num>
                        <m:sSub>
                          <m:sSubPr>
                            <m:ctrlPr>
                              <w:rPr>
                                <w:rFonts w:ascii="Cambria Math" w:hAnsi="Cambria Math" w:cs="Arial"/>
                                <w:b/>
                                <w:bCs/>
                                <w:i/>
                              </w:rPr>
                            </m:ctrlPr>
                          </m:sSubPr>
                          <m:e>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m:t>
                                </m:r>
                              </m:sup>
                            </m:sSup>
                            <m:r>
                              <m:rPr>
                                <m:sty m:val="bi"/>
                              </m:rPr>
                              <w:rPr>
                                <w:rFonts w:ascii="Cambria Math" w:hAnsi="Cambria Math" w:cs="Arial"/>
                              </w:rPr>
                              <m:t xml:space="preserve"> </m:t>
                            </m:r>
                          </m:e>
                          <m:sub>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2</m:t>
                                </m:r>
                              </m:sub>
                            </m:sSub>
                          </m:sub>
                        </m:sSub>
                        <m:r>
                          <m:rPr>
                            <m:sty m:val="bi"/>
                          </m:rPr>
                          <w:rPr>
                            <w:rFonts w:ascii="Cambria Math" w:hAnsi="Cambria Math" w:cs="Arial"/>
                          </w:rPr>
                          <m:t>×</m:t>
                        </m:r>
                        <m:sSubSup>
                          <m:sSubSupPr>
                            <m:ctrlPr>
                              <w:rPr>
                                <w:rFonts w:ascii="Cambria Math" w:hAnsi="Cambria Math" w:cs="Arial"/>
                                <w:b/>
                                <w:bCs/>
                                <w:i/>
                              </w:rPr>
                            </m:ctrlPr>
                          </m:sSubSupPr>
                          <m:e>
                            <m:r>
                              <m:rPr>
                                <m:sty m:val="bi"/>
                              </m:rPr>
                              <w:rPr>
                                <w:rFonts w:ascii="Cambria Math" w:hAnsi="Cambria Math" w:cs="Arial"/>
                              </w:rPr>
                              <m:t>h</m:t>
                            </m:r>
                          </m:e>
                          <m:sub>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2</m:t>
                                </m:r>
                              </m:sub>
                            </m:sSub>
                          </m:sub>
                          <m:sup>
                            <m:r>
                              <m:rPr>
                                <m:sty m:val="bi"/>
                              </m:rPr>
                              <w:rPr>
                                <w:rFonts w:ascii="Cambria Math" w:hAnsi="Cambria Math" w:cs="Arial"/>
                              </w:rPr>
                              <m:t>LHV</m:t>
                            </m:r>
                          </m:sup>
                        </m:sSubSup>
                        <m:r>
                          <m:rPr>
                            <m:sty m:val="bi"/>
                          </m:rPr>
                          <w:rPr>
                            <w:rFonts w:ascii="Cambria Math" w:hAnsi="Cambria Math" w:cs="Arial"/>
                          </w:rPr>
                          <m:t>×1000</m:t>
                        </m:r>
                      </m:num>
                      <m:den>
                        <m:sSub>
                          <m:sSubPr>
                            <m:ctrlPr>
                              <w:rPr>
                                <w:rFonts w:ascii="Cambria Math" w:hAnsi="Cambria Math" w:cs="Arial"/>
                                <w:b/>
                                <w:bCs/>
                                <w:i/>
                              </w:rPr>
                            </m:ctrlPr>
                          </m:sSubPr>
                          <m:e>
                            <m:r>
                              <m:rPr>
                                <m:sty m:val="bi"/>
                              </m:rPr>
                              <w:rPr>
                                <w:rFonts w:ascii="Cambria Math" w:hAnsi="Cambria Math" w:cs="Arial"/>
                              </w:rPr>
                              <m:t>η</m:t>
                            </m:r>
                          </m:e>
                          <m:sub>
                            <m:r>
                              <m:rPr>
                                <m:sty m:val="bi"/>
                              </m:rPr>
                              <w:rPr>
                                <w:rFonts w:ascii="Cambria Math" w:hAnsi="Cambria Math" w:cs="Arial"/>
                              </w:rPr>
                              <m:t>AEC</m:t>
                            </m:r>
                          </m:sub>
                        </m:sSub>
                      </m:den>
                    </m:f>
                    <m:ctrlPr>
                      <w:rPr>
                        <w:rFonts w:ascii="Cambria Math" w:hAnsi="Cambria Math" w:cs="Arial"/>
                        <w:b/>
                        <w:bCs/>
                        <w:i/>
                      </w:rPr>
                    </m:ctrlPr>
                  </m:e>
                </m:d>
                <m:r>
                  <m:rPr>
                    <m:sty m:val="bi"/>
                  </m:rPr>
                  <w:rPr>
                    <w:rFonts w:ascii="Cambria Math" w:hAnsi="Cambria Math" w:cs="Arial"/>
                  </w:rPr>
                  <m:t>*</m:t>
                </m:r>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AEC</m:t>
                    </m:r>
                  </m:sub>
                </m:sSub>
              </m:oMath>
            </m:oMathPara>
          </w:p>
        </w:tc>
        <w:tc>
          <w:tcPr>
            <w:tcW w:w="795" w:type="dxa"/>
            <w:shd w:val="clear" w:color="auto" w:fill="auto"/>
            <w:tcMar>
              <w:top w:w="100" w:type="dxa"/>
              <w:left w:w="100" w:type="dxa"/>
              <w:bottom w:w="100" w:type="dxa"/>
              <w:right w:w="100" w:type="dxa"/>
            </w:tcMar>
          </w:tcPr>
          <w:p w14:paraId="4B06914C" w14:textId="77777777" w:rsidR="00DA7E40" w:rsidRPr="00D800F0" w:rsidRDefault="00DA7E40" w:rsidP="0000614D">
            <w:pPr>
              <w:pStyle w:val="Caption"/>
              <w:spacing w:after="0"/>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11</w:t>
            </w:r>
            <w:r w:rsidRPr="00D800F0">
              <w:rPr>
                <w:rFonts w:ascii="Arial" w:hAnsi="Arial" w:cs="Arial"/>
                <w:noProof/>
              </w:rPr>
              <w:fldChar w:fldCharType="end"/>
            </w:r>
            <w:r w:rsidRPr="00D800F0">
              <w:rPr>
                <w:rFonts w:ascii="Arial" w:hAnsi="Arial" w:cs="Arial"/>
              </w:rPr>
              <w:t>)</w:t>
            </w:r>
          </w:p>
        </w:tc>
      </w:tr>
    </w:tbl>
    <w:p w14:paraId="7D09859E" w14:textId="77777777" w:rsidR="00DA7E40" w:rsidRPr="00D800F0" w:rsidRDefault="00DA7E40" w:rsidP="00DA7E40">
      <w:pPr>
        <w:rPr>
          <w:rFonts w:ascii="Arial" w:hAnsi="Arial" w:cs="Arial"/>
        </w:rPr>
      </w:pPr>
    </w:p>
    <w:p w14:paraId="7157F7DB"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2</w:t>
      </w:r>
      <w:r w:rsidRPr="00D800F0">
        <w:rPr>
          <w:rFonts w:ascii="Arial" w:hAnsi="Arial" w:cs="Arial"/>
          <w:noProof/>
        </w:rPr>
        <w:fldChar w:fldCharType="end"/>
      </w:r>
      <w:r w:rsidRPr="00D800F0">
        <w:rPr>
          <w:rFonts w:ascii="Arial" w:hAnsi="Arial" w:cs="Arial"/>
        </w:rPr>
        <w:t xml:space="preserve">: Values for </w:t>
      </w:r>
      <m:oMath>
        <m:sSub>
          <m:sSubPr>
            <m:ctrlPr>
              <w:rPr>
                <w:rFonts w:ascii="Cambria Math" w:hAnsi="Cambria Math" w:cs="Arial"/>
                <w:b/>
                <w:bCs/>
                <w:i/>
              </w:rPr>
            </m:ctrlPr>
          </m:sSubPr>
          <m:e>
            <m:r>
              <m:rPr>
                <m:sty m:val="bi"/>
              </m:rPr>
              <w:rPr>
                <w:rFonts w:ascii="Cambria Math" w:hAnsi="Cambria Math" w:cs="Arial"/>
              </w:rPr>
              <m:t>x</m:t>
            </m:r>
          </m:e>
          <m:sub>
            <m:r>
              <m:rPr>
                <m:sty m:val="bi"/>
              </m:rPr>
              <w:rPr>
                <w:rFonts w:ascii="Cambria Math" w:hAnsi="Cambria Math" w:cs="Arial"/>
              </w:rPr>
              <m:t>z</m:t>
            </m:r>
          </m:sub>
        </m:sSub>
      </m:oMath>
      <w:r w:rsidRPr="00D800F0">
        <w:rPr>
          <w:rFonts w:ascii="Arial" w:hAnsi="Arial" w:cs="Arial"/>
        </w:rPr>
        <w:t xml:space="preserve"> excluding </w:t>
      </w:r>
      <m:oMath>
        <m:r>
          <w:rPr>
            <w:rFonts w:ascii="Cambria Math" w:hAnsi="Cambria Math" w:cs="Arial"/>
          </w:rPr>
          <m:t>W</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oMath>
      <w:r w:rsidRPr="00D800F0">
        <w:rPr>
          <w:rFonts w:ascii="Arial" w:hAnsi="Arial" w:cs="Arial"/>
        </w:rPr>
        <w:t>.</w:t>
      </w:r>
    </w:p>
    <w:tbl>
      <w:tblPr>
        <w:tblW w:w="9360" w:type="dxa"/>
        <w:tblBorders>
          <w:top w:val="single" w:sz="4" w:space="0" w:color="auto"/>
          <w:bottom w:val="single" w:sz="4" w:space="0" w:color="auto"/>
        </w:tblBorders>
        <w:tblLayout w:type="fixed"/>
        <w:tblLook w:val="0600" w:firstRow="0" w:lastRow="0" w:firstColumn="0" w:lastColumn="0" w:noHBand="1" w:noVBand="1"/>
      </w:tblPr>
      <w:tblGrid>
        <w:gridCol w:w="1620"/>
        <w:gridCol w:w="4002"/>
        <w:gridCol w:w="1578"/>
        <w:gridCol w:w="2160"/>
      </w:tblGrid>
      <w:tr w:rsidR="00DA7E40" w:rsidRPr="00D800F0" w14:paraId="27716392" w14:textId="77777777" w:rsidTr="0000614D">
        <w:trPr>
          <w:cantSplit/>
          <w:trHeight w:val="405"/>
        </w:trPr>
        <w:tc>
          <w:tcPr>
            <w:tcW w:w="1620" w:type="dxa"/>
            <w:tcBorders>
              <w:top w:val="single" w:sz="4" w:space="0" w:color="auto"/>
              <w:bottom w:val="single" w:sz="4" w:space="0" w:color="auto"/>
            </w:tcBorders>
            <w:tcMar>
              <w:top w:w="0" w:type="dxa"/>
              <w:left w:w="100" w:type="dxa"/>
              <w:bottom w:w="0" w:type="dxa"/>
              <w:right w:w="100" w:type="dxa"/>
            </w:tcMar>
          </w:tcPr>
          <w:p w14:paraId="56CC7755"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4002" w:type="dxa"/>
            <w:tcBorders>
              <w:top w:val="single" w:sz="4" w:space="0" w:color="auto"/>
              <w:bottom w:val="single" w:sz="4" w:space="0" w:color="auto"/>
            </w:tcBorders>
            <w:tcMar>
              <w:top w:w="0" w:type="dxa"/>
              <w:left w:w="100" w:type="dxa"/>
              <w:bottom w:w="0" w:type="dxa"/>
              <w:right w:w="100" w:type="dxa"/>
            </w:tcMar>
          </w:tcPr>
          <w:p w14:paraId="7D0ACB92" w14:textId="77777777" w:rsidR="00DA7E40" w:rsidRPr="00D800F0" w:rsidRDefault="00DA7E40" w:rsidP="0000614D">
            <w:pPr>
              <w:spacing w:line="256" w:lineRule="auto"/>
              <w:jc w:val="center"/>
              <w:rPr>
                <w:rFonts w:ascii="Arial" w:hAnsi="Arial" w:cs="Arial"/>
                <w:b/>
              </w:rPr>
            </w:pPr>
            <w:r w:rsidRPr="00D800F0">
              <w:rPr>
                <w:rFonts w:ascii="Arial" w:hAnsi="Arial" w:cs="Arial"/>
                <w:b/>
              </w:rPr>
              <w:t>Value</w:t>
            </w:r>
          </w:p>
        </w:tc>
        <w:tc>
          <w:tcPr>
            <w:tcW w:w="1578" w:type="dxa"/>
            <w:tcBorders>
              <w:top w:val="single" w:sz="4" w:space="0" w:color="auto"/>
              <w:bottom w:val="single" w:sz="4" w:space="0" w:color="auto"/>
            </w:tcBorders>
            <w:tcMar>
              <w:top w:w="0" w:type="dxa"/>
              <w:left w:w="100" w:type="dxa"/>
              <w:bottom w:w="0" w:type="dxa"/>
              <w:right w:w="100" w:type="dxa"/>
            </w:tcMar>
          </w:tcPr>
          <w:p w14:paraId="22309C1F"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2160" w:type="dxa"/>
            <w:tcBorders>
              <w:top w:val="single" w:sz="4" w:space="0" w:color="auto"/>
              <w:bottom w:val="single" w:sz="4" w:space="0" w:color="auto"/>
            </w:tcBorders>
            <w:tcMar>
              <w:top w:w="0" w:type="dxa"/>
              <w:left w:w="100" w:type="dxa"/>
              <w:bottom w:w="0" w:type="dxa"/>
              <w:right w:w="100" w:type="dxa"/>
            </w:tcMar>
          </w:tcPr>
          <w:p w14:paraId="3DE2234F"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bookmarkStart w:id="26" w:name="_Hlk146909762"/>
      <w:tr w:rsidR="00DA7E40" w:rsidRPr="00D800F0" w14:paraId="16024DB9" w14:textId="77777777" w:rsidTr="0000614D">
        <w:trPr>
          <w:cantSplit/>
          <w:trHeight w:val="630"/>
        </w:trPr>
        <w:tc>
          <w:tcPr>
            <w:tcW w:w="1620" w:type="dxa"/>
            <w:tcBorders>
              <w:top w:val="single" w:sz="4" w:space="0" w:color="auto"/>
            </w:tcBorders>
            <w:tcMar>
              <w:top w:w="0" w:type="dxa"/>
              <w:left w:w="100" w:type="dxa"/>
              <w:bottom w:w="0" w:type="dxa"/>
              <w:right w:w="100" w:type="dxa"/>
            </w:tcMar>
          </w:tcPr>
          <w:p w14:paraId="440591A9"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I&amp;C</m:t>
                    </m:r>
                  </m:sub>
                </m:sSub>
              </m:oMath>
            </m:oMathPara>
          </w:p>
        </w:tc>
        <w:tc>
          <w:tcPr>
            <w:tcW w:w="4002" w:type="dxa"/>
            <w:tcBorders>
              <w:top w:val="single" w:sz="4" w:space="0" w:color="auto"/>
            </w:tcBorders>
            <w:tcMar>
              <w:top w:w="0" w:type="dxa"/>
              <w:left w:w="100" w:type="dxa"/>
              <w:bottom w:w="0" w:type="dxa"/>
              <w:right w:w="100" w:type="dxa"/>
            </w:tcMar>
          </w:tcPr>
          <w:p w14:paraId="24B1CE06" w14:textId="77777777" w:rsidR="00DA7E40" w:rsidRPr="00D800F0" w:rsidRDefault="00DA7E40" w:rsidP="0000614D">
            <w:pPr>
              <w:spacing w:line="256" w:lineRule="auto"/>
              <w:jc w:val="center"/>
              <w:rPr>
                <w:rFonts w:ascii="Arial" w:hAnsi="Arial" w:cs="Arial"/>
              </w:rPr>
            </w:pPr>
            <w:r w:rsidRPr="00D800F0">
              <w:rPr>
                <w:rFonts w:ascii="Arial" w:hAnsi="Arial" w:cs="Arial"/>
              </w:rPr>
              <w:t>uniform(0.08, 0.55)</w:t>
            </w:r>
          </w:p>
        </w:tc>
        <w:tc>
          <w:tcPr>
            <w:tcW w:w="1578" w:type="dxa"/>
            <w:tcBorders>
              <w:top w:val="single" w:sz="4" w:space="0" w:color="auto"/>
            </w:tcBorders>
            <w:tcMar>
              <w:top w:w="0" w:type="dxa"/>
              <w:left w:w="100" w:type="dxa"/>
              <w:bottom w:w="0" w:type="dxa"/>
              <w:right w:w="100" w:type="dxa"/>
            </w:tcMar>
          </w:tcPr>
          <w:p w14:paraId="5439768C" w14:textId="77777777" w:rsidR="00DA7E40" w:rsidRPr="00D800F0" w:rsidRDefault="00DA7E40" w:rsidP="0000614D">
            <w:pPr>
              <w:spacing w:line="256" w:lineRule="auto"/>
              <w:jc w:val="center"/>
              <w:rPr>
                <w:rFonts w:ascii="Arial" w:hAnsi="Arial" w:cs="Arial"/>
              </w:rPr>
            </w:pPr>
            <w:r w:rsidRPr="00D800F0">
              <w:rPr>
                <w:rFonts w:ascii="Arial" w:hAnsi="Arial" w:cs="Arial"/>
              </w:rPr>
              <w:t>% Purchased equipment (PE)</w:t>
            </w:r>
          </w:p>
        </w:tc>
        <w:tc>
          <w:tcPr>
            <w:tcW w:w="2160" w:type="dxa"/>
            <w:tcBorders>
              <w:top w:val="single" w:sz="4" w:space="0" w:color="auto"/>
            </w:tcBorders>
            <w:tcMar>
              <w:top w:w="0" w:type="dxa"/>
              <w:left w:w="100" w:type="dxa"/>
              <w:bottom w:w="0" w:type="dxa"/>
              <w:right w:w="100" w:type="dxa"/>
            </w:tcMar>
          </w:tcPr>
          <w:p w14:paraId="3B85C5CE"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2003BD01" w14:textId="77777777" w:rsidTr="0000614D">
        <w:trPr>
          <w:cantSplit/>
          <w:trHeight w:val="405"/>
        </w:trPr>
        <w:tc>
          <w:tcPr>
            <w:tcW w:w="1620" w:type="dxa"/>
            <w:tcMar>
              <w:top w:w="0" w:type="dxa"/>
              <w:left w:w="100" w:type="dxa"/>
              <w:bottom w:w="0" w:type="dxa"/>
              <w:right w:w="100" w:type="dxa"/>
            </w:tcMar>
          </w:tcPr>
          <w:p w14:paraId="716C7C89"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p</m:t>
                    </m:r>
                  </m:sub>
                </m:sSub>
              </m:oMath>
            </m:oMathPara>
          </w:p>
        </w:tc>
        <w:tc>
          <w:tcPr>
            <w:tcW w:w="4002" w:type="dxa"/>
            <w:tcMar>
              <w:top w:w="0" w:type="dxa"/>
              <w:left w:w="100" w:type="dxa"/>
              <w:bottom w:w="0" w:type="dxa"/>
              <w:right w:w="100" w:type="dxa"/>
            </w:tcMar>
          </w:tcPr>
          <w:p w14:paraId="69F274CD" w14:textId="77777777" w:rsidR="00DA7E40" w:rsidRPr="00D800F0" w:rsidRDefault="00DA7E40" w:rsidP="0000614D">
            <w:pPr>
              <w:spacing w:line="256" w:lineRule="auto"/>
              <w:jc w:val="center"/>
              <w:rPr>
                <w:rFonts w:ascii="Arial" w:hAnsi="Arial" w:cs="Arial"/>
              </w:rPr>
            </w:pPr>
            <w:r w:rsidRPr="00D800F0">
              <w:rPr>
                <w:rFonts w:ascii="Arial" w:hAnsi="Arial" w:cs="Arial"/>
              </w:rPr>
              <w:t>uniform(0.1, 0.8)</w:t>
            </w:r>
          </w:p>
        </w:tc>
        <w:tc>
          <w:tcPr>
            <w:tcW w:w="1578" w:type="dxa"/>
            <w:tcMar>
              <w:top w:w="0" w:type="dxa"/>
              <w:left w:w="100" w:type="dxa"/>
              <w:bottom w:w="0" w:type="dxa"/>
              <w:right w:w="100" w:type="dxa"/>
            </w:tcMar>
          </w:tcPr>
          <w:p w14:paraId="1577BF02" w14:textId="77777777" w:rsidR="00DA7E40" w:rsidRPr="00D800F0" w:rsidRDefault="00DA7E40" w:rsidP="0000614D">
            <w:pPr>
              <w:spacing w:line="256" w:lineRule="auto"/>
              <w:jc w:val="center"/>
              <w:rPr>
                <w:rFonts w:ascii="Arial" w:hAnsi="Arial" w:cs="Arial"/>
              </w:rPr>
            </w:pPr>
            <w:r w:rsidRPr="00D800F0">
              <w:rPr>
                <w:rFonts w:ascii="Arial" w:hAnsi="Arial" w:cs="Arial"/>
              </w:rPr>
              <w:t>% PE</w:t>
            </w:r>
          </w:p>
        </w:tc>
        <w:tc>
          <w:tcPr>
            <w:tcW w:w="2160" w:type="dxa"/>
            <w:tcMar>
              <w:top w:w="0" w:type="dxa"/>
              <w:left w:w="100" w:type="dxa"/>
              <w:bottom w:w="0" w:type="dxa"/>
              <w:right w:w="100" w:type="dxa"/>
            </w:tcMar>
          </w:tcPr>
          <w:p w14:paraId="2DE75DBC"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091F2D0D" w14:textId="77777777" w:rsidTr="0000614D">
        <w:trPr>
          <w:cantSplit/>
          <w:trHeight w:val="405"/>
        </w:trPr>
        <w:tc>
          <w:tcPr>
            <w:tcW w:w="1620" w:type="dxa"/>
            <w:tcMar>
              <w:top w:w="0" w:type="dxa"/>
              <w:left w:w="100" w:type="dxa"/>
              <w:bottom w:w="0" w:type="dxa"/>
              <w:right w:w="100" w:type="dxa"/>
            </w:tcMar>
          </w:tcPr>
          <w:p w14:paraId="4A76A2AF"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el</m:t>
                    </m:r>
                  </m:sub>
                </m:sSub>
              </m:oMath>
            </m:oMathPara>
          </w:p>
        </w:tc>
        <w:tc>
          <w:tcPr>
            <w:tcW w:w="4002" w:type="dxa"/>
            <w:tcMar>
              <w:top w:w="0" w:type="dxa"/>
              <w:left w:w="100" w:type="dxa"/>
              <w:bottom w:w="0" w:type="dxa"/>
              <w:right w:w="100" w:type="dxa"/>
            </w:tcMar>
          </w:tcPr>
          <w:p w14:paraId="444BECD0" w14:textId="77777777" w:rsidR="00DA7E40" w:rsidRPr="00D800F0" w:rsidRDefault="00DA7E40" w:rsidP="0000614D">
            <w:pPr>
              <w:spacing w:line="256" w:lineRule="auto"/>
              <w:jc w:val="center"/>
              <w:rPr>
                <w:rFonts w:ascii="Arial" w:hAnsi="Arial" w:cs="Arial"/>
              </w:rPr>
            </w:pPr>
            <w:r w:rsidRPr="00D800F0">
              <w:rPr>
                <w:rFonts w:ascii="Arial" w:hAnsi="Arial" w:cs="Arial"/>
              </w:rPr>
              <w:t>uniform(0.1, 0.4)</w:t>
            </w:r>
          </w:p>
        </w:tc>
        <w:tc>
          <w:tcPr>
            <w:tcW w:w="1578" w:type="dxa"/>
            <w:tcMar>
              <w:top w:w="0" w:type="dxa"/>
              <w:left w:w="100" w:type="dxa"/>
              <w:bottom w:w="0" w:type="dxa"/>
              <w:right w:w="100" w:type="dxa"/>
            </w:tcMar>
          </w:tcPr>
          <w:p w14:paraId="2FC8CE37" w14:textId="77777777" w:rsidR="00DA7E40" w:rsidRPr="00D800F0" w:rsidRDefault="00DA7E40" w:rsidP="0000614D">
            <w:pPr>
              <w:spacing w:line="256" w:lineRule="auto"/>
              <w:jc w:val="center"/>
              <w:rPr>
                <w:rFonts w:ascii="Arial" w:hAnsi="Arial" w:cs="Arial"/>
              </w:rPr>
            </w:pPr>
            <w:r w:rsidRPr="00D800F0">
              <w:rPr>
                <w:rFonts w:ascii="Arial" w:hAnsi="Arial" w:cs="Arial"/>
              </w:rPr>
              <w:t>% PE</w:t>
            </w:r>
          </w:p>
        </w:tc>
        <w:tc>
          <w:tcPr>
            <w:tcW w:w="2160" w:type="dxa"/>
            <w:tcMar>
              <w:top w:w="0" w:type="dxa"/>
              <w:left w:w="100" w:type="dxa"/>
              <w:bottom w:w="0" w:type="dxa"/>
              <w:right w:w="100" w:type="dxa"/>
            </w:tcMar>
          </w:tcPr>
          <w:p w14:paraId="459BE7FA"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0F0F55B6" w14:textId="77777777" w:rsidTr="0000614D">
        <w:trPr>
          <w:cantSplit/>
          <w:trHeight w:val="405"/>
        </w:trPr>
        <w:tc>
          <w:tcPr>
            <w:tcW w:w="1620" w:type="dxa"/>
            <w:tcMar>
              <w:top w:w="0" w:type="dxa"/>
              <w:left w:w="100" w:type="dxa"/>
              <w:bottom w:w="0" w:type="dxa"/>
              <w:right w:w="100" w:type="dxa"/>
            </w:tcMar>
          </w:tcPr>
          <w:p w14:paraId="0C100D4A"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b</m:t>
                    </m:r>
                  </m:sub>
                </m:sSub>
              </m:oMath>
            </m:oMathPara>
          </w:p>
        </w:tc>
        <w:tc>
          <w:tcPr>
            <w:tcW w:w="4002" w:type="dxa"/>
            <w:tcMar>
              <w:top w:w="0" w:type="dxa"/>
              <w:left w:w="100" w:type="dxa"/>
              <w:bottom w:w="0" w:type="dxa"/>
              <w:right w:w="100" w:type="dxa"/>
            </w:tcMar>
          </w:tcPr>
          <w:p w14:paraId="5EDA80E2" w14:textId="77777777" w:rsidR="00DA7E40" w:rsidRPr="00D800F0" w:rsidRDefault="00DA7E40" w:rsidP="0000614D">
            <w:pPr>
              <w:spacing w:line="256" w:lineRule="auto"/>
              <w:jc w:val="center"/>
              <w:rPr>
                <w:rFonts w:ascii="Arial" w:hAnsi="Arial" w:cs="Arial"/>
              </w:rPr>
            </w:pPr>
            <w:r w:rsidRPr="00D800F0">
              <w:rPr>
                <w:rFonts w:ascii="Arial" w:hAnsi="Arial" w:cs="Arial"/>
              </w:rPr>
              <w:t>uniform(0.1, 0.7)</w:t>
            </w:r>
          </w:p>
        </w:tc>
        <w:tc>
          <w:tcPr>
            <w:tcW w:w="1578" w:type="dxa"/>
            <w:tcMar>
              <w:top w:w="0" w:type="dxa"/>
              <w:left w:w="100" w:type="dxa"/>
              <w:bottom w:w="0" w:type="dxa"/>
              <w:right w:w="100" w:type="dxa"/>
            </w:tcMar>
          </w:tcPr>
          <w:p w14:paraId="7F8F565C" w14:textId="77777777" w:rsidR="00DA7E40" w:rsidRPr="00D800F0" w:rsidRDefault="00DA7E40" w:rsidP="0000614D">
            <w:pPr>
              <w:spacing w:line="256" w:lineRule="auto"/>
              <w:jc w:val="center"/>
              <w:rPr>
                <w:rFonts w:ascii="Arial" w:hAnsi="Arial" w:cs="Arial"/>
              </w:rPr>
            </w:pPr>
            <w:r w:rsidRPr="00D800F0">
              <w:rPr>
                <w:rFonts w:ascii="Arial" w:hAnsi="Arial" w:cs="Arial"/>
              </w:rPr>
              <w:t>% PE</w:t>
            </w:r>
          </w:p>
        </w:tc>
        <w:tc>
          <w:tcPr>
            <w:tcW w:w="2160" w:type="dxa"/>
            <w:tcMar>
              <w:top w:w="0" w:type="dxa"/>
              <w:left w:w="100" w:type="dxa"/>
              <w:bottom w:w="0" w:type="dxa"/>
              <w:right w:w="100" w:type="dxa"/>
            </w:tcMar>
          </w:tcPr>
          <w:p w14:paraId="38F0F5B8"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1F4F61F5" w14:textId="77777777" w:rsidTr="0000614D">
        <w:trPr>
          <w:cantSplit/>
          <w:trHeight w:val="630"/>
        </w:trPr>
        <w:tc>
          <w:tcPr>
            <w:tcW w:w="1620" w:type="dxa"/>
            <w:tcBorders>
              <w:bottom w:val="nil"/>
            </w:tcBorders>
            <w:tcMar>
              <w:top w:w="0" w:type="dxa"/>
              <w:left w:w="100" w:type="dxa"/>
              <w:bottom w:w="0" w:type="dxa"/>
              <w:right w:w="100" w:type="dxa"/>
            </w:tcMar>
          </w:tcPr>
          <w:p w14:paraId="5A57CDA1"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sf&amp;yi</m:t>
                    </m:r>
                  </m:sub>
                </m:sSub>
              </m:oMath>
            </m:oMathPara>
          </w:p>
        </w:tc>
        <w:tc>
          <w:tcPr>
            <w:tcW w:w="4002" w:type="dxa"/>
            <w:tcBorders>
              <w:bottom w:val="nil"/>
            </w:tcBorders>
            <w:tcMar>
              <w:top w:w="0" w:type="dxa"/>
              <w:left w:w="100" w:type="dxa"/>
              <w:bottom w:w="0" w:type="dxa"/>
              <w:right w:w="100" w:type="dxa"/>
            </w:tcMar>
          </w:tcPr>
          <w:p w14:paraId="75788143" w14:textId="77777777" w:rsidR="00DA7E40" w:rsidRPr="00D800F0" w:rsidRDefault="00DA7E40" w:rsidP="0000614D">
            <w:pPr>
              <w:spacing w:line="256" w:lineRule="auto"/>
              <w:jc w:val="center"/>
              <w:rPr>
                <w:rFonts w:ascii="Arial" w:hAnsi="Arial" w:cs="Arial"/>
              </w:rPr>
            </w:pPr>
            <w:r w:rsidRPr="00D800F0">
              <w:rPr>
                <w:rFonts w:ascii="Arial" w:hAnsi="Arial" w:cs="Arial"/>
              </w:rPr>
              <w:t>uniform(0.05, 0.18)</w:t>
            </w:r>
          </w:p>
        </w:tc>
        <w:tc>
          <w:tcPr>
            <w:tcW w:w="1578" w:type="dxa"/>
            <w:tcBorders>
              <w:bottom w:val="nil"/>
            </w:tcBorders>
            <w:tcMar>
              <w:top w:w="0" w:type="dxa"/>
              <w:left w:w="100" w:type="dxa"/>
              <w:bottom w:w="0" w:type="dxa"/>
              <w:right w:w="100" w:type="dxa"/>
            </w:tcMar>
          </w:tcPr>
          <w:p w14:paraId="2B03D722" w14:textId="77777777" w:rsidR="00DA7E40" w:rsidRPr="00D800F0" w:rsidRDefault="00DA7E40" w:rsidP="0000614D">
            <w:pPr>
              <w:spacing w:line="256" w:lineRule="auto"/>
              <w:jc w:val="center"/>
              <w:rPr>
                <w:rFonts w:ascii="Arial" w:hAnsi="Arial" w:cs="Arial"/>
              </w:rPr>
            </w:pPr>
            <w:r w:rsidRPr="00D800F0">
              <w:rPr>
                <w:rFonts w:ascii="Arial" w:hAnsi="Arial" w:cs="Arial"/>
              </w:rPr>
              <w:t>% PE</w:t>
            </w:r>
          </w:p>
        </w:tc>
        <w:tc>
          <w:tcPr>
            <w:tcW w:w="2160" w:type="dxa"/>
            <w:tcBorders>
              <w:bottom w:val="nil"/>
            </w:tcBorders>
            <w:tcMar>
              <w:top w:w="0" w:type="dxa"/>
              <w:left w:w="100" w:type="dxa"/>
              <w:bottom w:w="0" w:type="dxa"/>
              <w:right w:w="100" w:type="dxa"/>
            </w:tcMar>
          </w:tcPr>
          <w:p w14:paraId="4D610D7D"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67CD22A5" w14:textId="77777777" w:rsidTr="0000614D">
        <w:trPr>
          <w:cantSplit/>
          <w:trHeight w:val="405"/>
        </w:trPr>
        <w:tc>
          <w:tcPr>
            <w:tcW w:w="1620" w:type="dxa"/>
            <w:tcBorders>
              <w:top w:val="nil"/>
              <w:bottom w:val="nil"/>
            </w:tcBorders>
            <w:tcMar>
              <w:top w:w="0" w:type="dxa"/>
              <w:left w:w="100" w:type="dxa"/>
              <w:bottom w:w="0" w:type="dxa"/>
              <w:right w:w="100" w:type="dxa"/>
            </w:tcMar>
          </w:tcPr>
          <w:p w14:paraId="436DBCE9"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land</m:t>
                    </m:r>
                  </m:sub>
                </m:sSub>
              </m:oMath>
            </m:oMathPara>
          </w:p>
        </w:tc>
        <w:tc>
          <w:tcPr>
            <w:tcW w:w="4002" w:type="dxa"/>
            <w:tcBorders>
              <w:top w:val="nil"/>
              <w:bottom w:val="nil"/>
            </w:tcBorders>
            <w:tcMar>
              <w:top w:w="0" w:type="dxa"/>
              <w:left w:w="100" w:type="dxa"/>
              <w:bottom w:w="0" w:type="dxa"/>
              <w:right w:w="100" w:type="dxa"/>
            </w:tcMar>
          </w:tcPr>
          <w:p w14:paraId="63F5065E" w14:textId="77777777" w:rsidR="00DA7E40" w:rsidRPr="00D800F0" w:rsidRDefault="00DA7E40" w:rsidP="0000614D">
            <w:pPr>
              <w:spacing w:line="256" w:lineRule="auto"/>
              <w:jc w:val="center"/>
              <w:rPr>
                <w:rFonts w:ascii="Arial" w:hAnsi="Arial" w:cs="Arial"/>
              </w:rPr>
            </w:pPr>
            <w:r w:rsidRPr="00D800F0">
              <w:rPr>
                <w:rFonts w:ascii="Arial" w:hAnsi="Arial" w:cs="Arial"/>
              </w:rPr>
              <w:t>900000</w:t>
            </w:r>
          </w:p>
        </w:tc>
        <w:tc>
          <w:tcPr>
            <w:tcW w:w="1578" w:type="dxa"/>
            <w:tcBorders>
              <w:top w:val="nil"/>
              <w:bottom w:val="nil"/>
            </w:tcBorders>
            <w:tcMar>
              <w:top w:w="0" w:type="dxa"/>
              <w:left w:w="100" w:type="dxa"/>
              <w:bottom w:w="0" w:type="dxa"/>
              <w:right w:w="100" w:type="dxa"/>
            </w:tcMar>
          </w:tcPr>
          <w:p w14:paraId="4A02282D"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2160" w:type="dxa"/>
            <w:tcBorders>
              <w:top w:val="nil"/>
              <w:bottom w:val="nil"/>
            </w:tcBorders>
            <w:tcMar>
              <w:top w:w="0" w:type="dxa"/>
              <w:left w:w="100" w:type="dxa"/>
              <w:bottom w:w="0" w:type="dxa"/>
              <w:right w:w="100" w:type="dxa"/>
            </w:tcMar>
          </w:tcPr>
          <w:p w14:paraId="4FCC32FE" w14:textId="77777777" w:rsidR="00DA7E40" w:rsidRPr="00D800F0" w:rsidRDefault="00DA7E40" w:rsidP="0000614D">
            <w:pPr>
              <w:spacing w:line="256" w:lineRule="auto"/>
              <w:jc w:val="center"/>
              <w:rPr>
                <w:rFonts w:ascii="Arial" w:hAnsi="Arial" w:cs="Arial"/>
              </w:rPr>
            </w:pPr>
            <w:r w:rsidRPr="00D800F0">
              <w:rPr>
                <w:rFonts w:ascii="Arial" w:hAnsi="Arial" w:cs="Arial"/>
              </w:rPr>
              <w:t>Lewis et al. 2022</w:t>
            </w:r>
          </w:p>
        </w:tc>
      </w:tr>
      <w:tr w:rsidR="00DA7E40" w:rsidRPr="00D800F0" w14:paraId="773193B3" w14:textId="77777777" w:rsidTr="0000614D">
        <w:trPr>
          <w:cantSplit/>
          <w:trHeight w:val="630"/>
        </w:trPr>
        <w:tc>
          <w:tcPr>
            <w:tcW w:w="1620" w:type="dxa"/>
            <w:tcBorders>
              <w:top w:val="nil"/>
            </w:tcBorders>
            <w:tcMar>
              <w:top w:w="0" w:type="dxa"/>
              <w:left w:w="100" w:type="dxa"/>
              <w:bottom w:w="0" w:type="dxa"/>
              <w:right w:w="100" w:type="dxa"/>
            </w:tcMar>
          </w:tcPr>
          <w:p w14:paraId="43B7151E" w14:textId="77777777" w:rsidR="00DA7E40" w:rsidRPr="00D800F0" w:rsidRDefault="00DA7E40" w:rsidP="0000614D">
            <w:pPr>
              <w:jc w:val="center"/>
              <w:rPr>
                <w:rFonts w:ascii="Arial" w:eastAsia="Cambria Math" w:hAnsi="Arial" w:cs="Arial"/>
              </w:rPr>
            </w:pPr>
            <m:oMathPara>
              <m:oMath>
                <m:r>
                  <m:rPr>
                    <m:sty m:val="bi"/>
                  </m:rPr>
                  <w:rPr>
                    <w:rFonts w:ascii="Cambria Math" w:eastAsia="Cambria Math" w:hAnsi="Cambria Math" w:cs="Arial"/>
                  </w:rPr>
                  <m:t xml:space="preserve"> </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eng</m:t>
                    </m:r>
                  </m:sub>
                </m:sSub>
              </m:oMath>
            </m:oMathPara>
          </w:p>
        </w:tc>
        <w:tc>
          <w:tcPr>
            <w:tcW w:w="4002" w:type="dxa"/>
            <w:tcBorders>
              <w:top w:val="nil"/>
            </w:tcBorders>
            <w:tcMar>
              <w:top w:w="0" w:type="dxa"/>
              <w:left w:w="100" w:type="dxa"/>
              <w:bottom w:w="0" w:type="dxa"/>
              <w:right w:w="100" w:type="dxa"/>
            </w:tcMar>
          </w:tcPr>
          <w:p w14:paraId="61B1FF6E" w14:textId="77777777" w:rsidR="00DA7E40" w:rsidRPr="00D800F0" w:rsidRDefault="00DA7E40" w:rsidP="0000614D">
            <w:pPr>
              <w:spacing w:line="256" w:lineRule="auto"/>
              <w:jc w:val="center"/>
              <w:rPr>
                <w:rFonts w:ascii="Arial" w:hAnsi="Arial" w:cs="Arial"/>
              </w:rPr>
            </w:pPr>
            <w:r w:rsidRPr="00D800F0">
              <w:rPr>
                <w:rFonts w:ascii="Arial" w:hAnsi="Arial" w:cs="Arial"/>
              </w:rPr>
              <w:t>uniform(0.05, 0.3)</w:t>
            </w:r>
          </w:p>
        </w:tc>
        <w:tc>
          <w:tcPr>
            <w:tcW w:w="1578" w:type="dxa"/>
            <w:tcBorders>
              <w:top w:val="nil"/>
            </w:tcBorders>
            <w:tcMar>
              <w:top w:w="0" w:type="dxa"/>
              <w:left w:w="100" w:type="dxa"/>
              <w:bottom w:w="0" w:type="dxa"/>
              <w:right w:w="100" w:type="dxa"/>
            </w:tcMar>
          </w:tcPr>
          <w:p w14:paraId="04A10F82" w14:textId="77777777" w:rsidR="00DA7E40" w:rsidRPr="00D800F0" w:rsidRDefault="00DA7E40" w:rsidP="0000614D">
            <w:pPr>
              <w:spacing w:line="256" w:lineRule="auto"/>
              <w:jc w:val="center"/>
              <w:rPr>
                <w:rFonts w:ascii="Arial" w:hAnsi="Arial" w:cs="Arial"/>
              </w:rPr>
            </w:pPr>
            <w:r w:rsidRPr="00D800F0">
              <w:rPr>
                <w:rFonts w:ascii="Arial" w:hAnsi="Arial" w:cs="Arial"/>
              </w:rPr>
              <w:t>% PE</w:t>
            </w:r>
          </w:p>
        </w:tc>
        <w:tc>
          <w:tcPr>
            <w:tcW w:w="2160" w:type="dxa"/>
            <w:tcBorders>
              <w:top w:val="nil"/>
            </w:tcBorders>
            <w:tcMar>
              <w:top w:w="0" w:type="dxa"/>
              <w:left w:w="100" w:type="dxa"/>
              <w:bottom w:w="0" w:type="dxa"/>
              <w:right w:w="100" w:type="dxa"/>
            </w:tcMar>
          </w:tcPr>
          <w:p w14:paraId="31DC9AF6"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7E45D51F" w14:textId="77777777" w:rsidTr="0000614D">
        <w:trPr>
          <w:cantSplit/>
          <w:trHeight w:val="405"/>
        </w:trPr>
        <w:tc>
          <w:tcPr>
            <w:tcW w:w="1620" w:type="dxa"/>
            <w:tcMar>
              <w:top w:w="0" w:type="dxa"/>
              <w:left w:w="100" w:type="dxa"/>
              <w:bottom w:w="0" w:type="dxa"/>
              <w:right w:w="100" w:type="dxa"/>
            </w:tcMar>
          </w:tcPr>
          <w:p w14:paraId="43FC2D0B"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L</m:t>
                    </m:r>
                  </m:sub>
                </m:sSub>
              </m:oMath>
            </m:oMathPara>
          </w:p>
        </w:tc>
        <w:tc>
          <w:tcPr>
            <w:tcW w:w="4002" w:type="dxa"/>
            <w:tcMar>
              <w:top w:w="0" w:type="dxa"/>
              <w:left w:w="100" w:type="dxa"/>
              <w:bottom w:w="0" w:type="dxa"/>
              <w:right w:w="100" w:type="dxa"/>
            </w:tcMar>
          </w:tcPr>
          <w:p w14:paraId="3C58D1F1" w14:textId="77777777" w:rsidR="00DA7E40" w:rsidRPr="00D800F0" w:rsidRDefault="00DA7E40" w:rsidP="0000614D">
            <w:pPr>
              <w:spacing w:line="256" w:lineRule="auto"/>
              <w:jc w:val="center"/>
              <w:rPr>
                <w:rFonts w:ascii="Arial" w:hAnsi="Arial" w:cs="Arial"/>
              </w:rPr>
            </w:pPr>
            <w:r w:rsidRPr="00D800F0">
              <w:rPr>
                <w:rFonts w:ascii="Arial" w:hAnsi="Arial" w:cs="Arial"/>
              </w:rPr>
              <w:t>uniform(0.03, 0.05)</w:t>
            </w:r>
          </w:p>
        </w:tc>
        <w:tc>
          <w:tcPr>
            <w:tcW w:w="1578" w:type="dxa"/>
            <w:tcMar>
              <w:top w:w="0" w:type="dxa"/>
              <w:left w:w="100" w:type="dxa"/>
              <w:bottom w:w="0" w:type="dxa"/>
              <w:right w:w="100" w:type="dxa"/>
            </w:tcMar>
          </w:tcPr>
          <w:p w14:paraId="367AE750" w14:textId="77777777" w:rsidR="00DA7E40" w:rsidRPr="00D800F0" w:rsidRDefault="00DA7E40" w:rsidP="0000614D">
            <w:pPr>
              <w:spacing w:line="256" w:lineRule="auto"/>
              <w:jc w:val="center"/>
              <w:rPr>
                <w:rFonts w:ascii="Arial" w:hAnsi="Arial" w:cs="Arial"/>
              </w:rPr>
            </w:pPr>
            <w:r w:rsidRPr="00D800F0">
              <w:rPr>
                <w:rFonts w:ascii="Arial" w:hAnsi="Arial" w:cs="Arial"/>
              </w:rPr>
              <w:t>% PE</w:t>
            </w:r>
          </w:p>
        </w:tc>
        <w:tc>
          <w:tcPr>
            <w:tcW w:w="2160" w:type="dxa"/>
            <w:tcMar>
              <w:top w:w="0" w:type="dxa"/>
              <w:left w:w="100" w:type="dxa"/>
              <w:bottom w:w="0" w:type="dxa"/>
              <w:right w:w="100" w:type="dxa"/>
            </w:tcMar>
          </w:tcPr>
          <w:p w14:paraId="2408BCF5"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672F6DD0" w14:textId="77777777" w:rsidTr="0000614D">
        <w:trPr>
          <w:cantSplit/>
          <w:trHeight w:val="630"/>
        </w:trPr>
        <w:tc>
          <w:tcPr>
            <w:tcW w:w="1620" w:type="dxa"/>
            <w:tcMar>
              <w:top w:w="0" w:type="dxa"/>
              <w:left w:w="100" w:type="dxa"/>
              <w:bottom w:w="0" w:type="dxa"/>
              <w:right w:w="100" w:type="dxa"/>
            </w:tcMar>
          </w:tcPr>
          <w:p w14:paraId="580E0976"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c</m:t>
                    </m:r>
                  </m:sub>
                </m:sSub>
              </m:oMath>
            </m:oMathPara>
          </w:p>
        </w:tc>
        <w:tc>
          <w:tcPr>
            <w:tcW w:w="4002" w:type="dxa"/>
            <w:tcMar>
              <w:top w:w="0" w:type="dxa"/>
              <w:left w:w="100" w:type="dxa"/>
              <w:bottom w:w="0" w:type="dxa"/>
              <w:right w:w="100" w:type="dxa"/>
            </w:tcMar>
          </w:tcPr>
          <w:p w14:paraId="2D8DCFCE" w14:textId="77777777" w:rsidR="00DA7E40" w:rsidRPr="00D800F0" w:rsidRDefault="00DA7E40" w:rsidP="0000614D">
            <w:pPr>
              <w:spacing w:line="256" w:lineRule="auto"/>
              <w:jc w:val="center"/>
              <w:rPr>
                <w:rFonts w:ascii="Arial" w:hAnsi="Arial" w:cs="Arial"/>
              </w:rPr>
            </w:pPr>
            <w:r w:rsidRPr="00D800F0">
              <w:rPr>
                <w:rFonts w:ascii="Arial" w:hAnsi="Arial" w:cs="Arial"/>
              </w:rPr>
              <w:t>uniform(0.3, 0.4)</w:t>
            </w:r>
          </w:p>
        </w:tc>
        <w:tc>
          <w:tcPr>
            <w:tcW w:w="1578" w:type="dxa"/>
            <w:tcMar>
              <w:top w:w="0" w:type="dxa"/>
              <w:left w:w="100" w:type="dxa"/>
              <w:bottom w:w="0" w:type="dxa"/>
              <w:right w:w="100" w:type="dxa"/>
            </w:tcMar>
          </w:tcPr>
          <w:p w14:paraId="3469E6CE" w14:textId="77777777" w:rsidR="00DA7E40" w:rsidRPr="00D800F0" w:rsidRDefault="00DA7E40" w:rsidP="0000614D">
            <w:pPr>
              <w:spacing w:line="256" w:lineRule="auto"/>
              <w:jc w:val="center"/>
              <w:rPr>
                <w:rFonts w:ascii="Arial" w:hAnsi="Arial" w:cs="Arial"/>
              </w:rPr>
            </w:pPr>
            <w:r w:rsidRPr="00D800F0">
              <w:rPr>
                <w:rFonts w:ascii="Arial" w:hAnsi="Arial" w:cs="Arial"/>
              </w:rPr>
              <w:t>% PE</w:t>
            </w:r>
          </w:p>
        </w:tc>
        <w:tc>
          <w:tcPr>
            <w:tcW w:w="2160" w:type="dxa"/>
            <w:tcMar>
              <w:top w:w="0" w:type="dxa"/>
              <w:left w:w="100" w:type="dxa"/>
              <w:bottom w:w="0" w:type="dxa"/>
              <w:right w:w="100" w:type="dxa"/>
            </w:tcMar>
          </w:tcPr>
          <w:p w14:paraId="5DC845ED"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52DFFD98" w14:textId="77777777" w:rsidTr="0000614D">
        <w:trPr>
          <w:cantSplit/>
          <w:trHeight w:val="405"/>
        </w:trPr>
        <w:tc>
          <w:tcPr>
            <w:tcW w:w="1620" w:type="dxa"/>
            <w:tcMar>
              <w:top w:w="0" w:type="dxa"/>
              <w:left w:w="100" w:type="dxa"/>
              <w:bottom w:w="0" w:type="dxa"/>
              <w:right w:w="100" w:type="dxa"/>
            </w:tcMar>
          </w:tcPr>
          <w:p w14:paraId="2194A0CD"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co</m:t>
                    </m:r>
                  </m:sub>
                </m:sSub>
              </m:oMath>
            </m:oMathPara>
          </w:p>
        </w:tc>
        <w:tc>
          <w:tcPr>
            <w:tcW w:w="4002" w:type="dxa"/>
            <w:tcMar>
              <w:top w:w="0" w:type="dxa"/>
              <w:left w:w="100" w:type="dxa"/>
              <w:bottom w:w="0" w:type="dxa"/>
              <w:right w:w="100" w:type="dxa"/>
            </w:tcMar>
          </w:tcPr>
          <w:p w14:paraId="5DE9A2F3" w14:textId="77777777" w:rsidR="00DA7E40" w:rsidRPr="00D800F0" w:rsidRDefault="00DA7E40" w:rsidP="0000614D">
            <w:pPr>
              <w:spacing w:line="256" w:lineRule="auto"/>
              <w:jc w:val="center"/>
              <w:rPr>
                <w:rFonts w:ascii="Arial" w:hAnsi="Arial" w:cs="Arial"/>
              </w:rPr>
            </w:pPr>
            <w:r w:rsidRPr="00D800F0">
              <w:rPr>
                <w:rFonts w:ascii="Arial" w:hAnsi="Arial" w:cs="Arial"/>
              </w:rPr>
              <w:t>uniform(0.35, 0.45)</w:t>
            </w:r>
          </w:p>
        </w:tc>
        <w:tc>
          <w:tcPr>
            <w:tcW w:w="1578" w:type="dxa"/>
            <w:tcMar>
              <w:top w:w="0" w:type="dxa"/>
              <w:left w:w="100" w:type="dxa"/>
              <w:bottom w:w="0" w:type="dxa"/>
              <w:right w:w="100" w:type="dxa"/>
            </w:tcMar>
          </w:tcPr>
          <w:p w14:paraId="671D333E" w14:textId="77777777" w:rsidR="00DA7E40" w:rsidRPr="00D800F0" w:rsidRDefault="00DA7E40" w:rsidP="0000614D">
            <w:pPr>
              <w:spacing w:line="256" w:lineRule="auto"/>
              <w:jc w:val="center"/>
              <w:rPr>
                <w:rFonts w:ascii="Arial" w:hAnsi="Arial" w:cs="Arial"/>
              </w:rPr>
            </w:pPr>
            <w:r w:rsidRPr="00D800F0">
              <w:rPr>
                <w:rFonts w:ascii="Arial" w:hAnsi="Arial" w:cs="Arial"/>
              </w:rPr>
              <w:t>% PE</w:t>
            </w:r>
          </w:p>
        </w:tc>
        <w:tc>
          <w:tcPr>
            <w:tcW w:w="2160" w:type="dxa"/>
            <w:tcMar>
              <w:top w:w="0" w:type="dxa"/>
              <w:left w:w="100" w:type="dxa"/>
              <w:bottom w:w="0" w:type="dxa"/>
              <w:right w:w="100" w:type="dxa"/>
            </w:tcMar>
          </w:tcPr>
          <w:p w14:paraId="6643D219"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462CADF1" w14:textId="77777777" w:rsidTr="0000614D">
        <w:trPr>
          <w:cantSplit/>
          <w:trHeight w:val="405"/>
        </w:trPr>
        <w:tc>
          <w:tcPr>
            <w:tcW w:w="1620" w:type="dxa"/>
            <w:tcMar>
              <w:top w:w="0" w:type="dxa"/>
              <w:left w:w="100" w:type="dxa"/>
              <w:bottom w:w="0" w:type="dxa"/>
              <w:right w:w="100" w:type="dxa"/>
            </w:tcMar>
          </w:tcPr>
          <w:p w14:paraId="76109B5D"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WC</m:t>
                    </m:r>
                  </m:sub>
                </m:sSub>
              </m:oMath>
            </m:oMathPara>
          </w:p>
        </w:tc>
        <w:tc>
          <w:tcPr>
            <w:tcW w:w="4002" w:type="dxa"/>
            <w:tcMar>
              <w:top w:w="0" w:type="dxa"/>
              <w:left w:w="100" w:type="dxa"/>
              <w:bottom w:w="0" w:type="dxa"/>
              <w:right w:w="100" w:type="dxa"/>
            </w:tcMar>
          </w:tcPr>
          <w:p w14:paraId="7625353E" w14:textId="77777777" w:rsidR="00DA7E40" w:rsidRPr="00D800F0" w:rsidRDefault="00DA7E40" w:rsidP="0000614D">
            <w:pPr>
              <w:spacing w:line="256" w:lineRule="auto"/>
              <w:jc w:val="center"/>
              <w:rPr>
                <w:rFonts w:ascii="Arial" w:hAnsi="Arial" w:cs="Arial"/>
              </w:rPr>
            </w:pPr>
            <w:r w:rsidRPr="00D800F0">
              <w:rPr>
                <w:rFonts w:ascii="Arial" w:hAnsi="Arial" w:cs="Arial"/>
              </w:rPr>
              <w:t>uniform(0.1, 0.2)</w:t>
            </w:r>
          </w:p>
        </w:tc>
        <w:tc>
          <w:tcPr>
            <w:tcW w:w="1578" w:type="dxa"/>
            <w:tcMar>
              <w:top w:w="0" w:type="dxa"/>
              <w:left w:w="100" w:type="dxa"/>
              <w:bottom w:w="0" w:type="dxa"/>
              <w:right w:w="100" w:type="dxa"/>
            </w:tcMar>
          </w:tcPr>
          <w:p w14:paraId="0C789279" w14:textId="77777777" w:rsidR="00DA7E40" w:rsidRPr="00D800F0" w:rsidRDefault="00DA7E40" w:rsidP="0000614D">
            <w:pPr>
              <w:spacing w:line="256" w:lineRule="auto"/>
              <w:jc w:val="center"/>
              <w:rPr>
                <w:rFonts w:ascii="Arial" w:hAnsi="Arial" w:cs="Arial"/>
              </w:rPr>
            </w:pPr>
            <w:r w:rsidRPr="00D800F0">
              <w:rPr>
                <w:rFonts w:ascii="Arial" w:hAnsi="Arial" w:cs="Arial"/>
              </w:rPr>
              <w:t>% FCI</w:t>
            </w:r>
          </w:p>
        </w:tc>
        <w:tc>
          <w:tcPr>
            <w:tcW w:w="2160" w:type="dxa"/>
            <w:tcMar>
              <w:top w:w="0" w:type="dxa"/>
              <w:left w:w="100" w:type="dxa"/>
              <w:bottom w:w="0" w:type="dxa"/>
              <w:right w:w="100" w:type="dxa"/>
            </w:tcMar>
          </w:tcPr>
          <w:p w14:paraId="0897E4AE"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45B01686" w14:textId="77777777" w:rsidTr="0000614D">
        <w:trPr>
          <w:cantSplit/>
          <w:trHeight w:val="405"/>
        </w:trPr>
        <w:tc>
          <w:tcPr>
            <w:tcW w:w="1620" w:type="dxa"/>
            <w:tcMar>
              <w:top w:w="0" w:type="dxa"/>
              <w:left w:w="100" w:type="dxa"/>
              <w:bottom w:w="0" w:type="dxa"/>
              <w:right w:w="100" w:type="dxa"/>
            </w:tcMar>
            <w:vAlign w:val="center"/>
          </w:tcPr>
          <w:p w14:paraId="3B19E260" w14:textId="77777777" w:rsidR="00DA7E40" w:rsidRPr="00D800F0" w:rsidRDefault="00000000" w:rsidP="0000614D">
            <w:pPr>
              <w:jc w:val="center"/>
              <w:rPr>
                <w:rFonts w:ascii="Arial" w:hAnsi="Arial" w:cs="Arial"/>
                <w:b/>
                <w:bCs/>
              </w:rPr>
            </w:pPr>
            <m:oMathPara>
              <m:oMath>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AEC</m:t>
                    </m:r>
                  </m:sub>
                </m:sSub>
              </m:oMath>
            </m:oMathPara>
          </w:p>
        </w:tc>
        <w:tc>
          <w:tcPr>
            <w:tcW w:w="4002" w:type="dxa"/>
            <w:tcMar>
              <w:top w:w="0" w:type="dxa"/>
              <w:left w:w="100" w:type="dxa"/>
              <w:bottom w:w="0" w:type="dxa"/>
              <w:right w:w="100" w:type="dxa"/>
            </w:tcMar>
            <w:vAlign w:val="center"/>
          </w:tcPr>
          <w:p w14:paraId="6B0E3EF6" w14:textId="77777777" w:rsidR="00DA7E40" w:rsidRPr="00D800F0" w:rsidRDefault="00DA7E40" w:rsidP="0000614D">
            <w:pPr>
              <w:spacing w:line="256" w:lineRule="auto"/>
              <w:jc w:val="center"/>
              <w:rPr>
                <w:rFonts w:ascii="Arial" w:hAnsi="Arial" w:cs="Arial"/>
              </w:rPr>
            </w:pPr>
            <w:r w:rsidRPr="00D800F0">
              <w:rPr>
                <w:rFonts w:ascii="Arial" w:hAnsi="Arial" w:cs="Arial"/>
              </w:rPr>
              <w:t>2026: uniform (750, 1000)</w:t>
            </w:r>
          </w:p>
          <w:p w14:paraId="1C924527" w14:textId="77777777" w:rsidR="00DA7E40" w:rsidRPr="00D800F0" w:rsidRDefault="00DA7E40" w:rsidP="0000614D">
            <w:pPr>
              <w:spacing w:line="256" w:lineRule="auto"/>
              <w:jc w:val="center"/>
              <w:rPr>
                <w:rFonts w:ascii="Arial" w:hAnsi="Arial" w:cs="Arial"/>
              </w:rPr>
            </w:pPr>
            <w:r w:rsidRPr="00D800F0">
              <w:rPr>
                <w:rFonts w:ascii="Arial" w:hAnsi="Arial" w:cs="Arial"/>
              </w:rPr>
              <w:t>2033: uniform (500, 1000)</w:t>
            </w:r>
          </w:p>
        </w:tc>
        <w:tc>
          <w:tcPr>
            <w:tcW w:w="1578" w:type="dxa"/>
            <w:tcMar>
              <w:top w:w="0" w:type="dxa"/>
              <w:left w:w="100" w:type="dxa"/>
              <w:bottom w:w="0" w:type="dxa"/>
              <w:right w:w="100" w:type="dxa"/>
            </w:tcMar>
            <w:vAlign w:val="center"/>
          </w:tcPr>
          <w:p w14:paraId="32739E4B" w14:textId="77777777" w:rsidR="00DA7E40" w:rsidRPr="00D800F0" w:rsidRDefault="00DA7E40" w:rsidP="0000614D">
            <w:pPr>
              <w:spacing w:line="256" w:lineRule="auto"/>
              <w:jc w:val="center"/>
              <w:rPr>
                <w:rFonts w:ascii="Arial" w:hAnsi="Arial" w:cs="Arial"/>
              </w:rPr>
            </w:pPr>
            <w:r w:rsidRPr="00D800F0">
              <w:rPr>
                <w:rFonts w:ascii="Arial" w:hAnsi="Arial" w:cs="Arial"/>
              </w:rPr>
              <w:t>$/kWe</w:t>
            </w:r>
          </w:p>
        </w:tc>
        <w:tc>
          <w:tcPr>
            <w:tcW w:w="2160" w:type="dxa"/>
            <w:tcMar>
              <w:top w:w="0" w:type="dxa"/>
              <w:left w:w="100" w:type="dxa"/>
              <w:bottom w:w="0" w:type="dxa"/>
              <w:right w:w="100" w:type="dxa"/>
            </w:tcMar>
            <w:vAlign w:val="center"/>
          </w:tcPr>
          <w:p w14:paraId="188C74C5" w14:textId="77777777" w:rsidR="00DA7E40" w:rsidRPr="00D800F0" w:rsidRDefault="00DA7E40" w:rsidP="0000614D">
            <w:pPr>
              <w:spacing w:line="256" w:lineRule="auto"/>
              <w:jc w:val="center"/>
              <w:rPr>
                <w:rFonts w:ascii="Arial" w:hAnsi="Arial" w:cs="Arial"/>
              </w:rPr>
            </w:pPr>
            <w:r w:rsidRPr="00D800F0">
              <w:rPr>
                <w:rFonts w:ascii="Arial" w:hAnsi="Arial" w:cs="Arial"/>
              </w:rPr>
              <w:t>Böhm et al., 2020;</w:t>
            </w:r>
          </w:p>
          <w:p w14:paraId="5F687505" w14:textId="77777777" w:rsidR="00DA7E40" w:rsidRPr="00D800F0" w:rsidRDefault="00DA7E40" w:rsidP="0000614D">
            <w:pPr>
              <w:spacing w:line="256" w:lineRule="auto"/>
              <w:jc w:val="center"/>
              <w:rPr>
                <w:rFonts w:ascii="Arial" w:hAnsi="Arial" w:cs="Arial"/>
              </w:rPr>
            </w:pPr>
            <w:r w:rsidRPr="00D800F0">
              <w:rPr>
                <w:rFonts w:ascii="Arial" w:hAnsi="Arial" w:cs="Arial"/>
              </w:rPr>
              <w:t>Schimdt et al., 2017;</w:t>
            </w:r>
          </w:p>
          <w:p w14:paraId="455E1749" w14:textId="77777777" w:rsidR="00DA7E40" w:rsidRPr="00D800F0" w:rsidRDefault="00DA7E40" w:rsidP="0000614D">
            <w:pPr>
              <w:spacing w:line="256" w:lineRule="auto"/>
              <w:jc w:val="center"/>
              <w:rPr>
                <w:rFonts w:ascii="Arial" w:hAnsi="Arial" w:cs="Arial"/>
              </w:rPr>
            </w:pPr>
            <w:r w:rsidRPr="00D800F0">
              <w:rPr>
                <w:rFonts w:ascii="Arial" w:hAnsi="Arial" w:cs="Arial"/>
              </w:rPr>
              <w:t xml:space="preserve">IRENA, 2020 </w:t>
            </w:r>
          </w:p>
        </w:tc>
      </w:tr>
      <w:bookmarkEnd w:id="26"/>
    </w:tbl>
    <w:p w14:paraId="0F5CE5B4" w14:textId="77777777" w:rsidR="00DA7E40" w:rsidRPr="00D800F0" w:rsidRDefault="00DA7E40" w:rsidP="00DA7E40">
      <w:pPr>
        <w:rPr>
          <w:rFonts w:ascii="Arial" w:hAnsi="Arial" w:cs="Arial"/>
        </w:rPr>
      </w:pPr>
    </w:p>
    <w:p w14:paraId="79E4E7C1"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3</w:t>
      </w:r>
      <w:r w:rsidRPr="00D800F0">
        <w:rPr>
          <w:rFonts w:ascii="Arial" w:hAnsi="Arial" w:cs="Arial"/>
          <w:noProof/>
        </w:rPr>
        <w:fldChar w:fldCharType="end"/>
      </w:r>
      <w:r w:rsidRPr="00D800F0">
        <w:rPr>
          <w:rFonts w:ascii="Arial" w:hAnsi="Arial" w:cs="Arial"/>
        </w:rPr>
        <w:t xml:space="preserve">: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r w:rsidRPr="00D800F0">
        <w:rPr>
          <w:rFonts w:ascii="Arial" w:hAnsi="Arial" w:cs="Arial"/>
          <w:b/>
          <w:color w:val="000000"/>
          <w:sz w:val="20"/>
          <w:szCs w:val="20"/>
        </w:rPr>
        <w:t xml:space="preserve"> </w:t>
      </w:r>
      <w:r w:rsidRPr="00D800F0">
        <w:rPr>
          <w:rFonts w:ascii="Arial" w:hAnsi="Arial" w:cs="Arial"/>
          <w:color w:val="000000"/>
          <w:sz w:val="20"/>
          <w:szCs w:val="20"/>
        </w:rPr>
        <w:t xml:space="preserve">and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sub>
        </m:sSub>
      </m:oMath>
      <w:r w:rsidRPr="00D800F0">
        <w:rPr>
          <w:rFonts w:ascii="Arial" w:hAnsi="Arial" w:cs="Arial"/>
        </w:rPr>
        <w:t xml:space="preserve"> for each technology. </w:t>
      </w: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85"/>
        <w:gridCol w:w="2537"/>
        <w:gridCol w:w="1936"/>
        <w:gridCol w:w="1802"/>
      </w:tblGrid>
      <w:tr w:rsidR="00DA7E40" w:rsidRPr="00D800F0" w14:paraId="4F6383A8" w14:textId="77777777" w:rsidTr="0000614D">
        <w:trPr>
          <w:cantSplit/>
          <w:trHeight w:val="405"/>
        </w:trPr>
        <w:tc>
          <w:tcPr>
            <w:tcW w:w="3085" w:type="dxa"/>
            <w:tcBorders>
              <w:top w:val="single" w:sz="4" w:space="0" w:color="auto"/>
              <w:left w:val="nil"/>
              <w:bottom w:val="single" w:sz="4" w:space="0" w:color="auto"/>
              <w:right w:val="nil"/>
            </w:tcBorders>
            <w:tcMar>
              <w:top w:w="0" w:type="dxa"/>
              <w:left w:w="100" w:type="dxa"/>
              <w:bottom w:w="0" w:type="dxa"/>
              <w:right w:w="100" w:type="dxa"/>
            </w:tcMar>
          </w:tcPr>
          <w:p w14:paraId="5D9BCE3F"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2537" w:type="dxa"/>
            <w:tcBorders>
              <w:top w:val="single" w:sz="4" w:space="0" w:color="auto"/>
              <w:left w:val="nil"/>
              <w:bottom w:val="single" w:sz="4" w:space="0" w:color="auto"/>
              <w:right w:val="nil"/>
            </w:tcBorders>
            <w:tcMar>
              <w:top w:w="0" w:type="dxa"/>
              <w:left w:w="100" w:type="dxa"/>
              <w:bottom w:w="0" w:type="dxa"/>
              <w:right w:w="100" w:type="dxa"/>
            </w:tcMar>
          </w:tcPr>
          <w:p w14:paraId="3D443FE5" w14:textId="77777777" w:rsidR="00DA7E40" w:rsidRPr="00D800F0" w:rsidRDefault="00DA7E40" w:rsidP="0000614D">
            <w:pPr>
              <w:spacing w:line="256" w:lineRule="auto"/>
              <w:jc w:val="center"/>
              <w:rPr>
                <w:rFonts w:ascii="Arial" w:hAnsi="Arial" w:cs="Arial"/>
                <w:b/>
                <w:vertAlign w:val="superscript"/>
              </w:rPr>
            </w:pPr>
            <w:r w:rsidRPr="00D800F0">
              <w:rPr>
                <w:rFonts w:ascii="Arial" w:hAnsi="Arial" w:cs="Arial"/>
                <w:b/>
              </w:rPr>
              <w:t>Value</w:t>
            </w:r>
            <w:r w:rsidRPr="00D800F0">
              <w:rPr>
                <w:rFonts w:ascii="Arial" w:hAnsi="Arial" w:cs="Arial"/>
                <w:b/>
                <w:vertAlign w:val="superscript"/>
              </w:rPr>
              <w:t>A</w:t>
            </w:r>
          </w:p>
        </w:tc>
        <w:tc>
          <w:tcPr>
            <w:tcW w:w="1936" w:type="dxa"/>
            <w:tcBorders>
              <w:top w:val="single" w:sz="4" w:space="0" w:color="auto"/>
              <w:left w:val="nil"/>
              <w:bottom w:val="single" w:sz="4" w:space="0" w:color="auto"/>
              <w:right w:val="nil"/>
            </w:tcBorders>
            <w:tcMar>
              <w:top w:w="0" w:type="dxa"/>
              <w:left w:w="100" w:type="dxa"/>
              <w:bottom w:w="0" w:type="dxa"/>
              <w:right w:w="100" w:type="dxa"/>
            </w:tcMar>
          </w:tcPr>
          <w:p w14:paraId="7E541B70"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1802" w:type="dxa"/>
            <w:tcBorders>
              <w:top w:val="single" w:sz="4" w:space="0" w:color="auto"/>
              <w:left w:val="nil"/>
              <w:bottom w:val="single" w:sz="4" w:space="0" w:color="auto"/>
              <w:right w:val="nil"/>
            </w:tcBorders>
            <w:tcMar>
              <w:top w:w="0" w:type="dxa"/>
              <w:left w:w="100" w:type="dxa"/>
              <w:bottom w:w="0" w:type="dxa"/>
              <w:right w:w="100" w:type="dxa"/>
            </w:tcMar>
          </w:tcPr>
          <w:p w14:paraId="7BADA36D"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tr w:rsidR="00DA7E40" w:rsidRPr="00D800F0" w14:paraId="3E26CF93" w14:textId="77777777" w:rsidTr="0000614D">
        <w:trPr>
          <w:cantSplit/>
          <w:trHeight w:val="417"/>
        </w:trPr>
        <w:tc>
          <w:tcPr>
            <w:tcW w:w="3085" w:type="dxa"/>
            <w:tcBorders>
              <w:top w:val="single" w:sz="4" w:space="0" w:color="auto"/>
              <w:left w:val="nil"/>
              <w:bottom w:val="nil"/>
              <w:right w:val="nil"/>
            </w:tcBorders>
            <w:tcMar>
              <w:top w:w="0" w:type="dxa"/>
              <w:left w:w="100" w:type="dxa"/>
              <w:bottom w:w="0" w:type="dxa"/>
              <w:right w:w="100" w:type="dxa"/>
            </w:tcMar>
          </w:tcPr>
          <w:p w14:paraId="37BEB5FF" w14:textId="77777777" w:rsidR="00DA7E40" w:rsidRPr="00D800F0" w:rsidRDefault="00DA7E40" w:rsidP="0000614D">
            <w:pPr>
              <w:spacing w:line="256" w:lineRule="auto"/>
              <w:jc w:val="center"/>
              <w:rPr>
                <w:rFonts w:ascii="Arial" w:hAnsi="Arial" w:cs="Arial"/>
              </w:rPr>
            </w:pPr>
            <w:r w:rsidRPr="00D800F0">
              <w:rPr>
                <w:rFonts w:ascii="Arial" w:hAnsi="Arial" w:cs="Arial"/>
              </w:rPr>
              <w:t>AP SMR</w:t>
            </w:r>
          </w:p>
        </w:tc>
        <w:tc>
          <w:tcPr>
            <w:tcW w:w="2537" w:type="dxa"/>
            <w:tcBorders>
              <w:top w:val="single" w:sz="4" w:space="0" w:color="auto"/>
              <w:left w:val="nil"/>
              <w:bottom w:val="nil"/>
              <w:right w:val="nil"/>
            </w:tcBorders>
            <w:tcMar>
              <w:top w:w="0" w:type="dxa"/>
              <w:left w:w="100" w:type="dxa"/>
              <w:bottom w:w="0" w:type="dxa"/>
              <w:right w:w="100" w:type="dxa"/>
            </w:tcMar>
          </w:tcPr>
          <w:p w14:paraId="2A58DC0B" w14:textId="77777777" w:rsidR="00DA7E40" w:rsidRPr="00D800F0" w:rsidRDefault="00DA7E40" w:rsidP="0000614D">
            <w:pPr>
              <w:spacing w:line="256" w:lineRule="auto"/>
              <w:jc w:val="center"/>
              <w:rPr>
                <w:rFonts w:ascii="Arial" w:hAnsi="Arial" w:cs="Arial"/>
              </w:rPr>
            </w:pPr>
            <w:r w:rsidRPr="00D800F0">
              <w:rPr>
                <w:rFonts w:ascii="Arial" w:hAnsi="Arial" w:cs="Arial"/>
              </w:rPr>
              <w:t>(726947344.6, 508096133.6)</w:t>
            </w:r>
          </w:p>
        </w:tc>
        <w:tc>
          <w:tcPr>
            <w:tcW w:w="1936" w:type="dxa"/>
            <w:tcBorders>
              <w:top w:val="single" w:sz="4" w:space="0" w:color="auto"/>
              <w:left w:val="nil"/>
              <w:bottom w:val="nil"/>
              <w:right w:val="nil"/>
            </w:tcBorders>
            <w:tcMar>
              <w:top w:w="0" w:type="dxa"/>
              <w:left w:w="100" w:type="dxa"/>
              <w:bottom w:w="0" w:type="dxa"/>
              <w:right w:w="100" w:type="dxa"/>
            </w:tcMar>
          </w:tcPr>
          <w:p w14:paraId="2DFE54C2"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shd w:val="clear" w:color="auto" w:fill="F7F7F8"/>
              </w:rPr>
              <w:t>$</w:t>
            </w:r>
          </w:p>
        </w:tc>
        <w:tc>
          <w:tcPr>
            <w:tcW w:w="1802" w:type="dxa"/>
            <w:tcBorders>
              <w:top w:val="single" w:sz="4" w:space="0" w:color="auto"/>
              <w:left w:val="nil"/>
              <w:bottom w:val="nil"/>
              <w:right w:val="nil"/>
            </w:tcBorders>
            <w:tcMar>
              <w:top w:w="0" w:type="dxa"/>
              <w:left w:w="100" w:type="dxa"/>
              <w:bottom w:w="0" w:type="dxa"/>
              <w:right w:w="100" w:type="dxa"/>
            </w:tcMar>
          </w:tcPr>
          <w:p w14:paraId="11066A40"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shd w:val="clear" w:color="auto" w:fill="F7F7F8"/>
              </w:rPr>
              <w:t>Calculated</w:t>
            </w:r>
          </w:p>
        </w:tc>
      </w:tr>
      <w:tr w:rsidR="00DA7E40" w:rsidRPr="00D800F0" w14:paraId="73806D88" w14:textId="77777777" w:rsidTr="0000614D">
        <w:trPr>
          <w:cantSplit/>
          <w:trHeight w:val="630"/>
        </w:trPr>
        <w:tc>
          <w:tcPr>
            <w:tcW w:w="3085" w:type="dxa"/>
            <w:tcBorders>
              <w:top w:val="nil"/>
              <w:left w:val="nil"/>
              <w:bottom w:val="nil"/>
              <w:right w:val="nil"/>
            </w:tcBorders>
            <w:tcMar>
              <w:top w:w="0" w:type="dxa"/>
              <w:left w:w="100" w:type="dxa"/>
              <w:bottom w:w="0" w:type="dxa"/>
              <w:right w:w="100" w:type="dxa"/>
            </w:tcMar>
          </w:tcPr>
          <w:p w14:paraId="71F60853" w14:textId="77777777" w:rsidR="00DA7E40" w:rsidRPr="00D800F0" w:rsidRDefault="00DA7E40" w:rsidP="0000614D">
            <w:pPr>
              <w:spacing w:line="256" w:lineRule="auto"/>
              <w:jc w:val="center"/>
              <w:rPr>
                <w:rFonts w:ascii="Arial" w:hAnsi="Arial" w:cs="Arial"/>
              </w:rPr>
            </w:pPr>
            <w:r w:rsidRPr="00D800F0">
              <w:rPr>
                <w:rFonts w:ascii="Arial" w:hAnsi="Arial" w:cs="Arial"/>
              </w:rPr>
              <w:t>AP CCS</w:t>
            </w:r>
          </w:p>
        </w:tc>
        <w:tc>
          <w:tcPr>
            <w:tcW w:w="2537" w:type="dxa"/>
            <w:tcBorders>
              <w:top w:val="nil"/>
              <w:left w:val="nil"/>
              <w:bottom w:val="nil"/>
              <w:right w:val="nil"/>
            </w:tcBorders>
            <w:tcMar>
              <w:top w:w="0" w:type="dxa"/>
              <w:left w:w="100" w:type="dxa"/>
              <w:bottom w:w="0" w:type="dxa"/>
              <w:right w:w="100" w:type="dxa"/>
            </w:tcMar>
          </w:tcPr>
          <w:p w14:paraId="06AA54C3" w14:textId="77777777" w:rsidR="00DA7E40" w:rsidRPr="00D800F0" w:rsidRDefault="00DA7E40" w:rsidP="0000614D">
            <w:pPr>
              <w:spacing w:line="256" w:lineRule="auto"/>
              <w:jc w:val="center"/>
              <w:rPr>
                <w:rFonts w:ascii="Arial" w:hAnsi="Arial" w:cs="Arial"/>
              </w:rPr>
            </w:pPr>
            <w:r w:rsidRPr="00D800F0">
              <w:rPr>
                <w:rFonts w:ascii="Arial" w:hAnsi="Arial" w:cs="Arial"/>
              </w:rPr>
              <w:t>(1103130442, 781847023.7)</w:t>
            </w:r>
          </w:p>
        </w:tc>
        <w:tc>
          <w:tcPr>
            <w:tcW w:w="1936" w:type="dxa"/>
            <w:tcBorders>
              <w:top w:val="nil"/>
              <w:left w:val="nil"/>
              <w:bottom w:val="nil"/>
              <w:right w:val="nil"/>
            </w:tcBorders>
            <w:tcMar>
              <w:top w:w="0" w:type="dxa"/>
              <w:left w:w="100" w:type="dxa"/>
              <w:bottom w:w="0" w:type="dxa"/>
              <w:right w:w="100" w:type="dxa"/>
            </w:tcMar>
          </w:tcPr>
          <w:p w14:paraId="4F827303"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shd w:val="clear" w:color="auto" w:fill="F7F7F8"/>
              </w:rPr>
              <w:t>$</w:t>
            </w:r>
          </w:p>
        </w:tc>
        <w:tc>
          <w:tcPr>
            <w:tcW w:w="1802" w:type="dxa"/>
            <w:tcBorders>
              <w:top w:val="nil"/>
              <w:left w:val="nil"/>
              <w:bottom w:val="nil"/>
              <w:right w:val="nil"/>
            </w:tcBorders>
            <w:shd w:val="clear" w:color="auto" w:fill="auto"/>
            <w:tcMar>
              <w:top w:w="0" w:type="dxa"/>
              <w:left w:w="100" w:type="dxa"/>
              <w:bottom w:w="0" w:type="dxa"/>
              <w:right w:w="100" w:type="dxa"/>
            </w:tcMar>
          </w:tcPr>
          <w:p w14:paraId="5A832071"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shd w:val="clear" w:color="auto" w:fill="F7F7F8"/>
              </w:rPr>
              <w:t>Calculated</w:t>
            </w:r>
          </w:p>
        </w:tc>
      </w:tr>
      <w:tr w:rsidR="00DA7E40" w:rsidRPr="00D800F0" w14:paraId="5000B448" w14:textId="77777777" w:rsidTr="0000614D">
        <w:trPr>
          <w:cantSplit/>
          <w:trHeight w:val="405"/>
        </w:trPr>
        <w:tc>
          <w:tcPr>
            <w:tcW w:w="3085" w:type="dxa"/>
            <w:tcBorders>
              <w:top w:val="nil"/>
              <w:left w:val="nil"/>
              <w:bottom w:val="nil"/>
              <w:right w:val="nil"/>
            </w:tcBorders>
            <w:tcMar>
              <w:top w:w="0" w:type="dxa"/>
              <w:left w:w="100" w:type="dxa"/>
              <w:bottom w:w="0" w:type="dxa"/>
              <w:right w:w="100" w:type="dxa"/>
            </w:tcMar>
          </w:tcPr>
          <w:p w14:paraId="20F6FC7C" w14:textId="77777777" w:rsidR="00DA7E40" w:rsidRPr="00D800F0" w:rsidRDefault="00DA7E40" w:rsidP="0000614D">
            <w:pPr>
              <w:spacing w:line="256" w:lineRule="auto"/>
              <w:jc w:val="center"/>
              <w:rPr>
                <w:rFonts w:ascii="Arial" w:hAnsi="Arial" w:cs="Arial"/>
              </w:rPr>
            </w:pPr>
            <w:r w:rsidRPr="00D800F0">
              <w:rPr>
                <w:rFonts w:ascii="Arial" w:hAnsi="Arial" w:cs="Arial"/>
              </w:rPr>
              <w:t>AP BH2S</w:t>
            </w:r>
          </w:p>
        </w:tc>
        <w:tc>
          <w:tcPr>
            <w:tcW w:w="2537" w:type="dxa"/>
            <w:tcBorders>
              <w:top w:val="nil"/>
              <w:left w:val="nil"/>
              <w:bottom w:val="nil"/>
              <w:right w:val="nil"/>
            </w:tcBorders>
            <w:tcMar>
              <w:top w:w="0" w:type="dxa"/>
              <w:left w:w="100" w:type="dxa"/>
              <w:bottom w:w="0" w:type="dxa"/>
              <w:right w:w="100" w:type="dxa"/>
            </w:tcMar>
          </w:tcPr>
          <w:p w14:paraId="3E40E11C" w14:textId="77777777" w:rsidR="00DA7E40" w:rsidRPr="00D800F0" w:rsidRDefault="00DA7E40" w:rsidP="0000614D">
            <w:pPr>
              <w:spacing w:line="256" w:lineRule="auto"/>
              <w:jc w:val="center"/>
              <w:rPr>
                <w:rFonts w:ascii="Arial" w:hAnsi="Arial" w:cs="Arial"/>
              </w:rPr>
            </w:pPr>
            <w:r w:rsidRPr="00D800F0">
              <w:rPr>
                <w:rFonts w:ascii="Arial" w:hAnsi="Arial" w:cs="Arial"/>
              </w:rPr>
              <w:t>(940144529.3, 5080528806470)</w:t>
            </w:r>
          </w:p>
        </w:tc>
        <w:tc>
          <w:tcPr>
            <w:tcW w:w="1936" w:type="dxa"/>
            <w:tcBorders>
              <w:top w:val="nil"/>
              <w:left w:val="nil"/>
              <w:bottom w:val="nil"/>
              <w:right w:val="nil"/>
            </w:tcBorders>
            <w:tcMar>
              <w:top w:w="0" w:type="dxa"/>
              <w:left w:w="100" w:type="dxa"/>
              <w:bottom w:w="0" w:type="dxa"/>
              <w:right w:w="100" w:type="dxa"/>
            </w:tcMar>
          </w:tcPr>
          <w:p w14:paraId="5A08D4A0"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1802" w:type="dxa"/>
            <w:tcBorders>
              <w:top w:val="nil"/>
              <w:left w:val="nil"/>
              <w:bottom w:val="nil"/>
              <w:right w:val="nil"/>
            </w:tcBorders>
            <w:tcMar>
              <w:top w:w="0" w:type="dxa"/>
              <w:left w:w="100" w:type="dxa"/>
              <w:bottom w:w="0" w:type="dxa"/>
              <w:right w:w="100" w:type="dxa"/>
            </w:tcMar>
          </w:tcPr>
          <w:p w14:paraId="1FD1D5B8" w14:textId="77777777" w:rsidR="00DA7E40" w:rsidRPr="00D800F0" w:rsidRDefault="00DA7E40" w:rsidP="0000614D">
            <w:pPr>
              <w:spacing w:line="256" w:lineRule="auto"/>
              <w:jc w:val="center"/>
              <w:rPr>
                <w:rFonts w:ascii="Arial" w:hAnsi="Arial" w:cs="Arial"/>
              </w:rPr>
            </w:pPr>
            <w:r w:rsidRPr="00D800F0">
              <w:rPr>
                <w:rFonts w:ascii="Arial" w:hAnsi="Arial" w:cs="Arial"/>
                <w:shd w:val="clear" w:color="auto" w:fill="F7F7F8"/>
              </w:rPr>
              <w:t>Calculated</w:t>
            </w:r>
          </w:p>
        </w:tc>
      </w:tr>
      <w:tr w:rsidR="00DA7E40" w:rsidRPr="00D800F0" w14:paraId="61AE4ABB" w14:textId="77777777" w:rsidTr="0000614D">
        <w:trPr>
          <w:cantSplit/>
          <w:trHeight w:val="405"/>
        </w:trPr>
        <w:tc>
          <w:tcPr>
            <w:tcW w:w="3085" w:type="dxa"/>
            <w:tcBorders>
              <w:top w:val="nil"/>
              <w:left w:val="nil"/>
              <w:bottom w:val="single" w:sz="4" w:space="0" w:color="auto"/>
              <w:right w:val="nil"/>
            </w:tcBorders>
            <w:tcMar>
              <w:top w:w="0" w:type="dxa"/>
              <w:left w:w="100" w:type="dxa"/>
              <w:bottom w:w="0" w:type="dxa"/>
              <w:right w:w="100" w:type="dxa"/>
            </w:tcMar>
          </w:tcPr>
          <w:p w14:paraId="46111016" w14:textId="77777777" w:rsidR="00DA7E40" w:rsidRPr="00D800F0" w:rsidRDefault="00DA7E40" w:rsidP="0000614D">
            <w:pPr>
              <w:spacing w:line="256" w:lineRule="auto"/>
              <w:jc w:val="center"/>
              <w:rPr>
                <w:rFonts w:ascii="Arial" w:hAnsi="Arial" w:cs="Arial"/>
              </w:rPr>
            </w:pPr>
            <w:r w:rsidRPr="00D800F0">
              <w:rPr>
                <w:rFonts w:ascii="Arial" w:hAnsi="Arial" w:cs="Arial"/>
              </w:rPr>
              <w:t>AP AEC</w:t>
            </w:r>
          </w:p>
        </w:tc>
        <w:tc>
          <w:tcPr>
            <w:tcW w:w="2537" w:type="dxa"/>
            <w:tcBorders>
              <w:top w:val="nil"/>
              <w:left w:val="nil"/>
              <w:bottom w:val="single" w:sz="4" w:space="0" w:color="auto"/>
              <w:right w:val="nil"/>
            </w:tcBorders>
            <w:tcMar>
              <w:top w:w="0" w:type="dxa"/>
              <w:left w:w="100" w:type="dxa"/>
              <w:bottom w:w="0" w:type="dxa"/>
              <w:right w:w="100" w:type="dxa"/>
            </w:tcMar>
          </w:tcPr>
          <w:p w14:paraId="17A30558" w14:textId="77777777" w:rsidR="00DA7E40" w:rsidRPr="00D800F0" w:rsidRDefault="00DA7E40" w:rsidP="0000614D">
            <w:pPr>
              <w:spacing w:line="256" w:lineRule="auto"/>
              <w:jc w:val="center"/>
              <w:rPr>
                <w:rFonts w:ascii="Arial" w:hAnsi="Arial" w:cs="Arial"/>
              </w:rPr>
            </w:pPr>
            <w:r w:rsidRPr="00D800F0">
              <w:rPr>
                <w:rFonts w:ascii="Arial" w:hAnsi="Arial" w:cs="Arial"/>
              </w:rPr>
              <w:t>(567914373, 402707562.8)</w:t>
            </w:r>
          </w:p>
        </w:tc>
        <w:tc>
          <w:tcPr>
            <w:tcW w:w="1936" w:type="dxa"/>
            <w:tcBorders>
              <w:top w:val="nil"/>
              <w:left w:val="nil"/>
              <w:bottom w:val="single" w:sz="4" w:space="0" w:color="auto"/>
              <w:right w:val="nil"/>
            </w:tcBorders>
            <w:tcMar>
              <w:top w:w="0" w:type="dxa"/>
              <w:left w:w="100" w:type="dxa"/>
              <w:bottom w:w="0" w:type="dxa"/>
              <w:right w:w="100" w:type="dxa"/>
            </w:tcMar>
          </w:tcPr>
          <w:p w14:paraId="6410C347"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1802" w:type="dxa"/>
            <w:tcBorders>
              <w:top w:val="nil"/>
              <w:left w:val="nil"/>
              <w:bottom w:val="single" w:sz="4" w:space="0" w:color="auto"/>
              <w:right w:val="nil"/>
            </w:tcBorders>
            <w:tcMar>
              <w:top w:w="0" w:type="dxa"/>
              <w:left w:w="100" w:type="dxa"/>
              <w:bottom w:w="0" w:type="dxa"/>
              <w:right w:w="100" w:type="dxa"/>
            </w:tcMar>
          </w:tcPr>
          <w:p w14:paraId="7220717A" w14:textId="77777777" w:rsidR="00DA7E40" w:rsidRPr="00D800F0" w:rsidRDefault="00DA7E40" w:rsidP="0000614D">
            <w:pPr>
              <w:spacing w:line="256" w:lineRule="auto"/>
              <w:jc w:val="center"/>
              <w:rPr>
                <w:rFonts w:ascii="Arial" w:hAnsi="Arial" w:cs="Arial"/>
              </w:rPr>
            </w:pPr>
            <w:r w:rsidRPr="00D800F0">
              <w:rPr>
                <w:rFonts w:ascii="Arial" w:hAnsi="Arial" w:cs="Arial"/>
                <w:shd w:val="clear" w:color="auto" w:fill="F7F7F8"/>
              </w:rPr>
              <w:t>Calculated</w:t>
            </w:r>
          </w:p>
        </w:tc>
      </w:tr>
      <w:tr w:rsidR="00DA7E40" w:rsidRPr="00D800F0" w14:paraId="223AF0B4" w14:textId="77777777" w:rsidTr="0000614D">
        <w:trPr>
          <w:cantSplit/>
          <w:trHeight w:val="405"/>
        </w:trPr>
        <w:tc>
          <w:tcPr>
            <w:tcW w:w="9360" w:type="dxa"/>
            <w:gridSpan w:val="4"/>
            <w:tcBorders>
              <w:top w:val="single" w:sz="4" w:space="0" w:color="auto"/>
              <w:left w:val="nil"/>
              <w:bottom w:val="single" w:sz="4" w:space="0" w:color="auto"/>
              <w:right w:val="nil"/>
            </w:tcBorders>
            <w:tcMar>
              <w:top w:w="0" w:type="dxa"/>
              <w:left w:w="100" w:type="dxa"/>
              <w:bottom w:w="0" w:type="dxa"/>
              <w:right w:w="100" w:type="dxa"/>
            </w:tcMar>
          </w:tcPr>
          <w:p w14:paraId="7675DA0C" w14:textId="77777777" w:rsidR="00DA7E40" w:rsidRPr="00D800F0" w:rsidRDefault="00DA7E40" w:rsidP="0000614D">
            <w:pPr>
              <w:spacing w:line="256" w:lineRule="auto"/>
              <w:rPr>
                <w:rFonts w:ascii="Arial" w:hAnsi="Arial" w:cs="Arial"/>
                <w:shd w:val="clear" w:color="auto" w:fill="F7F7F8"/>
              </w:rPr>
            </w:pPr>
            <w:r w:rsidRPr="00D800F0">
              <w:rPr>
                <w:rFonts w:ascii="Arial" w:hAnsi="Arial" w:cs="Arial"/>
                <w:vertAlign w:val="superscript"/>
              </w:rPr>
              <w:t>A</w:t>
            </w:r>
            <w:r w:rsidRPr="00D800F0">
              <w:rPr>
                <w:rFonts w:ascii="Arial" w:hAnsi="Arial" w:cs="Arial"/>
              </w:rPr>
              <w:t xml:space="preserve"> The first value in the parenthesis is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sub>
              </m:sSub>
            </m:oMath>
            <w:r w:rsidRPr="00D800F0">
              <w:rPr>
                <w:rFonts w:ascii="Arial" w:hAnsi="Arial" w:cs="Arial"/>
                <w:b/>
                <w:bCs/>
              </w:rPr>
              <w:t xml:space="preserve"> </w:t>
            </w:r>
            <w:r w:rsidRPr="00D800F0">
              <w:rPr>
                <w:rFonts w:ascii="Arial" w:hAnsi="Arial" w:cs="Arial"/>
              </w:rPr>
              <w:t xml:space="preserve">and the second is </w:t>
            </w:r>
            <m:oMath>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w:r w:rsidRPr="00D800F0">
              <w:rPr>
                <w:rFonts w:ascii="Arial" w:hAnsi="Arial" w:cs="Arial"/>
              </w:rPr>
              <w:t>.</w:t>
            </w:r>
            <w:r w:rsidRPr="00D800F0">
              <w:rPr>
                <w:rFonts w:ascii="Arial" w:hAnsi="Arial" w:cs="Arial"/>
                <w:b/>
                <w:color w:val="000000"/>
                <w:sz w:val="20"/>
                <w:szCs w:val="20"/>
              </w:rPr>
              <w:t xml:space="preserve"> </w:t>
            </w:r>
            <w:r w:rsidRPr="00D800F0">
              <w:rPr>
                <w:rFonts w:ascii="Arial" w:hAnsi="Arial" w:cs="Arial"/>
              </w:rPr>
              <w:t xml:space="preserve"> Obtained from Excel file called </w:t>
            </w:r>
            <w:r w:rsidRPr="00D800F0">
              <w:rPr>
                <w:rFonts w:ascii="Arial" w:hAnsi="Arial" w:cs="Arial"/>
                <w:b/>
                <w:bCs/>
                <w:i/>
                <w:iCs/>
              </w:rPr>
              <w:t>AP_NE_Equipment_List.xlsx</w:t>
            </w:r>
            <w:r w:rsidRPr="00D800F0">
              <w:rPr>
                <w:rFonts w:ascii="Arial" w:hAnsi="Arial" w:cs="Arial"/>
              </w:rPr>
              <w:t>.</w:t>
            </w:r>
          </w:p>
        </w:tc>
      </w:tr>
    </w:tbl>
    <w:p w14:paraId="4A30E40F" w14:textId="77777777" w:rsidR="00DA7E40" w:rsidRPr="00D800F0" w:rsidRDefault="00DA7E40" w:rsidP="00DA7E40">
      <w:pPr>
        <w:rPr>
          <w:rFonts w:ascii="Arial" w:hAnsi="Arial" w:cs="Arial"/>
        </w:rPr>
      </w:pPr>
    </w:p>
    <w:p w14:paraId="50A9F5E8" w14:textId="77777777" w:rsidR="00DA7E40" w:rsidRPr="00D800F0" w:rsidRDefault="00DA7E40" w:rsidP="006864F3">
      <w:pPr>
        <w:pStyle w:val="Heading3"/>
        <w:rPr>
          <w:rFonts w:ascii="Arial" w:hAnsi="Arial" w:cs="Arial"/>
        </w:rPr>
      </w:pPr>
      <w:bookmarkStart w:id="27" w:name="_Toc148296621"/>
      <w:r w:rsidRPr="00D800F0">
        <w:rPr>
          <w:rFonts w:ascii="Arial" w:hAnsi="Arial" w:cs="Arial"/>
        </w:rPr>
        <w:t>Model Formulation OPEX</w:t>
      </w:r>
      <w:bookmarkEnd w:id="27"/>
    </w:p>
    <w:p w14:paraId="234B92AF" w14:textId="77777777" w:rsidR="00DA7E40" w:rsidRPr="00D800F0" w:rsidRDefault="00DA7E40" w:rsidP="00DA7E40">
      <w:pPr>
        <w:rPr>
          <w:rFonts w:ascii="Arial" w:hAnsi="Arial" w:cs="Arial"/>
        </w:rPr>
      </w:pPr>
      <w:r w:rsidRPr="00D800F0">
        <w:rPr>
          <w:rFonts w:ascii="Arial" w:hAnsi="Arial" w:cs="Arial"/>
        </w:rPr>
        <w:t>The OPEX is partitioned into two parts. A market-dependent OPEX</w:t>
      </w:r>
      <m:oMath>
        <m:r>
          <w:rPr>
            <w:rFonts w:ascii="Cambria Math" w:eastAsia="Cambria Math" w:hAnsi="Cambria Math" w:cs="Arial"/>
          </w:rPr>
          <m:t>(</m:t>
        </m:r>
        <m:r>
          <m:rPr>
            <m:sty m:val="bi"/>
          </m:rPr>
          <w:rPr>
            <w:rFonts w:ascii="Cambria Math" w:eastAsia="Cambria Math" w:hAnsi="Cambria Math" w:cs="Arial"/>
          </w:rPr>
          <m:t>MDOPE</m:t>
        </m:r>
        <m:sSub>
          <m:sSubPr>
            <m:ctrlPr>
              <w:rPr>
                <w:rFonts w:ascii="Cambria Math" w:eastAsia="Cambria Math" w:hAnsi="Cambria Math" w:cs="Arial"/>
                <w:b/>
                <w:bCs/>
                <w:i/>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r>
          <w:rPr>
            <w:rFonts w:ascii="Cambria Math" w:eastAsia="Cambria Math" w:hAnsi="Cambria Math" w:cs="Arial"/>
          </w:rPr>
          <m:t>)</m:t>
        </m:r>
      </m:oMath>
      <w:r w:rsidRPr="00D800F0">
        <w:rPr>
          <w:rFonts w:ascii="Arial" w:hAnsi="Arial" w:cs="Arial"/>
        </w:rPr>
        <w:t xml:space="preserve"> and a market-independent (MI) OPEX</w:t>
      </w:r>
      <m:oMath>
        <m:r>
          <w:rPr>
            <w:rFonts w:ascii="Cambria Math" w:eastAsia="Cambria Math" w:hAnsi="Cambria Math" w:cs="Arial"/>
          </w:rPr>
          <m:t>(</m:t>
        </m:r>
        <m:r>
          <m:rPr>
            <m:sty m:val="bi"/>
          </m:rPr>
          <w:rPr>
            <w:rFonts w:ascii="Cambria Math" w:eastAsia="Cambria Math" w:hAnsi="Cambria Math" w:cs="Arial"/>
          </w:rPr>
          <m:t>MIOPE</m:t>
        </m:r>
        <m:sSub>
          <m:sSubPr>
            <m:ctrlPr>
              <w:rPr>
                <w:rFonts w:ascii="Cambria Math" w:eastAsia="Cambria Math" w:hAnsi="Cambria Math" w:cs="Arial"/>
                <w:b/>
                <w:bCs/>
                <w:i/>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r>
          <w:rPr>
            <w:rFonts w:ascii="Cambria Math" w:eastAsia="Cambria Math" w:hAnsi="Cambria Math" w:cs="Arial"/>
          </w:rPr>
          <m:t>)</m:t>
        </m:r>
      </m:oMath>
      <w:r w:rsidRPr="00D800F0">
        <w:rPr>
          <w:rFonts w:ascii="Arial" w:hAnsi="Arial" w:cs="Arial"/>
        </w:rPr>
        <w:t xml:space="preserve">. These two values are combined to derive the </w:t>
      </w:r>
      <m:oMath>
        <m:r>
          <m:rPr>
            <m:sty m:val="bi"/>
          </m:rPr>
          <w:rPr>
            <w:rFonts w:ascii="Cambria Math" w:hAnsi="Cambria Math" w:cs="Arial"/>
          </w:rPr>
          <m:t>OPE</m:t>
        </m:r>
        <m:sSub>
          <m:sSubPr>
            <m:ctrlPr>
              <w:rPr>
                <w:rFonts w:ascii="Cambria Math" w:hAnsi="Cambria Math" w:cs="Arial"/>
                <w:b/>
                <w:bCs/>
                <w:i/>
              </w:rPr>
            </m:ctrlPr>
          </m:sSubPr>
          <m:e>
            <m:r>
              <m:rPr>
                <m:sty m:val="bi"/>
              </m:rPr>
              <w:rPr>
                <w:rFonts w:ascii="Cambria Math" w:hAnsi="Cambria Math" w:cs="Arial"/>
              </w:rPr>
              <m:t>X</m:t>
            </m:r>
          </m:e>
          <m:sub>
            <m:r>
              <m:rPr>
                <m:sty m:val="bi"/>
              </m:rPr>
              <w:rPr>
                <w:rFonts w:ascii="Cambria Math" w:hAnsi="Cambria Math" w:cs="Arial"/>
              </w:rPr>
              <m:t>j</m:t>
            </m:r>
          </m:sub>
        </m:sSub>
      </m:oMath>
      <w:r w:rsidRPr="00D800F0">
        <w:rPr>
          <w:rFonts w:ascii="Arial" w:hAnsi="Arial" w:cs="Arial"/>
        </w:rPr>
        <w:t xml:space="preserve"> for each technology option considered. </w:t>
      </w:r>
    </w:p>
    <w:p w14:paraId="25470F67" w14:textId="77777777" w:rsidR="00DA7E40" w:rsidRPr="00D800F0" w:rsidRDefault="00DA7E40" w:rsidP="00DA7E40">
      <w:pPr>
        <w:ind w:firstLine="720"/>
        <w:rPr>
          <w:rFonts w:ascii="Arial" w:hAnsi="Arial" w:cs="Arial"/>
        </w:rPr>
      </w:pPr>
      <w:r w:rsidRPr="00D800F0">
        <w:rPr>
          <w:rFonts w:ascii="Arial" w:hAnsi="Arial" w:cs="Arial"/>
        </w:rPr>
        <w:lastRenderedPageBreak/>
        <w:t xml:space="preserve">The </w:t>
      </w:r>
      <m:oMath>
        <m:r>
          <m:rPr>
            <m:sty m:val="bi"/>
          </m:rPr>
          <w:rPr>
            <w:rFonts w:ascii="Cambria Math" w:hAnsi="Cambria Math" w:cs="Arial"/>
          </w:rPr>
          <m:t>OPE</m:t>
        </m:r>
        <m:sSub>
          <m:sSubPr>
            <m:ctrlPr>
              <w:rPr>
                <w:rFonts w:ascii="Cambria Math" w:hAnsi="Cambria Math" w:cs="Arial"/>
                <w:b/>
                <w:bCs/>
                <w:i/>
              </w:rPr>
            </m:ctrlPr>
          </m:sSubPr>
          <m:e>
            <m:r>
              <m:rPr>
                <m:sty m:val="bi"/>
              </m:rPr>
              <w:rPr>
                <w:rFonts w:ascii="Cambria Math" w:hAnsi="Cambria Math" w:cs="Arial"/>
              </w:rPr>
              <m:t>X</m:t>
            </m:r>
          </m:e>
          <m:sub>
            <m:r>
              <m:rPr>
                <m:sty m:val="bi"/>
              </m:rPr>
              <w:rPr>
                <w:rFonts w:ascii="Cambria Math" w:hAnsi="Cambria Math" w:cs="Arial"/>
              </w:rPr>
              <m:t>j</m:t>
            </m:r>
          </m:sub>
        </m:sSub>
      </m:oMath>
      <w:r w:rsidRPr="00D800F0">
        <w:rPr>
          <w:rFonts w:ascii="Arial" w:hAnsi="Arial" w:cs="Arial"/>
          <w:b/>
          <w:bCs/>
        </w:rPr>
        <w:t xml:space="preserve"> </w:t>
      </w:r>
      <w:r w:rsidRPr="00D800F0">
        <w:rPr>
          <w:rFonts w:ascii="Arial" w:hAnsi="Arial" w:cs="Arial"/>
        </w:rPr>
        <w:t xml:space="preserve">is generally divided into fixed and variable costs. The fixed costs represent costs related to labor, overhead, maintenance, and insurance while the variable costs rely on the raw materials and utility costs. In the methodology we utilize, the fixed and variable costs are added together. From this combined quantity, we add another set of cost factors. </w:t>
      </w:r>
    </w:p>
    <w:p w14:paraId="3226B55D" w14:textId="77777777" w:rsidR="00DA7E40" w:rsidRPr="00D800F0" w:rsidRDefault="00DA7E40" w:rsidP="00DA7E40">
      <w:pPr>
        <w:ind w:firstLine="720"/>
        <w:rPr>
          <w:rFonts w:ascii="Arial" w:hAnsi="Arial" w:cs="Arial"/>
        </w:rPr>
      </w:pPr>
      <w:r w:rsidRPr="00D800F0">
        <w:rPr>
          <w:rFonts w:ascii="Arial" w:hAnsi="Arial" w:cs="Arial"/>
        </w:rPr>
        <w:t xml:space="preserve">Some raw materials and utilities have costs that vary with the market; hence the variable costs are split between the </w:t>
      </w:r>
      <m:oMath>
        <m:r>
          <m:rPr>
            <m:sty m:val="bi"/>
          </m:rPr>
          <w:rPr>
            <w:rFonts w:ascii="Cambria Math" w:eastAsia="Cambria Math" w:hAnsi="Cambria Math" w:cs="Arial"/>
          </w:rPr>
          <m:t>MDOPE</m:t>
        </m:r>
        <m:sSub>
          <m:sSubPr>
            <m:ctrlPr>
              <w:rPr>
                <w:rFonts w:ascii="Cambria Math" w:eastAsia="Cambria Math" w:hAnsi="Cambria Math" w:cs="Arial"/>
                <w:b/>
                <w:bCs/>
                <w:i/>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b/>
          <w:bCs/>
        </w:rPr>
        <w:t xml:space="preserve"> </w:t>
      </w:r>
      <w:r w:rsidRPr="00D800F0">
        <w:rPr>
          <w:rFonts w:ascii="Arial" w:hAnsi="Arial" w:cs="Arial"/>
        </w:rPr>
        <w:t xml:space="preserve">and </w:t>
      </w:r>
      <m:oMath>
        <m:r>
          <m:rPr>
            <m:sty m:val="bi"/>
          </m:rPr>
          <w:rPr>
            <w:rFonts w:ascii="Cambria Math" w:eastAsia="Cambria Math" w:hAnsi="Cambria Math" w:cs="Arial"/>
          </w:rPr>
          <m:t>MIOPE</m:t>
        </m:r>
        <m:sSub>
          <m:sSubPr>
            <m:ctrlPr>
              <w:rPr>
                <w:rFonts w:ascii="Cambria Math" w:eastAsia="Cambria Math" w:hAnsi="Cambria Math" w:cs="Arial"/>
                <w:b/>
                <w:bCs/>
                <w:i/>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rPr>
        <w:t xml:space="preserve">. All the fixed costs are within the </w:t>
      </w:r>
      <m:oMath>
        <m:r>
          <m:rPr>
            <m:sty m:val="bi"/>
          </m:rPr>
          <w:rPr>
            <w:rFonts w:ascii="Cambria Math" w:eastAsia="Cambria Math" w:hAnsi="Cambria Math" w:cs="Arial"/>
          </w:rPr>
          <m:t>MIOPE</m:t>
        </m:r>
        <m:sSub>
          <m:sSubPr>
            <m:ctrlPr>
              <w:rPr>
                <w:rFonts w:ascii="Cambria Math" w:eastAsia="Cambria Math" w:hAnsi="Cambria Math" w:cs="Arial"/>
                <w:b/>
                <w:bCs/>
                <w:i/>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rPr>
        <w:t>.</w:t>
      </w:r>
      <w:r w:rsidRPr="00D800F0">
        <w:rPr>
          <w:rFonts w:ascii="Arial" w:hAnsi="Arial" w:cs="Arial"/>
          <w:b/>
          <w:bCs/>
        </w:rPr>
        <w:t xml:space="preserve"> </w:t>
      </w:r>
    </w:p>
    <w:tbl>
      <w:tblPr>
        <w:tblW w:w="9360" w:type="dxa"/>
        <w:tblLayout w:type="fixed"/>
        <w:tblLook w:val="0600" w:firstRow="0" w:lastRow="0" w:firstColumn="0" w:lastColumn="0" w:noHBand="1" w:noVBand="1"/>
      </w:tblPr>
      <w:tblGrid>
        <w:gridCol w:w="8535"/>
        <w:gridCol w:w="825"/>
      </w:tblGrid>
      <w:tr w:rsidR="00DA7E40" w:rsidRPr="00D800F0" w14:paraId="26FBA63D" w14:textId="77777777" w:rsidTr="0000614D">
        <w:trPr>
          <w:cantSplit/>
        </w:trPr>
        <w:tc>
          <w:tcPr>
            <w:tcW w:w="8535" w:type="dxa"/>
            <w:shd w:val="clear" w:color="auto" w:fill="auto"/>
            <w:tcMar>
              <w:top w:w="100" w:type="dxa"/>
              <w:left w:w="100" w:type="dxa"/>
              <w:bottom w:w="100" w:type="dxa"/>
              <w:right w:w="100" w:type="dxa"/>
            </w:tcMar>
          </w:tcPr>
          <w:p w14:paraId="12088D8D"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OPEX=MIOPEX+MDOPEX</m:t>
                </m:r>
              </m:oMath>
            </m:oMathPara>
          </w:p>
        </w:tc>
        <w:tc>
          <w:tcPr>
            <w:tcW w:w="825" w:type="dxa"/>
            <w:shd w:val="clear" w:color="auto" w:fill="auto"/>
            <w:tcMar>
              <w:top w:w="100" w:type="dxa"/>
              <w:left w:w="100" w:type="dxa"/>
              <w:bottom w:w="100" w:type="dxa"/>
              <w:right w:w="100" w:type="dxa"/>
            </w:tcMar>
          </w:tcPr>
          <w:p w14:paraId="6D2B08C0" w14:textId="77777777" w:rsidR="00DA7E40" w:rsidRPr="00D800F0" w:rsidRDefault="00DA7E40" w:rsidP="0000614D">
            <w:pPr>
              <w:pStyle w:val="Caption"/>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12</w:t>
            </w:r>
            <w:r w:rsidRPr="00D800F0">
              <w:rPr>
                <w:rFonts w:ascii="Arial" w:hAnsi="Arial" w:cs="Arial"/>
                <w:noProof/>
              </w:rPr>
              <w:fldChar w:fldCharType="end"/>
            </w:r>
            <w:r w:rsidRPr="00D800F0">
              <w:rPr>
                <w:rFonts w:ascii="Arial" w:hAnsi="Arial" w:cs="Arial"/>
              </w:rPr>
              <w:t>)</w:t>
            </w:r>
          </w:p>
        </w:tc>
      </w:tr>
    </w:tbl>
    <w:p w14:paraId="1F2528A3" w14:textId="77777777" w:rsidR="00DA7E40" w:rsidRPr="00D800F0" w:rsidRDefault="00DA7E40" w:rsidP="00DA7E40">
      <w:pPr>
        <w:numPr>
          <w:ilvl w:val="2"/>
          <w:numId w:val="2"/>
        </w:numPr>
        <w:pBdr>
          <w:top w:val="nil"/>
          <w:left w:val="nil"/>
          <w:bottom w:val="nil"/>
          <w:right w:val="nil"/>
          <w:between w:val="nil"/>
        </w:pBdr>
        <w:rPr>
          <w:rFonts w:ascii="Arial" w:hAnsi="Arial" w:cs="Arial"/>
          <w:b/>
          <w:color w:val="000000"/>
          <w:sz w:val="24"/>
          <w:szCs w:val="24"/>
        </w:rPr>
      </w:pPr>
      <w:r w:rsidRPr="00D800F0">
        <w:rPr>
          <w:rFonts w:ascii="Arial" w:hAnsi="Arial" w:cs="Arial"/>
          <w:b/>
          <w:color w:val="000000"/>
          <w:sz w:val="24"/>
          <w:szCs w:val="24"/>
        </w:rPr>
        <w:t>Model Formulation OPEX</w:t>
      </w:r>
    </w:p>
    <w:p w14:paraId="6F94AAB6"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4</w:t>
      </w:r>
      <w:r w:rsidRPr="00D800F0">
        <w:rPr>
          <w:rFonts w:ascii="Arial" w:hAnsi="Arial" w:cs="Arial"/>
          <w:noProof/>
        </w:rPr>
        <w:fldChar w:fldCharType="end"/>
      </w:r>
      <w:r w:rsidRPr="00D800F0">
        <w:rPr>
          <w:rFonts w:ascii="Arial" w:hAnsi="Arial" w:cs="Arial"/>
        </w:rPr>
        <w:t>: Nomenclature for the OPEX section.</w:t>
      </w:r>
    </w:p>
    <w:tbl>
      <w:tblPr>
        <w:tblW w:w="9360" w:type="dxa"/>
        <w:tblBorders>
          <w:top w:val="single" w:sz="4" w:space="0" w:color="auto"/>
          <w:bottom w:val="single" w:sz="4" w:space="0" w:color="auto"/>
        </w:tblBorders>
        <w:tblLayout w:type="fixed"/>
        <w:tblLook w:val="0600" w:firstRow="0" w:lastRow="0" w:firstColumn="0" w:lastColumn="0" w:noHBand="1" w:noVBand="1"/>
      </w:tblPr>
      <w:tblGrid>
        <w:gridCol w:w="2070"/>
        <w:gridCol w:w="4850"/>
        <w:gridCol w:w="2440"/>
      </w:tblGrid>
      <w:tr w:rsidR="00DA7E40" w:rsidRPr="00D800F0" w14:paraId="306E5F0E" w14:textId="77777777" w:rsidTr="0000614D">
        <w:trPr>
          <w:cantSplit/>
          <w:trHeight w:val="295"/>
        </w:trPr>
        <w:tc>
          <w:tcPr>
            <w:tcW w:w="2070" w:type="dxa"/>
            <w:tcBorders>
              <w:bottom w:val="single" w:sz="4" w:space="0" w:color="auto"/>
            </w:tcBorders>
            <w:vAlign w:val="center"/>
          </w:tcPr>
          <w:p w14:paraId="3565FC7B" w14:textId="77777777" w:rsidR="00DA7E40" w:rsidRPr="00D800F0" w:rsidRDefault="00DA7E40" w:rsidP="0000614D">
            <w:pPr>
              <w:jc w:val="center"/>
              <w:rPr>
                <w:rFonts w:ascii="Arial" w:hAnsi="Arial" w:cs="Arial"/>
                <w:b/>
                <w:bCs/>
                <w:iCs/>
              </w:rPr>
            </w:pPr>
            <w:r w:rsidRPr="00D800F0">
              <w:rPr>
                <w:rFonts w:ascii="Arial" w:hAnsi="Arial" w:cs="Arial"/>
                <w:b/>
                <w:bCs/>
                <w:iCs/>
              </w:rPr>
              <w:t>Pa</w:t>
            </w:r>
            <w:sdt>
              <w:sdtPr>
                <w:rPr>
                  <w:rFonts w:ascii="Arial" w:hAnsi="Arial" w:cs="Arial"/>
                  <w:b/>
                  <w:bCs/>
                  <w:iCs/>
                </w:rPr>
                <w:tag w:val="goog_rdk_1"/>
                <w:id w:val="505474285"/>
              </w:sdtPr>
              <w:sdtContent/>
            </w:sdt>
            <w:r w:rsidRPr="00D800F0">
              <w:rPr>
                <w:rFonts w:ascii="Arial" w:hAnsi="Arial" w:cs="Arial"/>
                <w:b/>
                <w:bCs/>
                <w:iCs/>
              </w:rPr>
              <w:t>rameters</w:t>
            </w:r>
          </w:p>
        </w:tc>
        <w:tc>
          <w:tcPr>
            <w:tcW w:w="4850" w:type="dxa"/>
            <w:tcBorders>
              <w:bottom w:val="single" w:sz="4" w:space="0" w:color="auto"/>
            </w:tcBorders>
            <w:vAlign w:val="center"/>
          </w:tcPr>
          <w:p w14:paraId="2493D7F9" w14:textId="77777777" w:rsidR="00DA7E40" w:rsidRPr="00D800F0" w:rsidRDefault="00DA7E40" w:rsidP="0000614D">
            <w:pPr>
              <w:jc w:val="center"/>
              <w:rPr>
                <w:rFonts w:ascii="Arial" w:hAnsi="Arial" w:cs="Arial"/>
                <w:b/>
                <w:bCs/>
                <w:iCs/>
              </w:rPr>
            </w:pPr>
            <w:r w:rsidRPr="00D800F0">
              <w:rPr>
                <w:rFonts w:ascii="Arial" w:hAnsi="Arial" w:cs="Arial"/>
                <w:b/>
                <w:bCs/>
                <w:iCs/>
              </w:rPr>
              <w:t>Description</w:t>
            </w:r>
          </w:p>
        </w:tc>
        <w:tc>
          <w:tcPr>
            <w:tcW w:w="2440" w:type="dxa"/>
            <w:tcBorders>
              <w:bottom w:val="single" w:sz="4" w:space="0" w:color="auto"/>
            </w:tcBorders>
          </w:tcPr>
          <w:p w14:paraId="56D12467" w14:textId="77777777" w:rsidR="00DA7E40" w:rsidRPr="00D800F0" w:rsidRDefault="00DA7E40" w:rsidP="0000614D">
            <w:pPr>
              <w:rPr>
                <w:rFonts w:ascii="Arial" w:hAnsi="Arial" w:cs="Arial"/>
                <w:b/>
                <w:bCs/>
                <w:iCs/>
              </w:rPr>
            </w:pPr>
            <w:r w:rsidRPr="00D800F0">
              <w:rPr>
                <w:rFonts w:ascii="Arial" w:hAnsi="Arial" w:cs="Arial"/>
                <w:b/>
                <w:bCs/>
                <w:iCs/>
              </w:rPr>
              <w:t>Units</w:t>
            </w:r>
          </w:p>
        </w:tc>
      </w:tr>
      <w:tr w:rsidR="00DA7E40" w:rsidRPr="00D800F0" w14:paraId="2A483070" w14:textId="77777777" w:rsidTr="0000614D">
        <w:trPr>
          <w:cantSplit/>
        </w:trPr>
        <w:tc>
          <w:tcPr>
            <w:tcW w:w="2070" w:type="dxa"/>
            <w:tcBorders>
              <w:top w:val="single" w:sz="4" w:space="0" w:color="auto"/>
              <w:bottom w:val="nil"/>
            </w:tcBorders>
            <w:shd w:val="clear" w:color="auto" w:fill="auto"/>
            <w:tcMar>
              <w:top w:w="100" w:type="dxa"/>
              <w:left w:w="100" w:type="dxa"/>
              <w:bottom w:w="100" w:type="dxa"/>
              <w:right w:w="100" w:type="dxa"/>
            </w:tcMar>
          </w:tcPr>
          <w:p w14:paraId="15417B8C" w14:textId="77777777" w:rsidR="00DA7E40" w:rsidRPr="00D800F0" w:rsidRDefault="00DA7E40" w:rsidP="0000614D">
            <w:pPr>
              <w:jc w:val="center"/>
              <w:rPr>
                <w:rFonts w:ascii="Arial" w:hAnsi="Arial" w:cs="Arial"/>
                <w:b/>
                <w:bCs/>
              </w:rPr>
            </w:pPr>
            <m:oMathPara>
              <m:oMath>
                <m:r>
                  <m:rPr>
                    <m:sty m:val="bi"/>
                  </m:rPr>
                  <w:rPr>
                    <w:rFonts w:ascii="Cambria Math" w:eastAsia="Cambria Math" w:hAnsi="Cambria Math" w:cs="Arial"/>
                  </w:rPr>
                  <m:t>MDOPE</m:t>
                </m:r>
                <m:sSub>
                  <m:sSubPr>
                    <m:ctrlPr>
                      <w:rPr>
                        <w:rFonts w:ascii="Cambria Math" w:eastAsia="Cambria Math" w:hAnsi="Cambria Math" w:cs="Arial"/>
                        <w:b/>
                        <w:bCs/>
                        <w:i/>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m:oMathPara>
          </w:p>
        </w:tc>
        <w:tc>
          <w:tcPr>
            <w:tcW w:w="4850" w:type="dxa"/>
            <w:tcBorders>
              <w:top w:val="single" w:sz="4" w:space="0" w:color="auto"/>
              <w:bottom w:val="nil"/>
            </w:tcBorders>
            <w:shd w:val="clear" w:color="auto" w:fill="auto"/>
            <w:tcMar>
              <w:top w:w="100" w:type="dxa"/>
              <w:left w:w="100" w:type="dxa"/>
              <w:bottom w:w="100" w:type="dxa"/>
              <w:right w:w="100" w:type="dxa"/>
            </w:tcMar>
          </w:tcPr>
          <w:p w14:paraId="0C2D6D13" w14:textId="77777777" w:rsidR="00DA7E40" w:rsidRPr="00D800F0" w:rsidRDefault="00DA7E40" w:rsidP="0000614D">
            <w:pPr>
              <w:rPr>
                <w:rFonts w:ascii="Arial" w:hAnsi="Arial" w:cs="Arial"/>
              </w:rPr>
            </w:pPr>
            <w:r w:rsidRPr="00D800F0">
              <w:rPr>
                <w:rFonts w:ascii="Arial" w:hAnsi="Arial" w:cs="Arial"/>
              </w:rPr>
              <w:t>Market dependent OPEX for technology</w:t>
            </w:r>
            <w:r w:rsidRPr="00D800F0">
              <w:rPr>
                <w:rFonts w:ascii="Arial" w:hAnsi="Arial" w:cs="Arial"/>
                <w:b/>
                <w:bCs/>
              </w:rPr>
              <w:t xml:space="preserve"> </w:t>
            </w:r>
            <m:oMath>
              <m:r>
                <m:rPr>
                  <m:sty m:val="bi"/>
                </m:rPr>
                <w:rPr>
                  <w:rFonts w:ascii="Cambria Math" w:hAnsi="Cambria Math" w:cs="Arial"/>
                </w:rPr>
                <m:t>j</m:t>
              </m:r>
            </m:oMath>
          </w:p>
        </w:tc>
        <w:tc>
          <w:tcPr>
            <w:tcW w:w="2440" w:type="dxa"/>
            <w:tcBorders>
              <w:top w:val="single" w:sz="4" w:space="0" w:color="auto"/>
              <w:bottom w:val="nil"/>
            </w:tcBorders>
            <w:shd w:val="clear" w:color="auto" w:fill="auto"/>
            <w:tcMar>
              <w:top w:w="100" w:type="dxa"/>
              <w:left w:w="100" w:type="dxa"/>
              <w:bottom w:w="100" w:type="dxa"/>
              <w:right w:w="100" w:type="dxa"/>
            </w:tcMar>
          </w:tcPr>
          <w:p w14:paraId="45BE22C1" w14:textId="77777777" w:rsidR="00DA7E40" w:rsidRPr="00D800F0" w:rsidRDefault="00DA7E40" w:rsidP="0000614D">
            <w:pPr>
              <w:widowControl w:val="0"/>
              <w:rPr>
                <w:rFonts w:ascii="Arial" w:hAnsi="Arial" w:cs="Arial"/>
              </w:rPr>
            </w:pPr>
            <w:r w:rsidRPr="00D800F0">
              <w:rPr>
                <w:rFonts w:ascii="Arial" w:hAnsi="Arial" w:cs="Arial"/>
              </w:rPr>
              <w:t>$/month</w:t>
            </w:r>
          </w:p>
        </w:tc>
      </w:tr>
      <w:tr w:rsidR="00DA7E40" w:rsidRPr="00D800F0" w14:paraId="34CAA615"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2E7708DD" w14:textId="77777777" w:rsidR="00DA7E40" w:rsidRPr="00D800F0" w:rsidRDefault="00DA7E40" w:rsidP="0000614D">
            <w:pPr>
              <w:jc w:val="center"/>
              <w:rPr>
                <w:rFonts w:ascii="Arial" w:hAnsi="Arial" w:cs="Arial"/>
                <w:b/>
                <w:bCs/>
              </w:rPr>
            </w:pPr>
            <m:oMathPara>
              <m:oMath>
                <m:r>
                  <m:rPr>
                    <m:sty m:val="bi"/>
                  </m:rPr>
                  <w:rPr>
                    <w:rFonts w:ascii="Cambria Math" w:eastAsia="Cambria Math" w:hAnsi="Cambria Math" w:cs="Arial"/>
                  </w:rPr>
                  <m:t>MIOPE</m:t>
                </m:r>
                <m:sSub>
                  <m:sSubPr>
                    <m:ctrlPr>
                      <w:rPr>
                        <w:rFonts w:ascii="Cambria Math" w:eastAsia="Cambria Math" w:hAnsi="Cambria Math" w:cs="Arial"/>
                        <w:b/>
                        <w:bCs/>
                        <w:i/>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m:oMathPara>
          </w:p>
        </w:tc>
        <w:tc>
          <w:tcPr>
            <w:tcW w:w="4850" w:type="dxa"/>
            <w:tcBorders>
              <w:top w:val="nil"/>
              <w:bottom w:val="nil"/>
            </w:tcBorders>
            <w:shd w:val="clear" w:color="auto" w:fill="auto"/>
            <w:tcMar>
              <w:top w:w="100" w:type="dxa"/>
              <w:left w:w="100" w:type="dxa"/>
              <w:bottom w:w="100" w:type="dxa"/>
              <w:right w:w="100" w:type="dxa"/>
            </w:tcMar>
          </w:tcPr>
          <w:p w14:paraId="279BC766" w14:textId="77777777" w:rsidR="00DA7E40" w:rsidRPr="00D800F0" w:rsidRDefault="00DA7E40" w:rsidP="0000614D">
            <w:pPr>
              <w:rPr>
                <w:rFonts w:ascii="Arial" w:hAnsi="Arial" w:cs="Arial"/>
              </w:rPr>
            </w:pPr>
            <w:r w:rsidRPr="00D800F0">
              <w:rPr>
                <w:rFonts w:ascii="Arial" w:hAnsi="Arial" w:cs="Arial"/>
              </w:rPr>
              <w:t xml:space="preserve">Market independent OPEX for technology </w:t>
            </w:r>
            <m:oMath>
              <m:r>
                <m:rPr>
                  <m:sty m:val="bi"/>
                </m:rPr>
                <w:rPr>
                  <w:rFonts w:ascii="Cambria Math" w:hAnsi="Cambria Math" w:cs="Arial"/>
                </w:rPr>
                <m:t>j</m:t>
              </m:r>
            </m:oMath>
          </w:p>
        </w:tc>
        <w:tc>
          <w:tcPr>
            <w:tcW w:w="2440" w:type="dxa"/>
            <w:tcBorders>
              <w:top w:val="nil"/>
              <w:bottom w:val="nil"/>
            </w:tcBorders>
            <w:shd w:val="clear" w:color="auto" w:fill="auto"/>
            <w:tcMar>
              <w:top w:w="100" w:type="dxa"/>
              <w:left w:w="100" w:type="dxa"/>
              <w:bottom w:w="100" w:type="dxa"/>
              <w:right w:w="100" w:type="dxa"/>
            </w:tcMar>
          </w:tcPr>
          <w:p w14:paraId="1E3D67FA" w14:textId="77777777" w:rsidR="00DA7E40" w:rsidRPr="00D800F0" w:rsidRDefault="00DA7E40" w:rsidP="0000614D">
            <w:pPr>
              <w:widowControl w:val="0"/>
              <w:rPr>
                <w:rFonts w:ascii="Arial" w:hAnsi="Arial" w:cs="Arial"/>
              </w:rPr>
            </w:pPr>
            <w:r w:rsidRPr="00D800F0">
              <w:rPr>
                <w:rFonts w:ascii="Arial" w:hAnsi="Arial" w:cs="Arial"/>
              </w:rPr>
              <w:t>$/month</w:t>
            </w:r>
          </w:p>
        </w:tc>
      </w:tr>
      <w:tr w:rsidR="00DA7E40" w:rsidRPr="00D800F0" w14:paraId="78063866"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5D523950"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shift</m:t>
                    </m:r>
                  </m:sub>
                </m:sSub>
              </m:oMath>
            </m:oMathPara>
          </w:p>
        </w:tc>
        <w:tc>
          <w:tcPr>
            <w:tcW w:w="4850" w:type="dxa"/>
            <w:tcBorders>
              <w:top w:val="nil"/>
              <w:bottom w:val="nil"/>
            </w:tcBorders>
            <w:shd w:val="clear" w:color="auto" w:fill="auto"/>
            <w:tcMar>
              <w:top w:w="100" w:type="dxa"/>
              <w:left w:w="100" w:type="dxa"/>
              <w:bottom w:w="100" w:type="dxa"/>
              <w:right w:w="100" w:type="dxa"/>
            </w:tcMar>
          </w:tcPr>
          <w:p w14:paraId="366D890E" w14:textId="77777777" w:rsidR="00DA7E40" w:rsidRPr="00D800F0" w:rsidRDefault="00DA7E40" w:rsidP="0000614D">
            <w:pPr>
              <w:rPr>
                <w:rFonts w:ascii="Arial" w:hAnsi="Arial" w:cs="Arial"/>
              </w:rPr>
            </w:pPr>
            <w:r w:rsidRPr="00D800F0">
              <w:rPr>
                <w:rFonts w:ascii="Arial" w:hAnsi="Arial" w:cs="Arial"/>
              </w:rPr>
              <w:t>Hours per shift</w:t>
            </w:r>
          </w:p>
        </w:tc>
        <w:tc>
          <w:tcPr>
            <w:tcW w:w="2440" w:type="dxa"/>
            <w:tcBorders>
              <w:top w:val="nil"/>
              <w:bottom w:val="nil"/>
            </w:tcBorders>
            <w:shd w:val="clear" w:color="auto" w:fill="auto"/>
            <w:tcMar>
              <w:top w:w="100" w:type="dxa"/>
              <w:left w:w="100" w:type="dxa"/>
              <w:bottom w:w="100" w:type="dxa"/>
              <w:right w:w="100" w:type="dxa"/>
            </w:tcMar>
          </w:tcPr>
          <w:p w14:paraId="232FB382" w14:textId="77777777" w:rsidR="00DA7E40" w:rsidRPr="00D800F0" w:rsidRDefault="00DA7E40" w:rsidP="0000614D">
            <w:pPr>
              <w:widowControl w:val="0"/>
              <w:rPr>
                <w:rFonts w:ascii="Arial" w:hAnsi="Arial" w:cs="Arial"/>
              </w:rPr>
            </w:pPr>
            <w:r w:rsidRPr="00D800F0">
              <w:rPr>
                <w:rFonts w:ascii="Arial" w:hAnsi="Arial" w:cs="Arial"/>
              </w:rPr>
              <w:t>Hour/shift</w:t>
            </w:r>
          </w:p>
        </w:tc>
      </w:tr>
      <w:tr w:rsidR="00DA7E40" w:rsidRPr="00D800F0" w14:paraId="58ACAFB7"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21AE8769"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dp</m:t>
                    </m:r>
                  </m:sub>
                </m:sSub>
              </m:oMath>
            </m:oMathPara>
          </w:p>
        </w:tc>
        <w:tc>
          <w:tcPr>
            <w:tcW w:w="4850" w:type="dxa"/>
            <w:tcBorders>
              <w:top w:val="nil"/>
              <w:bottom w:val="nil"/>
            </w:tcBorders>
            <w:shd w:val="clear" w:color="auto" w:fill="auto"/>
            <w:tcMar>
              <w:top w:w="100" w:type="dxa"/>
              <w:left w:w="100" w:type="dxa"/>
              <w:bottom w:w="100" w:type="dxa"/>
              <w:right w:w="100" w:type="dxa"/>
            </w:tcMar>
          </w:tcPr>
          <w:p w14:paraId="3F8D7F6B" w14:textId="77777777" w:rsidR="00DA7E40" w:rsidRPr="00D800F0" w:rsidRDefault="00DA7E40" w:rsidP="0000614D">
            <w:pPr>
              <w:rPr>
                <w:rFonts w:ascii="Arial" w:hAnsi="Arial" w:cs="Arial"/>
              </w:rPr>
            </w:pPr>
            <w:r w:rsidRPr="00D800F0">
              <w:rPr>
                <w:rFonts w:ascii="Arial" w:hAnsi="Arial" w:cs="Arial"/>
              </w:rPr>
              <w:t>Hours per day per processing step</w:t>
            </w:r>
          </w:p>
        </w:tc>
        <w:tc>
          <w:tcPr>
            <w:tcW w:w="2440" w:type="dxa"/>
            <w:tcBorders>
              <w:top w:val="nil"/>
              <w:bottom w:val="nil"/>
            </w:tcBorders>
            <w:shd w:val="clear" w:color="auto" w:fill="auto"/>
            <w:tcMar>
              <w:top w:w="100" w:type="dxa"/>
              <w:left w:w="100" w:type="dxa"/>
              <w:bottom w:w="100" w:type="dxa"/>
              <w:right w:w="100" w:type="dxa"/>
            </w:tcMar>
          </w:tcPr>
          <w:p w14:paraId="325DEF28" w14:textId="77777777" w:rsidR="00DA7E40" w:rsidRPr="00D800F0" w:rsidRDefault="00DA7E40" w:rsidP="0000614D">
            <w:pPr>
              <w:widowControl w:val="0"/>
              <w:rPr>
                <w:rFonts w:ascii="Arial" w:hAnsi="Arial" w:cs="Arial"/>
              </w:rPr>
            </w:pPr>
            <w:r w:rsidRPr="00D800F0">
              <w:rPr>
                <w:rFonts w:ascii="Arial" w:hAnsi="Arial" w:cs="Arial"/>
              </w:rPr>
              <w:t>Hours/day/processing step</w:t>
            </w:r>
          </w:p>
        </w:tc>
      </w:tr>
      <w:tr w:rsidR="00DA7E40" w:rsidRPr="00D800F0" w14:paraId="02131B88"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73DDE5AE"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s</m:t>
                    </m:r>
                  </m:sub>
                </m:sSub>
              </m:oMath>
            </m:oMathPara>
          </w:p>
        </w:tc>
        <w:tc>
          <w:tcPr>
            <w:tcW w:w="4850" w:type="dxa"/>
            <w:tcBorders>
              <w:top w:val="nil"/>
              <w:bottom w:val="nil"/>
            </w:tcBorders>
            <w:shd w:val="clear" w:color="auto" w:fill="auto"/>
            <w:tcMar>
              <w:top w:w="100" w:type="dxa"/>
              <w:left w:w="100" w:type="dxa"/>
              <w:bottom w:w="100" w:type="dxa"/>
              <w:right w:w="100" w:type="dxa"/>
            </w:tcMar>
          </w:tcPr>
          <w:p w14:paraId="22C13B20" w14:textId="77777777" w:rsidR="00DA7E40" w:rsidRPr="00D800F0" w:rsidRDefault="00DA7E40" w:rsidP="0000614D">
            <w:pPr>
              <w:rPr>
                <w:rFonts w:ascii="Arial" w:hAnsi="Arial" w:cs="Arial"/>
              </w:rPr>
            </w:pPr>
            <w:r w:rsidRPr="00D800F0">
              <w:rPr>
                <w:rFonts w:ascii="Arial" w:hAnsi="Arial" w:cs="Arial"/>
              </w:rPr>
              <w:t>Processing steps</w:t>
            </w:r>
          </w:p>
        </w:tc>
        <w:tc>
          <w:tcPr>
            <w:tcW w:w="2440" w:type="dxa"/>
            <w:tcBorders>
              <w:top w:val="nil"/>
              <w:bottom w:val="nil"/>
            </w:tcBorders>
            <w:shd w:val="clear" w:color="auto" w:fill="auto"/>
            <w:tcMar>
              <w:top w:w="100" w:type="dxa"/>
              <w:left w:w="100" w:type="dxa"/>
              <w:bottom w:w="100" w:type="dxa"/>
              <w:right w:w="100" w:type="dxa"/>
            </w:tcMar>
          </w:tcPr>
          <w:p w14:paraId="6A05F84A" w14:textId="77777777" w:rsidR="00DA7E40" w:rsidRPr="00D800F0" w:rsidRDefault="00DA7E40" w:rsidP="0000614D">
            <w:pPr>
              <w:widowControl w:val="0"/>
              <w:rPr>
                <w:rFonts w:ascii="Arial" w:hAnsi="Arial" w:cs="Arial"/>
              </w:rPr>
            </w:pPr>
            <w:r w:rsidRPr="00D800F0">
              <w:rPr>
                <w:rFonts w:ascii="Arial" w:hAnsi="Arial" w:cs="Arial"/>
              </w:rPr>
              <w:t>Processing step</w:t>
            </w:r>
          </w:p>
        </w:tc>
      </w:tr>
      <w:tr w:rsidR="00DA7E40" w:rsidRPr="00D800F0" w14:paraId="49267EA6"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3213F26B"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a</m:t>
                    </m:r>
                  </m:sub>
                </m:sSub>
              </m:oMath>
            </m:oMathPara>
          </w:p>
        </w:tc>
        <w:tc>
          <w:tcPr>
            <w:tcW w:w="4850" w:type="dxa"/>
            <w:tcBorders>
              <w:top w:val="nil"/>
              <w:bottom w:val="nil"/>
            </w:tcBorders>
            <w:shd w:val="clear" w:color="auto" w:fill="auto"/>
            <w:tcMar>
              <w:top w:w="100" w:type="dxa"/>
              <w:left w:w="100" w:type="dxa"/>
              <w:bottom w:w="100" w:type="dxa"/>
              <w:right w:w="100" w:type="dxa"/>
            </w:tcMar>
          </w:tcPr>
          <w:p w14:paraId="4247CDB0" w14:textId="77777777" w:rsidR="00DA7E40" w:rsidRPr="00D800F0" w:rsidRDefault="00DA7E40" w:rsidP="0000614D">
            <w:pPr>
              <w:rPr>
                <w:rFonts w:ascii="Arial" w:hAnsi="Arial" w:cs="Arial"/>
              </w:rPr>
            </w:pPr>
            <w:r w:rsidRPr="00D800F0">
              <w:rPr>
                <w:rFonts w:ascii="Arial" w:hAnsi="Arial" w:cs="Arial"/>
              </w:rPr>
              <w:t>Availability factor</w:t>
            </w:r>
          </w:p>
        </w:tc>
        <w:tc>
          <w:tcPr>
            <w:tcW w:w="2440" w:type="dxa"/>
            <w:tcBorders>
              <w:top w:val="nil"/>
              <w:bottom w:val="nil"/>
            </w:tcBorders>
            <w:shd w:val="clear" w:color="auto" w:fill="auto"/>
            <w:tcMar>
              <w:top w:w="100" w:type="dxa"/>
              <w:left w:w="100" w:type="dxa"/>
              <w:bottom w:w="100" w:type="dxa"/>
              <w:right w:w="100" w:type="dxa"/>
            </w:tcMar>
          </w:tcPr>
          <w:p w14:paraId="57AAA91C"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7067E474"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64D57A39" w14:textId="77777777" w:rsidR="00DA7E40" w:rsidRPr="00D800F0" w:rsidRDefault="00DA7E40" w:rsidP="0000614D">
            <w:pPr>
              <w:jc w:val="center"/>
              <w:rPr>
                <w:rFonts w:ascii="Arial" w:hAnsi="Arial" w:cs="Arial"/>
                <w:b/>
                <w:bCs/>
              </w:rPr>
            </w:pPr>
            <m:oMathPara>
              <m:oMath>
                <m:r>
                  <m:rPr>
                    <m:sty m:val="bi"/>
                  </m:rPr>
                  <w:rPr>
                    <w:rFonts w:ascii="Cambria Math" w:eastAsia="Cambria Math" w:hAnsi="Cambria Math" w:cs="Arial"/>
                  </w:rPr>
                  <m:t>wag</m:t>
                </m:r>
                <m:sSub>
                  <m:sSubPr>
                    <m:ctrlPr>
                      <w:rPr>
                        <w:rFonts w:ascii="Cambria Math" w:eastAsia="Cambria Math" w:hAnsi="Cambria Math" w:cs="Arial"/>
                        <w:b/>
                        <w:bCs/>
                      </w:rPr>
                    </m:ctrlPr>
                  </m:sSubPr>
                  <m:e>
                    <m:r>
                      <m:rPr>
                        <m:sty m:val="bi"/>
                      </m:rPr>
                      <w:rPr>
                        <w:rFonts w:ascii="Cambria Math" w:eastAsia="Cambria Math" w:hAnsi="Cambria Math" w:cs="Arial"/>
                      </w:rPr>
                      <m:t>e</m:t>
                    </m:r>
                  </m:e>
                  <m:sub>
                    <m:r>
                      <m:rPr>
                        <m:sty m:val="bi"/>
                      </m:rPr>
                      <w:rPr>
                        <w:rFonts w:ascii="Cambria Math" w:eastAsia="Cambria Math" w:hAnsi="Cambria Math" w:cs="Arial"/>
                      </w:rPr>
                      <m:t>h</m:t>
                    </m:r>
                  </m:sub>
                </m:sSub>
              </m:oMath>
            </m:oMathPara>
          </w:p>
        </w:tc>
        <w:tc>
          <w:tcPr>
            <w:tcW w:w="4850" w:type="dxa"/>
            <w:tcBorders>
              <w:top w:val="nil"/>
              <w:bottom w:val="nil"/>
            </w:tcBorders>
            <w:shd w:val="clear" w:color="auto" w:fill="auto"/>
            <w:tcMar>
              <w:top w:w="100" w:type="dxa"/>
              <w:left w:w="100" w:type="dxa"/>
              <w:bottom w:w="100" w:type="dxa"/>
              <w:right w:w="100" w:type="dxa"/>
            </w:tcMar>
          </w:tcPr>
          <w:p w14:paraId="6CBEC754" w14:textId="77777777" w:rsidR="00DA7E40" w:rsidRPr="00D800F0" w:rsidRDefault="00DA7E40" w:rsidP="0000614D">
            <w:pPr>
              <w:rPr>
                <w:rFonts w:ascii="Arial" w:hAnsi="Arial" w:cs="Arial"/>
              </w:rPr>
            </w:pPr>
            <w:r w:rsidRPr="00D800F0">
              <w:rPr>
                <w:rFonts w:ascii="Arial" w:hAnsi="Arial" w:cs="Arial"/>
              </w:rPr>
              <w:t>Operator salary</w:t>
            </w:r>
          </w:p>
        </w:tc>
        <w:tc>
          <w:tcPr>
            <w:tcW w:w="2440" w:type="dxa"/>
            <w:tcBorders>
              <w:top w:val="nil"/>
              <w:bottom w:val="nil"/>
            </w:tcBorders>
            <w:shd w:val="clear" w:color="auto" w:fill="auto"/>
            <w:tcMar>
              <w:top w:w="100" w:type="dxa"/>
              <w:left w:w="100" w:type="dxa"/>
              <w:bottom w:w="100" w:type="dxa"/>
              <w:right w:w="100" w:type="dxa"/>
            </w:tcMar>
          </w:tcPr>
          <w:p w14:paraId="6DF1CD8F" w14:textId="77777777" w:rsidR="00DA7E40" w:rsidRPr="00D800F0" w:rsidRDefault="00DA7E40" w:rsidP="0000614D">
            <w:pPr>
              <w:widowControl w:val="0"/>
              <w:rPr>
                <w:rFonts w:ascii="Arial" w:hAnsi="Arial" w:cs="Arial"/>
              </w:rPr>
            </w:pPr>
            <w:r w:rsidRPr="00D800F0">
              <w:rPr>
                <w:rFonts w:ascii="Arial" w:hAnsi="Arial" w:cs="Arial"/>
              </w:rPr>
              <w:t>$/hr</w:t>
            </w:r>
          </w:p>
        </w:tc>
      </w:tr>
      <w:tr w:rsidR="00DA7E40" w:rsidRPr="00D800F0" w14:paraId="567D2759"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5CB41992"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oMath>
            </m:oMathPara>
          </w:p>
        </w:tc>
        <w:tc>
          <w:tcPr>
            <w:tcW w:w="4850" w:type="dxa"/>
            <w:tcBorders>
              <w:top w:val="nil"/>
              <w:bottom w:val="nil"/>
            </w:tcBorders>
            <w:shd w:val="clear" w:color="auto" w:fill="auto"/>
            <w:tcMar>
              <w:top w:w="100" w:type="dxa"/>
              <w:left w:w="100" w:type="dxa"/>
              <w:bottom w:w="100" w:type="dxa"/>
              <w:right w:w="100" w:type="dxa"/>
            </w:tcMar>
          </w:tcPr>
          <w:p w14:paraId="0445D161" w14:textId="77777777" w:rsidR="00DA7E40" w:rsidRPr="00D800F0" w:rsidRDefault="00DA7E40" w:rsidP="0000614D">
            <w:pPr>
              <w:rPr>
                <w:rFonts w:ascii="Arial" w:hAnsi="Arial" w:cs="Arial"/>
              </w:rPr>
            </w:pPr>
            <w:r w:rsidRPr="00D800F0">
              <w:rPr>
                <w:rFonts w:ascii="Arial" w:hAnsi="Arial" w:cs="Arial"/>
              </w:rPr>
              <w:t>Monthly operator labor cost</w:t>
            </w:r>
          </w:p>
        </w:tc>
        <w:tc>
          <w:tcPr>
            <w:tcW w:w="2440" w:type="dxa"/>
            <w:tcBorders>
              <w:top w:val="nil"/>
              <w:bottom w:val="nil"/>
            </w:tcBorders>
            <w:shd w:val="clear" w:color="auto" w:fill="auto"/>
            <w:tcMar>
              <w:top w:w="100" w:type="dxa"/>
              <w:left w:w="100" w:type="dxa"/>
              <w:bottom w:w="100" w:type="dxa"/>
              <w:right w:w="100" w:type="dxa"/>
            </w:tcMar>
          </w:tcPr>
          <w:p w14:paraId="057E39D4" w14:textId="77777777" w:rsidR="00DA7E40" w:rsidRPr="00D800F0" w:rsidRDefault="00DA7E40" w:rsidP="0000614D">
            <w:pPr>
              <w:widowControl w:val="0"/>
              <w:rPr>
                <w:rFonts w:ascii="Arial" w:hAnsi="Arial" w:cs="Arial"/>
              </w:rPr>
            </w:pPr>
            <w:r w:rsidRPr="00D800F0">
              <w:rPr>
                <w:rFonts w:ascii="Arial" w:hAnsi="Arial" w:cs="Arial"/>
              </w:rPr>
              <w:t>$/month</w:t>
            </w:r>
          </w:p>
        </w:tc>
      </w:tr>
      <w:tr w:rsidR="00DA7E40" w:rsidRPr="00D800F0" w14:paraId="390F284F"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1A5B570D" w14:textId="77777777" w:rsidR="00DA7E40" w:rsidRPr="00D800F0" w:rsidRDefault="00DA7E40" w:rsidP="0000614D">
            <w:pPr>
              <w:jc w:val="center"/>
              <w:rPr>
                <w:rFonts w:ascii="Arial" w:hAnsi="Arial" w:cs="Arial"/>
                <w:b/>
              </w:rPr>
            </w:pPr>
            <m:oMathPara>
              <m:oMath>
                <m:r>
                  <m:rPr>
                    <m:sty m:val="bi"/>
                  </m:rPr>
                  <w:rPr>
                    <w:rFonts w:ascii="Cambria Math" w:eastAsia="Cambria Math" w:hAnsi="Cambria Math" w:cs="Arial"/>
                  </w:rPr>
                  <m:t>T</m:t>
                </m:r>
                <m:sSub>
                  <m:sSubPr>
                    <m:ctrlPr>
                      <w:rPr>
                        <w:rFonts w:ascii="Cambria Math" w:eastAsia="Cambria Math" w:hAnsi="Cambria Math" w:cs="Arial"/>
                        <w:b/>
                        <w:i/>
                      </w:rPr>
                    </m:ctrlPr>
                  </m:sSubPr>
                  <m:e>
                    <m:r>
                      <m:rPr>
                        <m:sty m:val="bi"/>
                      </m:rPr>
                      <w:rPr>
                        <w:rFonts w:ascii="Cambria Math" w:eastAsia="Cambria Math" w:hAnsi="Cambria Math" w:cs="Arial"/>
                      </w:rPr>
                      <m:t>L</m:t>
                    </m:r>
                  </m:e>
                  <m:sub>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sub>
                </m:sSub>
              </m:oMath>
            </m:oMathPara>
          </w:p>
        </w:tc>
        <w:tc>
          <w:tcPr>
            <w:tcW w:w="4850" w:type="dxa"/>
            <w:tcBorders>
              <w:top w:val="nil"/>
              <w:bottom w:val="nil"/>
            </w:tcBorders>
            <w:shd w:val="clear" w:color="auto" w:fill="auto"/>
            <w:tcMar>
              <w:top w:w="100" w:type="dxa"/>
              <w:left w:w="100" w:type="dxa"/>
              <w:bottom w:w="100" w:type="dxa"/>
              <w:right w:w="100" w:type="dxa"/>
            </w:tcMar>
          </w:tcPr>
          <w:p w14:paraId="3D275FC5" w14:textId="77777777" w:rsidR="00DA7E40" w:rsidRPr="00D800F0" w:rsidRDefault="00DA7E40" w:rsidP="0000614D">
            <w:pPr>
              <w:rPr>
                <w:rFonts w:ascii="Arial" w:hAnsi="Arial" w:cs="Arial"/>
              </w:rPr>
            </w:pPr>
            <w:r w:rsidRPr="00D800F0">
              <w:rPr>
                <w:rFonts w:ascii="Arial" w:hAnsi="Arial" w:cs="Arial"/>
              </w:rPr>
              <w:t>Total labor costs</w:t>
            </w:r>
          </w:p>
        </w:tc>
        <w:tc>
          <w:tcPr>
            <w:tcW w:w="2440" w:type="dxa"/>
            <w:tcBorders>
              <w:top w:val="nil"/>
              <w:bottom w:val="nil"/>
            </w:tcBorders>
            <w:shd w:val="clear" w:color="auto" w:fill="auto"/>
            <w:tcMar>
              <w:top w:w="100" w:type="dxa"/>
              <w:left w:w="100" w:type="dxa"/>
              <w:bottom w:w="100" w:type="dxa"/>
              <w:right w:w="100" w:type="dxa"/>
            </w:tcMar>
          </w:tcPr>
          <w:p w14:paraId="2A91DE70" w14:textId="77777777" w:rsidR="00DA7E40" w:rsidRPr="00D800F0" w:rsidRDefault="00DA7E40" w:rsidP="0000614D">
            <w:pPr>
              <w:widowControl w:val="0"/>
              <w:rPr>
                <w:rFonts w:ascii="Arial" w:hAnsi="Arial" w:cs="Arial"/>
              </w:rPr>
            </w:pPr>
            <w:r w:rsidRPr="00D800F0">
              <w:rPr>
                <w:rFonts w:ascii="Arial" w:hAnsi="Arial" w:cs="Arial"/>
              </w:rPr>
              <w:t>$/month</w:t>
            </w:r>
          </w:p>
        </w:tc>
      </w:tr>
      <w:tr w:rsidR="00DA7E40" w:rsidRPr="00D800F0" w14:paraId="36331565"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158A2C54" w14:textId="77777777" w:rsidR="00DA7E40" w:rsidRPr="00D800F0" w:rsidRDefault="00DA7E40" w:rsidP="0000614D">
            <w:pPr>
              <w:jc w:val="center"/>
              <w:rPr>
                <w:rFonts w:ascii="Arial" w:hAnsi="Arial" w:cs="Arial"/>
                <w:b/>
              </w:rPr>
            </w:pPr>
            <m:oMathPara>
              <m:oMath>
                <m:r>
                  <m:rPr>
                    <m:sty m:val="bi"/>
                  </m:rPr>
                  <w:rPr>
                    <w:rFonts w:ascii="Cambria Math" w:eastAsia="Cambria Math" w:hAnsi="Cambria Math" w:cs="Arial"/>
                  </w:rPr>
                  <m:t>T</m:t>
                </m:r>
                <m:sSub>
                  <m:sSubPr>
                    <m:ctrlPr>
                      <w:rPr>
                        <w:rFonts w:ascii="Cambria Math" w:eastAsia="Cambria Math" w:hAnsi="Cambria Math" w:cs="Arial"/>
                        <w:b/>
                        <w:i/>
                        <w:iCs/>
                      </w:rPr>
                    </m:ctrlPr>
                  </m:sSubPr>
                  <m:e>
                    <m:r>
                      <m:rPr>
                        <m:sty m:val="bi"/>
                      </m:rPr>
                      <w:rPr>
                        <w:rFonts w:ascii="Cambria Math" w:eastAsia="Cambria Math" w:hAnsi="Cambria Math" w:cs="Arial"/>
                      </w:rPr>
                      <m:t>F</m:t>
                    </m:r>
                  </m:e>
                  <m:sub>
                    <m:sSub>
                      <m:sSubPr>
                        <m:ctrlPr>
                          <w:rPr>
                            <w:rFonts w:ascii="Cambria Math" w:eastAsia="Cambria Math" w:hAnsi="Cambria Math" w:cs="Arial"/>
                            <w:b/>
                            <w:i/>
                            <w:iCs/>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sub>
                </m:sSub>
              </m:oMath>
            </m:oMathPara>
          </w:p>
        </w:tc>
        <w:tc>
          <w:tcPr>
            <w:tcW w:w="4850" w:type="dxa"/>
            <w:tcBorders>
              <w:top w:val="nil"/>
              <w:bottom w:val="nil"/>
            </w:tcBorders>
            <w:shd w:val="clear" w:color="auto" w:fill="auto"/>
            <w:tcMar>
              <w:top w:w="100" w:type="dxa"/>
              <w:left w:w="100" w:type="dxa"/>
              <w:bottom w:w="100" w:type="dxa"/>
              <w:right w:w="100" w:type="dxa"/>
            </w:tcMar>
          </w:tcPr>
          <w:p w14:paraId="70D34CE2" w14:textId="77777777" w:rsidR="00DA7E40" w:rsidRPr="00D800F0" w:rsidRDefault="00DA7E40" w:rsidP="0000614D">
            <w:pPr>
              <w:rPr>
                <w:rFonts w:ascii="Arial" w:hAnsi="Arial" w:cs="Arial"/>
              </w:rPr>
            </w:pPr>
            <w:r w:rsidRPr="00D800F0">
              <w:rPr>
                <w:rFonts w:ascii="Arial" w:hAnsi="Arial" w:cs="Arial"/>
              </w:rPr>
              <w:t>Fixed charges</w:t>
            </w:r>
          </w:p>
        </w:tc>
        <w:tc>
          <w:tcPr>
            <w:tcW w:w="2440" w:type="dxa"/>
            <w:tcBorders>
              <w:top w:val="nil"/>
              <w:bottom w:val="nil"/>
            </w:tcBorders>
            <w:shd w:val="clear" w:color="auto" w:fill="auto"/>
            <w:tcMar>
              <w:top w:w="100" w:type="dxa"/>
              <w:left w:w="100" w:type="dxa"/>
              <w:bottom w:w="100" w:type="dxa"/>
              <w:right w:w="100" w:type="dxa"/>
            </w:tcMar>
          </w:tcPr>
          <w:p w14:paraId="7539670B" w14:textId="77777777" w:rsidR="00DA7E40" w:rsidRPr="00D800F0" w:rsidRDefault="00DA7E40" w:rsidP="0000614D">
            <w:pPr>
              <w:widowControl w:val="0"/>
              <w:rPr>
                <w:rFonts w:ascii="Arial" w:hAnsi="Arial" w:cs="Arial"/>
              </w:rPr>
            </w:pPr>
            <w:r w:rsidRPr="00D800F0">
              <w:rPr>
                <w:rFonts w:ascii="Arial" w:hAnsi="Arial" w:cs="Arial"/>
              </w:rPr>
              <w:t>$/month</w:t>
            </w:r>
          </w:p>
        </w:tc>
      </w:tr>
      <w:tr w:rsidR="00DA7E40" w:rsidRPr="00D800F0" w14:paraId="6A4C4B33"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60C89C08" w14:textId="77777777" w:rsidR="00DA7E40" w:rsidRPr="00D800F0" w:rsidRDefault="00DA7E40" w:rsidP="0000614D">
            <w:pPr>
              <w:jc w:val="center"/>
              <w:rPr>
                <w:rFonts w:ascii="Arial" w:hAnsi="Arial" w:cs="Arial"/>
                <w:b/>
              </w:rPr>
            </w:pPr>
            <m:oMathPara>
              <m:oMath>
                <m:r>
                  <m:rPr>
                    <m:sty m:val="bi"/>
                  </m:rPr>
                  <w:rPr>
                    <w:rFonts w:ascii="Cambria Math" w:eastAsia="Cambria Math" w:hAnsi="Cambria Math" w:cs="Arial"/>
                  </w:rPr>
                  <m:t>F</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m:oMathPara>
          </w:p>
        </w:tc>
        <w:tc>
          <w:tcPr>
            <w:tcW w:w="4850" w:type="dxa"/>
            <w:tcBorders>
              <w:top w:val="nil"/>
              <w:bottom w:val="nil"/>
            </w:tcBorders>
            <w:shd w:val="clear" w:color="auto" w:fill="auto"/>
            <w:tcMar>
              <w:top w:w="100" w:type="dxa"/>
              <w:left w:w="100" w:type="dxa"/>
              <w:bottom w:w="100" w:type="dxa"/>
              <w:right w:w="100" w:type="dxa"/>
            </w:tcMar>
          </w:tcPr>
          <w:p w14:paraId="0B16BEAB" w14:textId="77777777" w:rsidR="00DA7E40" w:rsidRPr="00D800F0" w:rsidRDefault="00DA7E40" w:rsidP="0000614D">
            <w:pPr>
              <w:rPr>
                <w:rFonts w:ascii="Arial" w:hAnsi="Arial" w:cs="Arial"/>
              </w:rPr>
            </w:pPr>
            <w:r w:rsidRPr="00D800F0">
              <w:rPr>
                <w:rFonts w:ascii="Arial" w:hAnsi="Arial" w:cs="Arial"/>
              </w:rPr>
              <w:t>Fixed cost</w:t>
            </w:r>
          </w:p>
        </w:tc>
        <w:tc>
          <w:tcPr>
            <w:tcW w:w="2440" w:type="dxa"/>
            <w:tcBorders>
              <w:top w:val="nil"/>
              <w:bottom w:val="nil"/>
            </w:tcBorders>
            <w:shd w:val="clear" w:color="auto" w:fill="auto"/>
            <w:tcMar>
              <w:top w:w="100" w:type="dxa"/>
              <w:left w:w="100" w:type="dxa"/>
              <w:bottom w:w="100" w:type="dxa"/>
              <w:right w:w="100" w:type="dxa"/>
            </w:tcMar>
          </w:tcPr>
          <w:p w14:paraId="029D5ED9" w14:textId="77777777" w:rsidR="00DA7E40" w:rsidRPr="00D800F0" w:rsidRDefault="00DA7E40" w:rsidP="0000614D">
            <w:pPr>
              <w:widowControl w:val="0"/>
              <w:rPr>
                <w:rFonts w:ascii="Arial" w:hAnsi="Arial" w:cs="Arial"/>
              </w:rPr>
            </w:pPr>
            <w:r w:rsidRPr="00D800F0">
              <w:rPr>
                <w:rFonts w:ascii="Arial" w:hAnsi="Arial" w:cs="Arial"/>
              </w:rPr>
              <w:t>$/month</w:t>
            </w:r>
          </w:p>
        </w:tc>
      </w:tr>
      <w:tr w:rsidR="00DA7E40" w:rsidRPr="00D800F0" w14:paraId="20398B89"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0BEDCF5B"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sup</m:t>
                    </m:r>
                  </m:sub>
                </m:sSub>
              </m:oMath>
            </m:oMathPara>
          </w:p>
        </w:tc>
        <w:tc>
          <w:tcPr>
            <w:tcW w:w="4850" w:type="dxa"/>
            <w:tcBorders>
              <w:top w:val="nil"/>
              <w:bottom w:val="nil"/>
            </w:tcBorders>
            <w:shd w:val="clear" w:color="auto" w:fill="auto"/>
            <w:tcMar>
              <w:top w:w="100" w:type="dxa"/>
              <w:left w:w="100" w:type="dxa"/>
              <w:bottom w:w="100" w:type="dxa"/>
              <w:right w:w="100" w:type="dxa"/>
            </w:tcMar>
          </w:tcPr>
          <w:p w14:paraId="3D3888C9" w14:textId="77777777" w:rsidR="00DA7E40" w:rsidRPr="00D800F0" w:rsidRDefault="00DA7E40" w:rsidP="0000614D">
            <w:pPr>
              <w:rPr>
                <w:rFonts w:ascii="Arial" w:hAnsi="Arial" w:cs="Arial"/>
              </w:rPr>
            </w:pPr>
            <w:r w:rsidRPr="00D800F0">
              <w:rPr>
                <w:rFonts w:ascii="Arial" w:hAnsi="Arial" w:cs="Arial"/>
              </w:rPr>
              <w:t xml:space="preserve">Supervision costs to calculate total labor costs </w:t>
            </w:r>
          </w:p>
        </w:tc>
        <w:tc>
          <w:tcPr>
            <w:tcW w:w="2440" w:type="dxa"/>
            <w:tcBorders>
              <w:top w:val="nil"/>
              <w:bottom w:val="nil"/>
            </w:tcBorders>
            <w:shd w:val="clear" w:color="auto" w:fill="auto"/>
            <w:tcMar>
              <w:top w:w="100" w:type="dxa"/>
              <w:left w:w="100" w:type="dxa"/>
              <w:bottom w:w="100" w:type="dxa"/>
              <w:right w:w="100" w:type="dxa"/>
            </w:tcMar>
          </w:tcPr>
          <w:p w14:paraId="3CE45FBC" w14:textId="77777777" w:rsidR="00DA7E40" w:rsidRPr="00D800F0" w:rsidRDefault="00DA7E40" w:rsidP="0000614D">
            <w:pPr>
              <w:widowControl w:val="0"/>
              <w:rPr>
                <w:rFonts w:ascii="Arial" w:hAnsi="Arial" w:cs="Arial"/>
              </w:rPr>
            </w:pPr>
            <w:r w:rsidRPr="00D800F0">
              <w:rPr>
                <w:rFonts w:ascii="Arial" w:hAnsi="Arial" w:cs="Arial"/>
              </w:rPr>
              <w:t>%</w:t>
            </w:r>
            <m:oMath>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oMath>
          </w:p>
        </w:tc>
      </w:tr>
      <w:tr w:rsidR="00DA7E40" w:rsidRPr="00D800F0" w14:paraId="67754514"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5AAAD13F"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os</m:t>
                    </m:r>
                  </m:sub>
                </m:sSub>
              </m:oMath>
            </m:oMathPara>
          </w:p>
        </w:tc>
        <w:tc>
          <w:tcPr>
            <w:tcW w:w="4850" w:type="dxa"/>
            <w:tcBorders>
              <w:top w:val="nil"/>
              <w:bottom w:val="nil"/>
            </w:tcBorders>
            <w:shd w:val="clear" w:color="auto" w:fill="auto"/>
            <w:tcMar>
              <w:top w:w="100" w:type="dxa"/>
              <w:left w:w="100" w:type="dxa"/>
              <w:bottom w:w="100" w:type="dxa"/>
              <w:right w:w="100" w:type="dxa"/>
            </w:tcMar>
          </w:tcPr>
          <w:p w14:paraId="662A4CDA" w14:textId="77777777" w:rsidR="00DA7E40" w:rsidRPr="00D800F0" w:rsidRDefault="00DA7E40" w:rsidP="0000614D">
            <w:pPr>
              <w:rPr>
                <w:rFonts w:ascii="Arial" w:hAnsi="Arial" w:cs="Arial"/>
              </w:rPr>
            </w:pPr>
            <w:r w:rsidRPr="00D800F0">
              <w:rPr>
                <w:rFonts w:ascii="Arial" w:hAnsi="Arial" w:cs="Arial"/>
              </w:rPr>
              <w:t xml:space="preserve">Operating supply costs to calculate total labor costs </w:t>
            </w:r>
          </w:p>
        </w:tc>
        <w:tc>
          <w:tcPr>
            <w:tcW w:w="2440" w:type="dxa"/>
            <w:tcBorders>
              <w:top w:val="nil"/>
              <w:bottom w:val="nil"/>
            </w:tcBorders>
            <w:shd w:val="clear" w:color="auto" w:fill="auto"/>
            <w:tcMar>
              <w:top w:w="100" w:type="dxa"/>
              <w:left w:w="100" w:type="dxa"/>
              <w:bottom w:w="100" w:type="dxa"/>
              <w:right w:w="100" w:type="dxa"/>
            </w:tcMar>
          </w:tcPr>
          <w:p w14:paraId="7FD347C5"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FC</m:t>
              </m:r>
              <m:sSub>
                <m:sSubPr>
                  <m:ctrlPr>
                    <w:rPr>
                      <w:rFonts w:ascii="Cambria Math" w:eastAsia="Cambria Math" w:hAnsi="Cambria Math" w:cs="Arial"/>
                      <w:b/>
                      <w:i/>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m:t>
              </m:r>
              <m:f>
                <m:fPr>
                  <m:ctrlPr>
                    <w:rPr>
                      <w:rFonts w:ascii="Cambria Math" w:eastAsia="Cambria Math" w:hAnsi="Cambria Math" w:cs="Arial"/>
                      <w:b/>
                      <w:i/>
                    </w:rPr>
                  </m:ctrlPr>
                </m:fPr>
                <m:num>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MT</m:t>
                      </m:r>
                    </m:sub>
                  </m:sSub>
                </m:num>
                <m:den>
                  <m:r>
                    <m:rPr>
                      <m:sty m:val="bi"/>
                    </m:rPr>
                    <w:rPr>
                      <w:rFonts w:ascii="Cambria Math" w:eastAsia="Cambria Math" w:hAnsi="Cambria Math" w:cs="Arial"/>
                    </w:rPr>
                    <m:t>12</m:t>
                  </m:r>
                </m:den>
              </m:f>
            </m:oMath>
          </w:p>
        </w:tc>
      </w:tr>
      <w:tr w:rsidR="00DA7E40" w:rsidRPr="00D800F0" w14:paraId="3703952C"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18E7FB7E"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LC</m:t>
                    </m:r>
                  </m:sub>
                </m:sSub>
              </m:oMath>
            </m:oMathPara>
          </w:p>
        </w:tc>
        <w:tc>
          <w:tcPr>
            <w:tcW w:w="4850" w:type="dxa"/>
            <w:tcBorders>
              <w:top w:val="nil"/>
              <w:bottom w:val="nil"/>
            </w:tcBorders>
            <w:shd w:val="clear" w:color="auto" w:fill="auto"/>
            <w:tcMar>
              <w:top w:w="100" w:type="dxa"/>
              <w:left w:w="100" w:type="dxa"/>
              <w:bottom w:w="100" w:type="dxa"/>
              <w:right w:w="100" w:type="dxa"/>
            </w:tcMar>
          </w:tcPr>
          <w:p w14:paraId="16A7C17B" w14:textId="77777777" w:rsidR="00DA7E40" w:rsidRPr="00D800F0" w:rsidRDefault="00DA7E40" w:rsidP="0000614D">
            <w:pPr>
              <w:rPr>
                <w:rFonts w:ascii="Arial" w:hAnsi="Arial" w:cs="Arial"/>
              </w:rPr>
            </w:pPr>
            <w:r w:rsidRPr="00D800F0">
              <w:rPr>
                <w:rFonts w:ascii="Arial" w:hAnsi="Arial" w:cs="Arial"/>
              </w:rPr>
              <w:t xml:space="preserve">Laboratory charges to calculate total labor costs </w:t>
            </w:r>
          </w:p>
        </w:tc>
        <w:tc>
          <w:tcPr>
            <w:tcW w:w="2440" w:type="dxa"/>
            <w:tcBorders>
              <w:top w:val="nil"/>
              <w:bottom w:val="nil"/>
            </w:tcBorders>
            <w:shd w:val="clear" w:color="auto" w:fill="auto"/>
            <w:tcMar>
              <w:top w:w="100" w:type="dxa"/>
              <w:left w:w="100" w:type="dxa"/>
              <w:bottom w:w="100" w:type="dxa"/>
              <w:right w:w="100" w:type="dxa"/>
            </w:tcMar>
          </w:tcPr>
          <w:p w14:paraId="3CB641B5" w14:textId="77777777" w:rsidR="00DA7E40" w:rsidRPr="00D800F0" w:rsidRDefault="00DA7E40" w:rsidP="0000614D">
            <w:pPr>
              <w:widowControl w:val="0"/>
              <w:rPr>
                <w:rFonts w:ascii="Arial" w:hAnsi="Arial" w:cs="Arial"/>
              </w:rPr>
            </w:pPr>
            <w:r w:rsidRPr="00D800F0">
              <w:rPr>
                <w:rFonts w:ascii="Arial" w:hAnsi="Arial" w:cs="Arial"/>
              </w:rPr>
              <w:t>%</w:t>
            </w:r>
            <m:oMath>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oMath>
          </w:p>
        </w:tc>
      </w:tr>
      <w:tr w:rsidR="00DA7E40" w:rsidRPr="00D800F0" w14:paraId="5CE96CC7"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1F7E795A" w14:textId="77777777" w:rsidR="00DA7E40" w:rsidRPr="00D800F0" w:rsidRDefault="00DA7E40" w:rsidP="0000614D">
            <w:pPr>
              <w:jc w:val="center"/>
              <w:rPr>
                <w:rFonts w:ascii="Arial" w:hAnsi="Arial" w:cs="Arial"/>
                <w:b/>
              </w:rPr>
            </w:pPr>
            <m:oMathPara>
              <m:oMath>
                <m:r>
                  <m:rPr>
                    <m:sty m:val="bi"/>
                  </m:rPr>
                  <w:rPr>
                    <w:rFonts w:ascii="Cambria Math" w:eastAsia="Cambria Math" w:hAnsi="Cambria Math" w:cs="Arial"/>
                  </w:rPr>
                  <m:t xml:space="preserve"> </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P&amp;R</m:t>
                    </m:r>
                  </m:sub>
                </m:sSub>
              </m:oMath>
            </m:oMathPara>
          </w:p>
        </w:tc>
        <w:tc>
          <w:tcPr>
            <w:tcW w:w="4850" w:type="dxa"/>
            <w:tcBorders>
              <w:top w:val="nil"/>
              <w:bottom w:val="nil"/>
            </w:tcBorders>
            <w:shd w:val="clear" w:color="auto" w:fill="auto"/>
            <w:tcMar>
              <w:top w:w="100" w:type="dxa"/>
              <w:left w:w="100" w:type="dxa"/>
              <w:bottom w:w="100" w:type="dxa"/>
              <w:right w:w="100" w:type="dxa"/>
            </w:tcMar>
          </w:tcPr>
          <w:p w14:paraId="5202264B" w14:textId="77777777" w:rsidR="00DA7E40" w:rsidRPr="00D800F0" w:rsidRDefault="00DA7E40" w:rsidP="0000614D">
            <w:pPr>
              <w:rPr>
                <w:rFonts w:ascii="Arial" w:hAnsi="Arial" w:cs="Arial"/>
              </w:rPr>
            </w:pPr>
            <w:r w:rsidRPr="00D800F0">
              <w:rPr>
                <w:rFonts w:ascii="Arial" w:hAnsi="Arial" w:cs="Arial"/>
              </w:rPr>
              <w:t xml:space="preserve">Patient and royalty costs to calculate total labor costs </w:t>
            </w:r>
          </w:p>
        </w:tc>
        <w:tc>
          <w:tcPr>
            <w:tcW w:w="2440" w:type="dxa"/>
            <w:tcBorders>
              <w:top w:val="nil"/>
              <w:bottom w:val="nil"/>
            </w:tcBorders>
            <w:shd w:val="clear" w:color="auto" w:fill="auto"/>
            <w:tcMar>
              <w:top w:w="100" w:type="dxa"/>
              <w:left w:w="100" w:type="dxa"/>
              <w:bottom w:w="100" w:type="dxa"/>
              <w:right w:w="100" w:type="dxa"/>
            </w:tcMar>
          </w:tcPr>
          <w:p w14:paraId="3783F8B8"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hAnsi="Arial" w:cs="Arial"/>
                <w:b/>
                <w:i/>
              </w:rPr>
              <w:t xml:space="preserve"> </w:t>
            </w:r>
            <m:oMath>
              <m:r>
                <m:rPr>
                  <m:sty m:val="bi"/>
                </m:rPr>
                <w:rPr>
                  <w:rFonts w:ascii="Cambria Math" w:hAnsi="Cambria Math" w:cs="Arial"/>
                </w:rPr>
                <m:t>CAPE</m:t>
              </m:r>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j</m:t>
                  </m:r>
                </m:sub>
              </m:sSub>
            </m:oMath>
          </w:p>
        </w:tc>
      </w:tr>
      <w:tr w:rsidR="00DA7E40" w:rsidRPr="00D800F0" w14:paraId="024FC2DE"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01FF0881"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OH</m:t>
                    </m:r>
                  </m:sub>
                </m:sSub>
              </m:oMath>
            </m:oMathPara>
          </w:p>
        </w:tc>
        <w:tc>
          <w:tcPr>
            <w:tcW w:w="4850" w:type="dxa"/>
            <w:tcBorders>
              <w:top w:val="nil"/>
              <w:bottom w:val="nil"/>
            </w:tcBorders>
            <w:shd w:val="clear" w:color="auto" w:fill="auto"/>
            <w:tcMar>
              <w:top w:w="100" w:type="dxa"/>
              <w:left w:w="100" w:type="dxa"/>
              <w:bottom w:w="100" w:type="dxa"/>
              <w:right w:w="100" w:type="dxa"/>
            </w:tcMar>
          </w:tcPr>
          <w:p w14:paraId="2FF5FA28" w14:textId="77777777" w:rsidR="00DA7E40" w:rsidRPr="00D800F0" w:rsidRDefault="00DA7E40" w:rsidP="0000614D">
            <w:pPr>
              <w:rPr>
                <w:rFonts w:ascii="Arial" w:hAnsi="Arial" w:cs="Arial"/>
              </w:rPr>
            </w:pPr>
            <w:r w:rsidRPr="00D800F0">
              <w:rPr>
                <w:rFonts w:ascii="Arial" w:hAnsi="Arial" w:cs="Arial"/>
              </w:rPr>
              <w:t xml:space="preserve">Overhead costs to calculate total labor costs </w:t>
            </w:r>
          </w:p>
        </w:tc>
        <w:tc>
          <w:tcPr>
            <w:tcW w:w="2440" w:type="dxa"/>
            <w:tcBorders>
              <w:top w:val="nil"/>
              <w:bottom w:val="nil"/>
            </w:tcBorders>
            <w:shd w:val="clear" w:color="auto" w:fill="auto"/>
            <w:tcMar>
              <w:top w:w="100" w:type="dxa"/>
              <w:left w:w="100" w:type="dxa"/>
              <w:bottom w:w="100" w:type="dxa"/>
              <w:right w:w="100" w:type="dxa"/>
            </w:tcMar>
          </w:tcPr>
          <w:p w14:paraId="0A8A9A57" w14:textId="77777777" w:rsidR="00DA7E40" w:rsidRPr="00D800F0" w:rsidRDefault="00DA7E40" w:rsidP="0000614D">
            <w:pPr>
              <w:widowControl w:val="0"/>
              <w:rPr>
                <w:rFonts w:ascii="Arial" w:hAnsi="Arial" w:cs="Arial"/>
              </w:rPr>
            </w:pPr>
            <w:r w:rsidRPr="00D800F0">
              <w:rPr>
                <w:rFonts w:ascii="Arial" w:hAnsi="Arial" w:cs="Arial"/>
              </w:rPr>
              <w:t>% maintenance + supervision + labor</w:t>
            </w:r>
          </w:p>
        </w:tc>
      </w:tr>
      <w:tr w:rsidR="00DA7E40" w:rsidRPr="00D800F0" w14:paraId="5144438E"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48F36829"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fin</m:t>
                    </m:r>
                  </m:sub>
                </m:sSub>
              </m:oMath>
            </m:oMathPara>
          </w:p>
        </w:tc>
        <w:tc>
          <w:tcPr>
            <w:tcW w:w="4850" w:type="dxa"/>
            <w:tcBorders>
              <w:top w:val="nil"/>
              <w:bottom w:val="nil"/>
            </w:tcBorders>
            <w:shd w:val="clear" w:color="auto" w:fill="auto"/>
            <w:tcMar>
              <w:top w:w="100" w:type="dxa"/>
              <w:left w:w="100" w:type="dxa"/>
              <w:bottom w:w="100" w:type="dxa"/>
              <w:right w:w="100" w:type="dxa"/>
            </w:tcMar>
          </w:tcPr>
          <w:p w14:paraId="3CEFB880" w14:textId="77777777" w:rsidR="00DA7E40" w:rsidRPr="00D800F0" w:rsidRDefault="00DA7E40" w:rsidP="0000614D">
            <w:pPr>
              <w:rPr>
                <w:rFonts w:ascii="Arial" w:hAnsi="Arial" w:cs="Arial"/>
              </w:rPr>
            </w:pPr>
            <w:r w:rsidRPr="00D800F0">
              <w:rPr>
                <w:rFonts w:ascii="Arial" w:hAnsi="Arial" w:cs="Arial"/>
              </w:rPr>
              <w:t xml:space="preserve">Financing fixed cost </w:t>
            </w:r>
          </w:p>
        </w:tc>
        <w:tc>
          <w:tcPr>
            <w:tcW w:w="2440" w:type="dxa"/>
            <w:tcBorders>
              <w:top w:val="nil"/>
              <w:bottom w:val="nil"/>
            </w:tcBorders>
            <w:shd w:val="clear" w:color="auto" w:fill="auto"/>
            <w:tcMar>
              <w:top w:w="100" w:type="dxa"/>
              <w:left w:w="100" w:type="dxa"/>
              <w:bottom w:w="100" w:type="dxa"/>
              <w:right w:w="100" w:type="dxa"/>
            </w:tcMar>
          </w:tcPr>
          <w:p w14:paraId="5385DB8B"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p>
        </w:tc>
      </w:tr>
      <w:tr w:rsidR="00DA7E40" w:rsidRPr="00D800F0" w14:paraId="799DCF88"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42E0732E"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rent</m:t>
                    </m:r>
                  </m:sub>
                </m:sSub>
              </m:oMath>
            </m:oMathPara>
          </w:p>
        </w:tc>
        <w:tc>
          <w:tcPr>
            <w:tcW w:w="4850" w:type="dxa"/>
            <w:tcBorders>
              <w:top w:val="nil"/>
              <w:bottom w:val="nil"/>
            </w:tcBorders>
            <w:shd w:val="clear" w:color="auto" w:fill="auto"/>
            <w:tcMar>
              <w:top w:w="100" w:type="dxa"/>
              <w:left w:w="100" w:type="dxa"/>
              <w:bottom w:w="100" w:type="dxa"/>
              <w:right w:w="100" w:type="dxa"/>
            </w:tcMar>
          </w:tcPr>
          <w:p w14:paraId="37AF8853" w14:textId="77777777" w:rsidR="00DA7E40" w:rsidRPr="00D800F0" w:rsidRDefault="00DA7E40" w:rsidP="0000614D">
            <w:pPr>
              <w:rPr>
                <w:rFonts w:ascii="Arial" w:hAnsi="Arial" w:cs="Arial"/>
              </w:rPr>
            </w:pPr>
            <w:r w:rsidRPr="00D800F0">
              <w:rPr>
                <w:rFonts w:ascii="Arial" w:hAnsi="Arial" w:cs="Arial"/>
              </w:rPr>
              <w:t xml:space="preserve">Rent fixed cost </w:t>
            </w:r>
          </w:p>
        </w:tc>
        <w:tc>
          <w:tcPr>
            <w:tcW w:w="2440" w:type="dxa"/>
            <w:tcBorders>
              <w:top w:val="nil"/>
              <w:bottom w:val="nil"/>
            </w:tcBorders>
            <w:shd w:val="clear" w:color="auto" w:fill="auto"/>
            <w:tcMar>
              <w:top w:w="100" w:type="dxa"/>
              <w:left w:w="100" w:type="dxa"/>
              <w:bottom w:w="100" w:type="dxa"/>
              <w:right w:w="100" w:type="dxa"/>
            </w:tcMar>
          </w:tcPr>
          <w:p w14:paraId="640D9F1C" w14:textId="77777777" w:rsidR="00DA7E40" w:rsidRPr="00D800F0" w:rsidRDefault="00DA7E40" w:rsidP="0000614D">
            <w:pPr>
              <w:widowControl w:val="0"/>
              <w:rPr>
                <w:rFonts w:ascii="Arial" w:hAnsi="Arial" w:cs="Arial"/>
              </w:rPr>
            </w:pPr>
            <w:r w:rsidRPr="00D800F0">
              <w:rPr>
                <w:rFonts w:ascii="Arial" w:hAnsi="Arial" w:cs="Arial"/>
              </w:rPr>
              <w:t>%</w:t>
            </w:r>
            <m:oMath>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land</m:t>
                  </m:r>
                </m:sub>
              </m:sSub>
            </m:oMath>
          </w:p>
        </w:tc>
      </w:tr>
      <w:tr w:rsidR="00DA7E40" w:rsidRPr="00D800F0" w14:paraId="2F00D29F"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362F96DB"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ptax</m:t>
                    </m:r>
                  </m:sub>
                </m:sSub>
              </m:oMath>
            </m:oMathPara>
          </w:p>
        </w:tc>
        <w:tc>
          <w:tcPr>
            <w:tcW w:w="4850" w:type="dxa"/>
            <w:tcBorders>
              <w:top w:val="nil"/>
              <w:bottom w:val="nil"/>
            </w:tcBorders>
            <w:shd w:val="clear" w:color="auto" w:fill="auto"/>
            <w:tcMar>
              <w:top w:w="100" w:type="dxa"/>
              <w:left w:w="100" w:type="dxa"/>
              <w:bottom w:w="100" w:type="dxa"/>
              <w:right w:w="100" w:type="dxa"/>
            </w:tcMar>
          </w:tcPr>
          <w:p w14:paraId="5ABB328A" w14:textId="77777777" w:rsidR="00DA7E40" w:rsidRPr="00D800F0" w:rsidRDefault="00DA7E40" w:rsidP="0000614D">
            <w:pPr>
              <w:rPr>
                <w:rFonts w:ascii="Arial" w:hAnsi="Arial" w:cs="Arial"/>
              </w:rPr>
            </w:pPr>
            <w:r w:rsidRPr="00D800F0">
              <w:rPr>
                <w:rFonts w:ascii="Arial" w:hAnsi="Arial" w:cs="Arial"/>
              </w:rPr>
              <w:t xml:space="preserve">Local property tax fixed cost </w:t>
            </w:r>
          </w:p>
        </w:tc>
        <w:tc>
          <w:tcPr>
            <w:tcW w:w="2440" w:type="dxa"/>
            <w:tcBorders>
              <w:top w:val="nil"/>
              <w:bottom w:val="nil"/>
            </w:tcBorders>
            <w:shd w:val="clear" w:color="auto" w:fill="auto"/>
            <w:tcMar>
              <w:top w:w="100" w:type="dxa"/>
              <w:left w:w="100" w:type="dxa"/>
              <w:bottom w:w="100" w:type="dxa"/>
              <w:right w:w="100" w:type="dxa"/>
            </w:tcMar>
          </w:tcPr>
          <w:p w14:paraId="5A8EAFF3"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T</m:t>
              </m:r>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oMath>
          </w:p>
        </w:tc>
      </w:tr>
      <w:tr w:rsidR="00DA7E40" w:rsidRPr="00D800F0" w14:paraId="0B9E860E"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4D9CF354"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admin</m:t>
                    </m:r>
                  </m:sub>
                </m:sSub>
              </m:oMath>
            </m:oMathPara>
          </w:p>
        </w:tc>
        <w:tc>
          <w:tcPr>
            <w:tcW w:w="4850" w:type="dxa"/>
            <w:tcBorders>
              <w:top w:val="nil"/>
              <w:bottom w:val="nil"/>
            </w:tcBorders>
            <w:shd w:val="clear" w:color="auto" w:fill="auto"/>
            <w:tcMar>
              <w:top w:w="100" w:type="dxa"/>
              <w:left w:w="100" w:type="dxa"/>
              <w:bottom w:w="100" w:type="dxa"/>
              <w:right w:w="100" w:type="dxa"/>
            </w:tcMar>
          </w:tcPr>
          <w:p w14:paraId="192FC7FE" w14:textId="77777777" w:rsidR="00DA7E40" w:rsidRPr="00D800F0" w:rsidRDefault="00DA7E40" w:rsidP="0000614D">
            <w:pPr>
              <w:rPr>
                <w:rFonts w:ascii="Arial" w:hAnsi="Arial" w:cs="Arial"/>
              </w:rPr>
            </w:pPr>
            <w:r w:rsidRPr="00D800F0">
              <w:rPr>
                <w:rFonts w:ascii="Arial" w:hAnsi="Arial" w:cs="Arial"/>
              </w:rPr>
              <w:t>Administrative fixed cost</w:t>
            </w:r>
          </w:p>
        </w:tc>
        <w:tc>
          <w:tcPr>
            <w:tcW w:w="2440" w:type="dxa"/>
            <w:tcBorders>
              <w:top w:val="nil"/>
              <w:bottom w:val="nil"/>
            </w:tcBorders>
            <w:shd w:val="clear" w:color="auto" w:fill="auto"/>
            <w:tcMar>
              <w:top w:w="100" w:type="dxa"/>
              <w:left w:w="100" w:type="dxa"/>
              <w:bottom w:w="100" w:type="dxa"/>
              <w:right w:w="100" w:type="dxa"/>
            </w:tcMar>
          </w:tcPr>
          <w:p w14:paraId="59181305" w14:textId="77777777" w:rsidR="00DA7E40" w:rsidRPr="00D800F0" w:rsidRDefault="00DA7E40" w:rsidP="0000614D">
            <w:pPr>
              <w:widowControl w:val="0"/>
              <w:rPr>
                <w:rFonts w:ascii="Arial" w:hAnsi="Arial" w:cs="Arial"/>
              </w:rPr>
            </w:pPr>
            <w:r w:rsidRPr="00D800F0">
              <w:rPr>
                <w:rFonts w:ascii="Arial" w:hAnsi="Arial" w:cs="Arial"/>
              </w:rPr>
              <w:t>%</w:t>
            </w:r>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admin</m:t>
                  </m:r>
                </m:sub>
              </m:sSub>
            </m:oMath>
          </w:p>
        </w:tc>
      </w:tr>
      <w:tr w:rsidR="00DA7E40" w:rsidRPr="00D800F0" w14:paraId="68BB826B"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5B897564" w14:textId="77777777" w:rsidR="00DA7E40" w:rsidRPr="00D800F0" w:rsidRDefault="00000000" w:rsidP="0000614D">
            <w:pPr>
              <w:jc w:val="center"/>
              <w:rPr>
                <w:rFonts w:ascii="Arial" w:hAnsi="Arial" w:cs="Arial"/>
                <w:b/>
              </w:rPr>
            </w:pPr>
            <m:oMathPara>
              <m:oMath>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ins</m:t>
                    </m:r>
                  </m:sub>
                </m:sSub>
              </m:oMath>
            </m:oMathPara>
          </w:p>
        </w:tc>
        <w:tc>
          <w:tcPr>
            <w:tcW w:w="4850" w:type="dxa"/>
            <w:tcBorders>
              <w:top w:val="nil"/>
              <w:bottom w:val="nil"/>
            </w:tcBorders>
            <w:shd w:val="clear" w:color="auto" w:fill="auto"/>
            <w:tcMar>
              <w:top w:w="100" w:type="dxa"/>
              <w:left w:w="100" w:type="dxa"/>
              <w:bottom w:w="100" w:type="dxa"/>
              <w:right w:w="100" w:type="dxa"/>
            </w:tcMar>
          </w:tcPr>
          <w:p w14:paraId="436960E8" w14:textId="77777777" w:rsidR="00DA7E40" w:rsidRPr="00D800F0" w:rsidRDefault="00DA7E40" w:rsidP="0000614D">
            <w:pPr>
              <w:rPr>
                <w:rFonts w:ascii="Arial" w:hAnsi="Arial" w:cs="Arial"/>
              </w:rPr>
            </w:pPr>
            <w:r w:rsidRPr="00D800F0">
              <w:rPr>
                <w:rFonts w:ascii="Arial" w:hAnsi="Arial" w:cs="Arial"/>
              </w:rPr>
              <w:t>Insurance costs</w:t>
            </w:r>
          </w:p>
        </w:tc>
        <w:tc>
          <w:tcPr>
            <w:tcW w:w="2440" w:type="dxa"/>
            <w:tcBorders>
              <w:top w:val="nil"/>
              <w:bottom w:val="nil"/>
            </w:tcBorders>
            <w:shd w:val="clear" w:color="auto" w:fill="auto"/>
            <w:tcMar>
              <w:top w:w="100" w:type="dxa"/>
              <w:left w:w="100" w:type="dxa"/>
              <w:bottom w:w="100" w:type="dxa"/>
              <w:right w:w="100" w:type="dxa"/>
            </w:tcMar>
          </w:tcPr>
          <w:p w14:paraId="3CB78D7B"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FC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oMath>
          </w:p>
        </w:tc>
      </w:tr>
      <w:tr w:rsidR="00DA7E40" w:rsidRPr="00D800F0" w14:paraId="65D2EF78"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7C8741CC"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MT</m:t>
                    </m:r>
                  </m:sub>
                </m:sSub>
              </m:oMath>
            </m:oMathPara>
          </w:p>
        </w:tc>
        <w:tc>
          <w:tcPr>
            <w:tcW w:w="4850" w:type="dxa"/>
            <w:tcBorders>
              <w:top w:val="nil"/>
              <w:bottom w:val="nil"/>
            </w:tcBorders>
            <w:shd w:val="clear" w:color="auto" w:fill="auto"/>
            <w:tcMar>
              <w:top w:w="100" w:type="dxa"/>
              <w:left w:w="100" w:type="dxa"/>
              <w:bottom w:w="100" w:type="dxa"/>
              <w:right w:w="100" w:type="dxa"/>
            </w:tcMar>
          </w:tcPr>
          <w:p w14:paraId="6BF423C5" w14:textId="77777777" w:rsidR="00DA7E40" w:rsidRPr="00D800F0" w:rsidRDefault="00DA7E40" w:rsidP="0000614D">
            <w:pPr>
              <w:rPr>
                <w:rFonts w:ascii="Arial" w:hAnsi="Arial" w:cs="Arial"/>
              </w:rPr>
            </w:pPr>
            <w:r w:rsidRPr="00D800F0">
              <w:rPr>
                <w:rFonts w:ascii="Arial" w:hAnsi="Arial" w:cs="Arial"/>
              </w:rPr>
              <w:t xml:space="preserve">Maintenance costs to calculate total labor costs </w:t>
            </w:r>
          </w:p>
        </w:tc>
        <w:tc>
          <w:tcPr>
            <w:tcW w:w="2440" w:type="dxa"/>
            <w:tcBorders>
              <w:top w:val="nil"/>
              <w:bottom w:val="nil"/>
            </w:tcBorders>
            <w:shd w:val="clear" w:color="auto" w:fill="auto"/>
            <w:tcMar>
              <w:top w:w="100" w:type="dxa"/>
              <w:left w:w="100" w:type="dxa"/>
              <w:bottom w:w="100" w:type="dxa"/>
              <w:right w:w="100" w:type="dxa"/>
            </w:tcMar>
          </w:tcPr>
          <w:p w14:paraId="100D35BB" w14:textId="77777777" w:rsidR="00DA7E40" w:rsidRPr="00D800F0" w:rsidRDefault="00DA7E40" w:rsidP="0000614D">
            <w:pPr>
              <w:widowControl w:val="0"/>
              <w:rPr>
                <w:rFonts w:ascii="Arial" w:hAnsi="Arial" w:cs="Arial"/>
              </w:rPr>
            </w:pPr>
            <w:r w:rsidRPr="00D800F0">
              <w:rPr>
                <w:rFonts w:ascii="Arial" w:hAnsi="Arial" w:cs="Arial"/>
                <w:bCs/>
              </w:rPr>
              <w:t>%</w:t>
            </w:r>
            <m:oMath>
              <m:r>
                <m:rPr>
                  <m:sty m:val="bi"/>
                </m:rPr>
                <w:rPr>
                  <w:rFonts w:ascii="Cambria Math" w:eastAsia="Cambria Math" w:hAnsi="Cambria Math" w:cs="Arial"/>
                </w:rPr>
                <m:t>FC</m:t>
              </m:r>
              <m:sSub>
                <m:sSubPr>
                  <m:ctrlPr>
                    <w:rPr>
                      <w:rFonts w:ascii="Cambria Math" w:eastAsia="Cambria Math" w:hAnsi="Cambria Math" w:cs="Arial"/>
                      <w:b/>
                      <w:i/>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oMath>
          </w:p>
        </w:tc>
      </w:tr>
      <w:tr w:rsidR="00DA7E40" w:rsidRPr="00D800F0" w14:paraId="3638298C"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6839B2B2"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V</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m:oMathPara>
          </w:p>
        </w:tc>
        <w:tc>
          <w:tcPr>
            <w:tcW w:w="4850" w:type="dxa"/>
            <w:tcBorders>
              <w:top w:val="nil"/>
              <w:bottom w:val="nil"/>
            </w:tcBorders>
            <w:shd w:val="clear" w:color="auto" w:fill="auto"/>
            <w:tcMar>
              <w:top w:w="100" w:type="dxa"/>
              <w:left w:w="100" w:type="dxa"/>
              <w:bottom w:w="100" w:type="dxa"/>
              <w:right w:w="100" w:type="dxa"/>
            </w:tcMar>
          </w:tcPr>
          <w:p w14:paraId="08894A48" w14:textId="77777777" w:rsidR="00DA7E40" w:rsidRPr="00D800F0" w:rsidRDefault="00DA7E40" w:rsidP="0000614D">
            <w:pPr>
              <w:rPr>
                <w:rFonts w:ascii="Arial" w:hAnsi="Arial" w:cs="Arial"/>
              </w:rPr>
            </w:pPr>
            <w:r w:rsidRPr="00D800F0">
              <w:rPr>
                <w:rFonts w:ascii="Arial" w:hAnsi="Arial" w:cs="Arial"/>
              </w:rPr>
              <w:t>Variable cost</w:t>
            </w:r>
          </w:p>
        </w:tc>
        <w:tc>
          <w:tcPr>
            <w:tcW w:w="2440" w:type="dxa"/>
            <w:tcBorders>
              <w:top w:val="nil"/>
              <w:bottom w:val="nil"/>
            </w:tcBorders>
            <w:shd w:val="clear" w:color="auto" w:fill="auto"/>
            <w:tcMar>
              <w:top w:w="100" w:type="dxa"/>
              <w:left w:w="100" w:type="dxa"/>
              <w:bottom w:w="100" w:type="dxa"/>
              <w:right w:w="100" w:type="dxa"/>
            </w:tcMar>
          </w:tcPr>
          <w:p w14:paraId="15F36A0D" w14:textId="77777777" w:rsidR="00DA7E40" w:rsidRPr="00D800F0" w:rsidRDefault="00DA7E40" w:rsidP="0000614D">
            <w:pPr>
              <w:widowControl w:val="0"/>
              <w:rPr>
                <w:rFonts w:ascii="Arial" w:hAnsi="Arial" w:cs="Arial"/>
              </w:rPr>
            </w:pPr>
            <w:r w:rsidRPr="00D800F0">
              <w:rPr>
                <w:rFonts w:ascii="Arial" w:hAnsi="Arial" w:cs="Arial"/>
              </w:rPr>
              <w:t>$/month</w:t>
            </w:r>
          </w:p>
        </w:tc>
      </w:tr>
      <w:tr w:rsidR="00DA7E40" w:rsidRPr="00D800F0" w14:paraId="5B88C9FA"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239EBBE0"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i/>
                      </w:rPr>
                    </m:ctrlPr>
                  </m:sSubPr>
                  <m:e>
                    <m:r>
                      <m:rPr>
                        <m:sty m:val="bi"/>
                      </m:rPr>
                      <w:rPr>
                        <w:rFonts w:ascii="Cambria Math" w:eastAsia="Cambria Math" w:hAnsi="Cambria Math" w:cs="Arial"/>
                      </w:rPr>
                      <m:t>S</m:t>
                    </m:r>
                  </m:e>
                  <m:sub>
                    <m:sSub>
                      <m:sSubPr>
                        <m:ctrlPr>
                          <w:rPr>
                            <w:rFonts w:ascii="Cambria Math" w:eastAsia="Cambria Math" w:hAnsi="Cambria Math" w:cs="Arial"/>
                            <w:b/>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r>
                      <m:rPr>
                        <m:sty m:val="bi"/>
                      </m:rPr>
                      <w:rPr>
                        <w:rFonts w:ascii="Cambria Math" w:eastAsia="Cambria Math" w:hAnsi="Cambria Math" w:cs="Arial"/>
                      </w:rPr>
                      <m:t>O</m:t>
                    </m:r>
                  </m:sub>
                </m:sSub>
              </m:oMath>
            </m:oMathPara>
          </w:p>
        </w:tc>
        <w:tc>
          <w:tcPr>
            <w:tcW w:w="4850" w:type="dxa"/>
            <w:tcBorders>
              <w:top w:val="nil"/>
              <w:bottom w:val="nil"/>
            </w:tcBorders>
            <w:shd w:val="clear" w:color="auto" w:fill="auto"/>
            <w:tcMar>
              <w:top w:w="100" w:type="dxa"/>
              <w:left w:w="100" w:type="dxa"/>
              <w:bottom w:w="100" w:type="dxa"/>
              <w:right w:w="100" w:type="dxa"/>
            </w:tcMar>
          </w:tcPr>
          <w:p w14:paraId="1B9A35F4" w14:textId="77777777" w:rsidR="00DA7E40" w:rsidRPr="00D800F0" w:rsidRDefault="00DA7E40" w:rsidP="0000614D">
            <w:pPr>
              <w:rPr>
                <w:rFonts w:ascii="Arial" w:hAnsi="Arial" w:cs="Arial"/>
              </w:rPr>
            </w:pPr>
            <w:r w:rsidRPr="00D800F0">
              <w:rPr>
                <w:rFonts w:ascii="Arial" w:eastAsia="Cambria Math" w:hAnsi="Arial" w:cs="Arial"/>
              </w:rPr>
              <w:t>Water cost</w:t>
            </w:r>
          </w:p>
        </w:tc>
        <w:tc>
          <w:tcPr>
            <w:tcW w:w="2440" w:type="dxa"/>
            <w:tcBorders>
              <w:top w:val="nil"/>
              <w:bottom w:val="nil"/>
            </w:tcBorders>
            <w:shd w:val="clear" w:color="auto" w:fill="auto"/>
            <w:tcMar>
              <w:top w:w="100" w:type="dxa"/>
              <w:left w:w="100" w:type="dxa"/>
              <w:bottom w:w="100" w:type="dxa"/>
              <w:right w:w="100" w:type="dxa"/>
            </w:tcMar>
          </w:tcPr>
          <w:p w14:paraId="06148040" w14:textId="77777777" w:rsidR="00DA7E40" w:rsidRPr="00D800F0" w:rsidRDefault="00DA7E40" w:rsidP="0000614D">
            <w:pPr>
              <w:widowControl w:val="0"/>
              <w:rPr>
                <w:rFonts w:ascii="Arial" w:hAnsi="Arial" w:cs="Arial"/>
              </w:rPr>
            </w:pPr>
            <w:r w:rsidRPr="00D800F0">
              <w:rPr>
                <w:rFonts w:ascii="Arial" w:hAnsi="Arial" w:cs="Arial"/>
              </w:rPr>
              <w:t>$/kg</w:t>
            </w:r>
          </w:p>
        </w:tc>
      </w:tr>
      <w:tr w:rsidR="00DA7E40" w:rsidRPr="00D800F0" w14:paraId="468A3CDC"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29B95489"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i/>
                      </w:rPr>
                    </m:ctrlPr>
                  </m:sSubPr>
                  <m:e>
                    <m:r>
                      <m:rPr>
                        <m:sty m:val="bi"/>
                      </m:rPr>
                      <w:rPr>
                        <w:rFonts w:ascii="Cambria Math" w:eastAsia="Cambria Math" w:hAnsi="Cambria Math" w:cs="Arial"/>
                      </w:rPr>
                      <m:t>M</m:t>
                    </m:r>
                  </m:e>
                  <m:sub>
                    <m:sSub>
                      <m:sSubPr>
                        <m:ctrlPr>
                          <w:rPr>
                            <w:rFonts w:ascii="Cambria Math" w:eastAsia="Cambria Math" w:hAnsi="Cambria Math" w:cs="Arial"/>
                            <w:b/>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r>
                      <m:rPr>
                        <m:sty m:val="bi"/>
                      </m:rPr>
                      <w:rPr>
                        <w:rFonts w:ascii="Cambria Math" w:eastAsia="Cambria Math" w:hAnsi="Cambria Math" w:cs="Arial"/>
                      </w:rPr>
                      <m:t>O</m:t>
                    </m:r>
                  </m:sub>
                </m:sSub>
              </m:oMath>
            </m:oMathPara>
          </w:p>
        </w:tc>
        <w:tc>
          <w:tcPr>
            <w:tcW w:w="4850" w:type="dxa"/>
            <w:tcBorders>
              <w:top w:val="nil"/>
              <w:bottom w:val="nil"/>
            </w:tcBorders>
            <w:shd w:val="clear" w:color="auto" w:fill="auto"/>
            <w:tcMar>
              <w:top w:w="100" w:type="dxa"/>
              <w:left w:w="100" w:type="dxa"/>
              <w:bottom w:w="100" w:type="dxa"/>
              <w:right w:w="100" w:type="dxa"/>
            </w:tcMar>
          </w:tcPr>
          <w:p w14:paraId="45ECE802" w14:textId="77777777" w:rsidR="00DA7E40" w:rsidRPr="00D800F0" w:rsidRDefault="00DA7E40" w:rsidP="0000614D">
            <w:pPr>
              <w:rPr>
                <w:rFonts w:ascii="Arial" w:hAnsi="Arial" w:cs="Arial"/>
              </w:rPr>
            </w:pPr>
            <w:r w:rsidRPr="00D800F0">
              <w:rPr>
                <w:rFonts w:ascii="Arial" w:eastAsia="Cambria Math" w:hAnsi="Arial" w:cs="Arial"/>
              </w:rPr>
              <w:t>Process water demand per month</w:t>
            </w:r>
          </w:p>
        </w:tc>
        <w:tc>
          <w:tcPr>
            <w:tcW w:w="2440" w:type="dxa"/>
            <w:tcBorders>
              <w:top w:val="nil"/>
              <w:bottom w:val="nil"/>
            </w:tcBorders>
            <w:shd w:val="clear" w:color="auto" w:fill="auto"/>
            <w:tcMar>
              <w:top w:w="100" w:type="dxa"/>
              <w:left w:w="100" w:type="dxa"/>
              <w:bottom w:w="100" w:type="dxa"/>
              <w:right w:w="100" w:type="dxa"/>
            </w:tcMar>
          </w:tcPr>
          <w:p w14:paraId="2C8D5F35" w14:textId="77777777" w:rsidR="00DA7E40" w:rsidRPr="00D800F0" w:rsidRDefault="00DA7E40" w:rsidP="0000614D">
            <w:pPr>
              <w:widowControl w:val="0"/>
              <w:rPr>
                <w:rFonts w:ascii="Arial" w:hAnsi="Arial" w:cs="Arial"/>
              </w:rPr>
            </w:pPr>
            <w:r w:rsidRPr="00D800F0">
              <w:rPr>
                <w:rFonts w:ascii="Arial" w:hAnsi="Arial" w:cs="Arial"/>
              </w:rPr>
              <w:t>Kg/month</w:t>
            </w:r>
          </w:p>
        </w:tc>
      </w:tr>
      <w:tr w:rsidR="00DA7E40" w:rsidRPr="00D800F0" w14:paraId="77283992"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404D9E23" w14:textId="77777777" w:rsidR="00DA7E40" w:rsidRPr="00D800F0" w:rsidRDefault="00DA7E40" w:rsidP="0000614D">
            <w:pPr>
              <w:jc w:val="center"/>
              <w:rPr>
                <w:rFonts w:ascii="Arial" w:hAnsi="Arial" w:cs="Arial"/>
                <w:b/>
              </w:rPr>
            </w:pPr>
            <m:oMathPara>
              <m:oMath>
                <m:r>
                  <m:rPr>
                    <m:sty m:val="bi"/>
                  </m:rPr>
                  <w:rPr>
                    <w:rFonts w:ascii="Cambria Math" w:eastAsia="Cambria Math" w:hAnsi="Cambria Math" w:cs="Arial"/>
                  </w:rPr>
                  <m:t>Mis</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m:oMathPara>
          </w:p>
        </w:tc>
        <w:tc>
          <w:tcPr>
            <w:tcW w:w="4850" w:type="dxa"/>
            <w:tcBorders>
              <w:top w:val="nil"/>
              <w:bottom w:val="nil"/>
            </w:tcBorders>
            <w:shd w:val="clear" w:color="auto" w:fill="auto"/>
            <w:tcMar>
              <w:top w:w="100" w:type="dxa"/>
              <w:left w:w="100" w:type="dxa"/>
              <w:bottom w:w="100" w:type="dxa"/>
              <w:right w:w="100" w:type="dxa"/>
            </w:tcMar>
          </w:tcPr>
          <w:p w14:paraId="7CB872DD" w14:textId="77777777" w:rsidR="00DA7E40" w:rsidRPr="00D800F0" w:rsidRDefault="00DA7E40" w:rsidP="0000614D">
            <w:pPr>
              <w:rPr>
                <w:rFonts w:ascii="Arial" w:eastAsia="Cambria Math" w:hAnsi="Arial" w:cs="Arial"/>
              </w:rPr>
            </w:pPr>
            <w:r w:rsidRPr="00D800F0">
              <w:rPr>
                <w:rFonts w:ascii="Arial" w:hAnsi="Arial" w:cs="Arial"/>
              </w:rPr>
              <w:t>Miscellaneous costs in calculating OPEX</w:t>
            </w:r>
          </w:p>
        </w:tc>
        <w:tc>
          <w:tcPr>
            <w:tcW w:w="2440" w:type="dxa"/>
            <w:tcBorders>
              <w:top w:val="nil"/>
              <w:bottom w:val="nil"/>
            </w:tcBorders>
            <w:shd w:val="clear" w:color="auto" w:fill="auto"/>
            <w:tcMar>
              <w:top w:w="100" w:type="dxa"/>
              <w:left w:w="100" w:type="dxa"/>
              <w:bottom w:w="100" w:type="dxa"/>
              <w:right w:w="100" w:type="dxa"/>
            </w:tcMar>
          </w:tcPr>
          <w:p w14:paraId="4B1B736F" w14:textId="77777777" w:rsidR="00DA7E40" w:rsidRPr="00D800F0" w:rsidRDefault="00DA7E40" w:rsidP="0000614D">
            <w:pPr>
              <w:widowControl w:val="0"/>
              <w:rPr>
                <w:rFonts w:ascii="Arial" w:hAnsi="Arial" w:cs="Arial"/>
              </w:rPr>
            </w:pPr>
            <w:r w:rsidRPr="00D800F0">
              <w:rPr>
                <w:rFonts w:ascii="Arial" w:hAnsi="Arial" w:cs="Arial"/>
              </w:rPr>
              <w:t>$/month</w:t>
            </w:r>
          </w:p>
        </w:tc>
      </w:tr>
      <w:tr w:rsidR="00DA7E40" w:rsidRPr="00D800F0" w14:paraId="119A2E8A"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5D35847B"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i/>
                      </w:rPr>
                    </m:ctrlPr>
                  </m:sSubPr>
                  <m:e>
                    <m:sSub>
                      <m:sSubPr>
                        <m:ctrlPr>
                          <w:rPr>
                            <w:rFonts w:ascii="Cambria Math" w:eastAsia="Cambria Math" w:hAnsi="Cambria Math" w:cs="Arial"/>
                            <w:b/>
                            <w:i/>
                          </w:rPr>
                        </m:ctrlPr>
                      </m:sSubPr>
                      <m:e>
                        <m:r>
                          <m:rPr>
                            <m:sty m:val="bi"/>
                          </m:rPr>
                          <w:rPr>
                            <w:rFonts w:ascii="Cambria Math" w:eastAsia="Cambria Math" w:hAnsi="Cambria Math" w:cs="Arial"/>
                          </w:rPr>
                          <m:t>M</m:t>
                        </m:r>
                      </m:e>
                      <m:sub>
                        <m:sSub>
                          <m:sSubPr>
                            <m:ctrlPr>
                              <w:rPr>
                                <w:rFonts w:ascii="Cambria Math" w:eastAsia="Cambria Math" w:hAnsi="Cambria Math" w:cs="Arial"/>
                                <w:b/>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r>
                          <m:rPr>
                            <m:sty m:val="bi"/>
                          </m:rPr>
                          <w:rPr>
                            <w:rFonts w:ascii="Cambria Math" w:eastAsia="Cambria Math" w:hAnsi="Cambria Math" w:cs="Arial"/>
                          </w:rPr>
                          <m:t>O</m:t>
                        </m:r>
                      </m:sub>
                    </m:sSub>
                  </m:e>
                  <m:sub>
                    <m:r>
                      <m:rPr>
                        <m:sty m:val="bi"/>
                      </m:rPr>
                      <w:rPr>
                        <w:rFonts w:ascii="Cambria Math" w:eastAsia="Cambria Math" w:hAnsi="Cambria Math" w:cs="Arial"/>
                      </w:rPr>
                      <m:t>osmosis</m:t>
                    </m:r>
                  </m:sub>
                </m:sSub>
              </m:oMath>
            </m:oMathPara>
          </w:p>
        </w:tc>
        <w:tc>
          <w:tcPr>
            <w:tcW w:w="4850" w:type="dxa"/>
            <w:tcBorders>
              <w:top w:val="nil"/>
              <w:bottom w:val="nil"/>
            </w:tcBorders>
            <w:shd w:val="clear" w:color="auto" w:fill="auto"/>
            <w:tcMar>
              <w:top w:w="100" w:type="dxa"/>
              <w:left w:w="100" w:type="dxa"/>
              <w:bottom w:w="100" w:type="dxa"/>
              <w:right w:w="100" w:type="dxa"/>
            </w:tcMar>
          </w:tcPr>
          <w:p w14:paraId="692858FE" w14:textId="77777777" w:rsidR="00DA7E40" w:rsidRPr="00D800F0" w:rsidRDefault="00DA7E40" w:rsidP="0000614D">
            <w:pPr>
              <w:rPr>
                <w:rFonts w:ascii="Arial" w:hAnsi="Arial" w:cs="Arial"/>
              </w:rPr>
            </w:pPr>
            <w:r w:rsidRPr="00D800F0">
              <w:rPr>
                <w:rFonts w:ascii="Arial" w:eastAsia="Cambria Math" w:hAnsi="Arial" w:cs="Arial"/>
              </w:rPr>
              <w:t>Feedstock water demand</w:t>
            </w:r>
          </w:p>
        </w:tc>
        <w:tc>
          <w:tcPr>
            <w:tcW w:w="2440" w:type="dxa"/>
            <w:tcBorders>
              <w:top w:val="nil"/>
              <w:bottom w:val="nil"/>
            </w:tcBorders>
            <w:shd w:val="clear" w:color="auto" w:fill="auto"/>
            <w:tcMar>
              <w:top w:w="100" w:type="dxa"/>
              <w:left w:w="100" w:type="dxa"/>
              <w:bottom w:w="100" w:type="dxa"/>
              <w:right w:w="100" w:type="dxa"/>
            </w:tcMar>
          </w:tcPr>
          <w:p w14:paraId="4BEB0135" w14:textId="77777777" w:rsidR="00DA7E40" w:rsidRPr="00D800F0" w:rsidRDefault="00DA7E40" w:rsidP="0000614D">
            <w:pPr>
              <w:widowControl w:val="0"/>
              <w:rPr>
                <w:rFonts w:ascii="Arial" w:hAnsi="Arial" w:cs="Arial"/>
              </w:rPr>
            </w:pPr>
            <w:r w:rsidRPr="00D800F0">
              <w:rPr>
                <w:rFonts w:ascii="Arial" w:hAnsi="Arial" w:cs="Arial"/>
              </w:rPr>
              <w:t>$/kg</w:t>
            </w:r>
          </w:p>
        </w:tc>
      </w:tr>
      <w:tr w:rsidR="00DA7E40" w:rsidRPr="00D800F0" w14:paraId="0E590C07"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62F82744"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i/>
                      </w:rPr>
                    </m:ctrlPr>
                  </m:sSubPr>
                  <m:e>
                    <m:sSub>
                      <m:sSubPr>
                        <m:ctrlPr>
                          <w:rPr>
                            <w:rFonts w:ascii="Cambria Math" w:eastAsia="Cambria Math" w:hAnsi="Cambria Math" w:cs="Arial"/>
                            <w:b/>
                            <w:i/>
                          </w:rPr>
                        </m:ctrlPr>
                      </m:sSubPr>
                      <m:e>
                        <m:r>
                          <m:rPr>
                            <m:sty m:val="bi"/>
                          </m:rPr>
                          <w:rPr>
                            <w:rFonts w:ascii="Cambria Math" w:eastAsia="Cambria Math" w:hAnsi="Cambria Math" w:cs="Arial"/>
                          </w:rPr>
                          <m:t>S</m:t>
                        </m:r>
                      </m:e>
                      <m:sub>
                        <m:sSub>
                          <m:sSubPr>
                            <m:ctrlPr>
                              <w:rPr>
                                <w:rFonts w:ascii="Cambria Math" w:eastAsia="Cambria Math" w:hAnsi="Cambria Math" w:cs="Arial"/>
                                <w:b/>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r>
                          <m:rPr>
                            <m:sty m:val="bi"/>
                          </m:rPr>
                          <w:rPr>
                            <w:rFonts w:ascii="Cambria Math" w:eastAsia="Cambria Math" w:hAnsi="Cambria Math" w:cs="Arial"/>
                          </w:rPr>
                          <m:t>O</m:t>
                        </m:r>
                      </m:sub>
                    </m:sSub>
                  </m:e>
                  <m:sub>
                    <m:r>
                      <m:rPr>
                        <m:sty m:val="bi"/>
                      </m:rPr>
                      <w:rPr>
                        <w:rFonts w:ascii="Cambria Math" w:eastAsia="Cambria Math" w:hAnsi="Cambria Math" w:cs="Arial"/>
                      </w:rPr>
                      <m:t>osmosis</m:t>
                    </m:r>
                  </m:sub>
                </m:sSub>
              </m:oMath>
            </m:oMathPara>
          </w:p>
        </w:tc>
        <w:tc>
          <w:tcPr>
            <w:tcW w:w="4850" w:type="dxa"/>
            <w:tcBorders>
              <w:top w:val="nil"/>
              <w:bottom w:val="nil"/>
            </w:tcBorders>
            <w:shd w:val="clear" w:color="auto" w:fill="auto"/>
            <w:tcMar>
              <w:top w:w="100" w:type="dxa"/>
              <w:left w:w="100" w:type="dxa"/>
              <w:bottom w:w="100" w:type="dxa"/>
              <w:right w:w="100" w:type="dxa"/>
            </w:tcMar>
          </w:tcPr>
          <w:p w14:paraId="65075250" w14:textId="77777777" w:rsidR="00DA7E40" w:rsidRPr="00D800F0" w:rsidRDefault="00DA7E40" w:rsidP="0000614D">
            <w:pPr>
              <w:rPr>
                <w:rFonts w:ascii="Arial" w:hAnsi="Arial" w:cs="Arial"/>
              </w:rPr>
            </w:pPr>
            <w:r w:rsidRPr="00D800F0">
              <w:rPr>
                <w:rFonts w:ascii="Arial" w:eastAsia="Cambria Math" w:hAnsi="Arial" w:cs="Arial"/>
              </w:rPr>
              <w:t>Reverse Osmosis water cost</w:t>
            </w:r>
          </w:p>
        </w:tc>
        <w:tc>
          <w:tcPr>
            <w:tcW w:w="2440" w:type="dxa"/>
            <w:tcBorders>
              <w:top w:val="nil"/>
              <w:bottom w:val="nil"/>
            </w:tcBorders>
            <w:shd w:val="clear" w:color="auto" w:fill="auto"/>
            <w:tcMar>
              <w:top w:w="100" w:type="dxa"/>
              <w:left w:w="100" w:type="dxa"/>
              <w:bottom w:w="100" w:type="dxa"/>
              <w:right w:w="100" w:type="dxa"/>
            </w:tcMar>
          </w:tcPr>
          <w:p w14:paraId="64EDB581" w14:textId="77777777" w:rsidR="00DA7E40" w:rsidRPr="00D800F0" w:rsidRDefault="00DA7E40" w:rsidP="0000614D">
            <w:pPr>
              <w:widowControl w:val="0"/>
              <w:rPr>
                <w:rFonts w:ascii="Arial" w:hAnsi="Arial" w:cs="Arial"/>
              </w:rPr>
            </w:pPr>
            <w:r w:rsidRPr="00D800F0">
              <w:rPr>
                <w:rFonts w:ascii="Arial" w:hAnsi="Arial" w:cs="Arial"/>
              </w:rPr>
              <w:t>Kg/month</w:t>
            </w:r>
          </w:p>
        </w:tc>
      </w:tr>
      <w:tr w:rsidR="00DA7E40" w:rsidRPr="00D800F0" w14:paraId="195F6E49"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092F2D2E" w14:textId="77777777" w:rsidR="00DA7E40" w:rsidRPr="00D800F0" w:rsidRDefault="00DA7E40" w:rsidP="0000614D">
            <w:pPr>
              <w:jc w:val="center"/>
              <w:rPr>
                <w:rFonts w:ascii="Arial" w:hAnsi="Arial" w:cs="Arial"/>
                <w:b/>
                <w:bCs/>
              </w:rPr>
            </w:pPr>
            <m:oMathPara>
              <m:oMath>
                <m:r>
                  <m:rPr>
                    <m:sty m:val="bi"/>
                  </m:rPr>
                  <w:rPr>
                    <w:rFonts w:ascii="Cambria Math" w:eastAsia="Cambria Math" w:hAnsi="Cambria Math" w:cs="Arial"/>
                  </w:rPr>
                  <m:t>i</m:t>
                </m:r>
              </m:oMath>
            </m:oMathPara>
          </w:p>
        </w:tc>
        <w:tc>
          <w:tcPr>
            <w:tcW w:w="4850" w:type="dxa"/>
            <w:tcBorders>
              <w:top w:val="nil"/>
              <w:bottom w:val="nil"/>
            </w:tcBorders>
            <w:shd w:val="clear" w:color="auto" w:fill="auto"/>
            <w:tcMar>
              <w:top w:w="100" w:type="dxa"/>
              <w:left w:w="100" w:type="dxa"/>
              <w:bottom w:w="100" w:type="dxa"/>
              <w:right w:w="100" w:type="dxa"/>
            </w:tcMar>
          </w:tcPr>
          <w:p w14:paraId="71E4FFDF" w14:textId="77777777" w:rsidR="00DA7E40" w:rsidRPr="00D800F0" w:rsidRDefault="00DA7E40" w:rsidP="0000614D">
            <w:pPr>
              <w:rPr>
                <w:rFonts w:ascii="Arial" w:hAnsi="Arial" w:cs="Arial"/>
              </w:rPr>
            </w:pPr>
            <w:r w:rsidRPr="00D800F0">
              <w:rPr>
                <w:rFonts w:ascii="Arial" w:hAnsi="Arial" w:cs="Arial"/>
              </w:rPr>
              <w:t>Commodity index</w:t>
            </w:r>
          </w:p>
        </w:tc>
        <w:tc>
          <w:tcPr>
            <w:tcW w:w="2440" w:type="dxa"/>
            <w:tcBorders>
              <w:top w:val="nil"/>
              <w:bottom w:val="nil"/>
            </w:tcBorders>
            <w:shd w:val="clear" w:color="auto" w:fill="auto"/>
            <w:tcMar>
              <w:top w:w="100" w:type="dxa"/>
              <w:left w:w="100" w:type="dxa"/>
              <w:bottom w:w="100" w:type="dxa"/>
              <w:right w:w="100" w:type="dxa"/>
            </w:tcMar>
          </w:tcPr>
          <w:p w14:paraId="7938F6C2" w14:textId="77777777" w:rsidR="00DA7E40" w:rsidRPr="00D800F0" w:rsidRDefault="00DA7E40" w:rsidP="0000614D">
            <w:pPr>
              <w:widowControl w:val="0"/>
              <w:rPr>
                <w:rFonts w:ascii="Arial" w:hAnsi="Arial" w:cs="Arial"/>
              </w:rPr>
            </w:pPr>
          </w:p>
        </w:tc>
      </w:tr>
      <w:tr w:rsidR="00DA7E40" w:rsidRPr="00D800F0" w14:paraId="298C72E4"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7D169918"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i</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4850" w:type="dxa"/>
            <w:tcBorders>
              <w:top w:val="nil"/>
              <w:bottom w:val="nil"/>
            </w:tcBorders>
            <w:shd w:val="clear" w:color="auto" w:fill="auto"/>
            <w:tcMar>
              <w:top w:w="100" w:type="dxa"/>
              <w:left w:w="100" w:type="dxa"/>
              <w:bottom w:w="100" w:type="dxa"/>
              <w:right w:w="100" w:type="dxa"/>
            </w:tcMar>
          </w:tcPr>
          <w:p w14:paraId="66FC1EDC" w14:textId="77777777" w:rsidR="00DA7E40" w:rsidRPr="00D800F0" w:rsidRDefault="00DA7E40" w:rsidP="0000614D">
            <w:pPr>
              <w:rPr>
                <w:rFonts w:ascii="Arial" w:hAnsi="Arial" w:cs="Arial"/>
              </w:rPr>
            </w:pPr>
            <w:r w:rsidRPr="00D800F0">
              <w:rPr>
                <w:rFonts w:ascii="Arial" w:hAnsi="Arial" w:cs="Arial"/>
              </w:rPr>
              <w:t xml:space="preserve">GBM price function for commodity </w:t>
            </w:r>
            <m:oMath>
              <m:r>
                <m:rPr>
                  <m:sty m:val="bi"/>
                </m:rPr>
                <w:rPr>
                  <w:rFonts w:ascii="Cambria Math" w:hAnsi="Cambria Math" w:cs="Arial"/>
                </w:rPr>
                <m:t>i</m:t>
              </m:r>
            </m:oMath>
          </w:p>
        </w:tc>
        <w:tc>
          <w:tcPr>
            <w:tcW w:w="2440" w:type="dxa"/>
            <w:tcBorders>
              <w:top w:val="nil"/>
              <w:bottom w:val="nil"/>
            </w:tcBorders>
            <w:shd w:val="clear" w:color="auto" w:fill="auto"/>
            <w:tcMar>
              <w:top w:w="100" w:type="dxa"/>
              <w:left w:w="100" w:type="dxa"/>
              <w:bottom w:w="100" w:type="dxa"/>
              <w:right w:w="100" w:type="dxa"/>
            </w:tcMar>
          </w:tcPr>
          <w:p w14:paraId="7138C28C" w14:textId="77777777" w:rsidR="00DA7E40" w:rsidRPr="00D800F0" w:rsidRDefault="00DA7E40" w:rsidP="0000614D">
            <w:pPr>
              <w:widowControl w:val="0"/>
              <w:rPr>
                <w:rFonts w:ascii="Arial" w:hAnsi="Arial" w:cs="Arial"/>
              </w:rPr>
            </w:pPr>
            <w:r w:rsidRPr="00D800F0">
              <w:rPr>
                <w:rFonts w:ascii="Arial" w:hAnsi="Arial" w:cs="Arial"/>
              </w:rPr>
              <w:t xml:space="preserve">$/unit </w:t>
            </w:r>
            <m:oMath>
              <m:r>
                <m:rPr>
                  <m:sty m:val="bi"/>
                </m:rPr>
                <w:rPr>
                  <w:rFonts w:ascii="Cambria Math" w:hAnsi="Cambria Math" w:cs="Arial"/>
                </w:rPr>
                <m:t>i</m:t>
              </m:r>
            </m:oMath>
          </w:p>
        </w:tc>
      </w:tr>
      <w:tr w:rsidR="00DA7E40" w:rsidRPr="00D800F0" w14:paraId="7F798B76"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0C205C63"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rPr>
                    </m:ctrlPr>
                  </m:sSubPr>
                  <m:e>
                    <m:r>
                      <m:rPr>
                        <m:sty m:val="bi"/>
                      </m:rPr>
                      <w:rPr>
                        <w:rFonts w:ascii="Cambria Math" w:eastAsia="Cambria Math" w:hAnsi="Cambria Math" w:cs="Arial"/>
                      </w:rPr>
                      <m:t>P(T=0)</m:t>
                    </m:r>
                  </m:e>
                  <m:sub>
                    <m:r>
                      <m:rPr>
                        <m:sty m:val="bi"/>
                      </m:rPr>
                      <w:rPr>
                        <w:rFonts w:ascii="Cambria Math" w:eastAsia="Cambria Math" w:hAnsi="Cambria Math" w:cs="Arial"/>
                      </w:rPr>
                      <m:t>i</m:t>
                    </m:r>
                  </m:sub>
                </m:sSub>
              </m:oMath>
            </m:oMathPara>
          </w:p>
        </w:tc>
        <w:tc>
          <w:tcPr>
            <w:tcW w:w="4850" w:type="dxa"/>
            <w:tcBorders>
              <w:top w:val="nil"/>
              <w:bottom w:val="nil"/>
            </w:tcBorders>
            <w:shd w:val="clear" w:color="auto" w:fill="auto"/>
            <w:tcMar>
              <w:top w:w="100" w:type="dxa"/>
              <w:left w:w="100" w:type="dxa"/>
              <w:bottom w:w="100" w:type="dxa"/>
              <w:right w:w="100" w:type="dxa"/>
            </w:tcMar>
          </w:tcPr>
          <w:p w14:paraId="50850759" w14:textId="77777777" w:rsidR="00DA7E40" w:rsidRPr="00D800F0" w:rsidRDefault="00DA7E40" w:rsidP="0000614D">
            <w:pPr>
              <w:rPr>
                <w:rFonts w:ascii="Arial" w:hAnsi="Arial" w:cs="Arial"/>
              </w:rPr>
            </w:pPr>
            <w:r w:rsidRPr="00D800F0">
              <w:rPr>
                <w:rFonts w:ascii="Arial" w:hAnsi="Arial" w:cs="Arial"/>
              </w:rPr>
              <w:t xml:space="preserve">Initial price of commodity </w:t>
            </w:r>
            <m:oMath>
              <m:r>
                <m:rPr>
                  <m:sty m:val="bi"/>
                </m:rPr>
                <w:rPr>
                  <w:rFonts w:ascii="Cambria Math" w:hAnsi="Cambria Math" w:cs="Arial"/>
                </w:rPr>
                <m:t>i</m:t>
              </m:r>
            </m:oMath>
          </w:p>
        </w:tc>
        <w:tc>
          <w:tcPr>
            <w:tcW w:w="2440" w:type="dxa"/>
            <w:tcBorders>
              <w:top w:val="nil"/>
              <w:bottom w:val="nil"/>
            </w:tcBorders>
            <w:shd w:val="clear" w:color="auto" w:fill="auto"/>
            <w:tcMar>
              <w:top w:w="100" w:type="dxa"/>
              <w:left w:w="100" w:type="dxa"/>
              <w:bottom w:w="100" w:type="dxa"/>
              <w:right w:w="100" w:type="dxa"/>
            </w:tcMar>
          </w:tcPr>
          <w:p w14:paraId="1A77C2D1" w14:textId="77777777" w:rsidR="00DA7E40" w:rsidRPr="00D800F0" w:rsidRDefault="00DA7E40" w:rsidP="0000614D">
            <w:pPr>
              <w:widowControl w:val="0"/>
              <w:rPr>
                <w:rFonts w:ascii="Arial" w:hAnsi="Arial" w:cs="Arial"/>
              </w:rPr>
            </w:pPr>
            <w:r w:rsidRPr="00D800F0">
              <w:rPr>
                <w:rFonts w:ascii="Arial" w:hAnsi="Arial" w:cs="Arial"/>
              </w:rPr>
              <w:t xml:space="preserve">$/unit </w:t>
            </w:r>
            <m:oMath>
              <m:r>
                <m:rPr>
                  <m:sty m:val="bi"/>
                </m:rPr>
                <w:rPr>
                  <w:rFonts w:ascii="Cambria Math" w:hAnsi="Cambria Math" w:cs="Arial"/>
                </w:rPr>
                <m:t>i</m:t>
              </m:r>
            </m:oMath>
          </w:p>
        </w:tc>
      </w:tr>
      <w:tr w:rsidR="00DA7E40" w:rsidRPr="00D800F0" w14:paraId="76987EF4"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74E82F44"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rPr>
                    </m:ctrlPr>
                  </m:sSubPr>
                  <m:e>
                    <m:r>
                      <m:rPr>
                        <m:sty m:val="bi"/>
                      </m:rPr>
                      <w:rPr>
                        <w:rFonts w:ascii="Cambria Math" w:hAnsi="Cambria Math" w:cs="Arial"/>
                      </w:rPr>
                      <m:t>μ</m:t>
                    </m:r>
                  </m:e>
                  <m:sub>
                    <m:r>
                      <m:rPr>
                        <m:sty m:val="bi"/>
                      </m:rPr>
                      <w:rPr>
                        <w:rFonts w:ascii="Cambria Math" w:eastAsia="Cambria Math" w:hAnsi="Cambria Math" w:cs="Arial"/>
                      </w:rPr>
                      <m:t>i</m:t>
                    </m:r>
                  </m:sub>
                </m:sSub>
              </m:oMath>
            </m:oMathPara>
          </w:p>
        </w:tc>
        <w:tc>
          <w:tcPr>
            <w:tcW w:w="4850" w:type="dxa"/>
            <w:tcBorders>
              <w:top w:val="nil"/>
              <w:bottom w:val="nil"/>
            </w:tcBorders>
            <w:shd w:val="clear" w:color="auto" w:fill="auto"/>
            <w:tcMar>
              <w:top w:w="100" w:type="dxa"/>
              <w:left w:w="100" w:type="dxa"/>
              <w:bottom w:w="100" w:type="dxa"/>
              <w:right w:w="100" w:type="dxa"/>
            </w:tcMar>
          </w:tcPr>
          <w:p w14:paraId="0A6A3838" w14:textId="77777777" w:rsidR="00DA7E40" w:rsidRPr="00D800F0" w:rsidRDefault="00DA7E40" w:rsidP="0000614D">
            <w:pPr>
              <w:rPr>
                <w:rFonts w:ascii="Arial" w:hAnsi="Arial" w:cs="Arial"/>
              </w:rPr>
            </w:pPr>
            <w:r w:rsidRPr="00D800F0">
              <w:rPr>
                <w:rFonts w:ascii="Arial" w:hAnsi="Arial" w:cs="Arial"/>
              </w:rPr>
              <w:t xml:space="preserve">Drift for commodity </w:t>
            </w:r>
            <m:oMath>
              <m:r>
                <m:rPr>
                  <m:sty m:val="bi"/>
                </m:rPr>
                <w:rPr>
                  <w:rFonts w:ascii="Cambria Math" w:hAnsi="Cambria Math" w:cs="Arial"/>
                </w:rPr>
                <m:t>i</m:t>
              </m:r>
            </m:oMath>
          </w:p>
        </w:tc>
        <w:tc>
          <w:tcPr>
            <w:tcW w:w="2440" w:type="dxa"/>
            <w:tcBorders>
              <w:top w:val="nil"/>
              <w:bottom w:val="nil"/>
            </w:tcBorders>
            <w:shd w:val="clear" w:color="auto" w:fill="auto"/>
            <w:tcMar>
              <w:top w:w="100" w:type="dxa"/>
              <w:left w:w="100" w:type="dxa"/>
              <w:bottom w:w="100" w:type="dxa"/>
              <w:right w:w="100" w:type="dxa"/>
            </w:tcMar>
          </w:tcPr>
          <w:p w14:paraId="27FB8134"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64EFBE9A"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534B5964"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rPr>
                    </m:ctrlPr>
                  </m:sSubPr>
                  <m:e>
                    <m:r>
                      <m:rPr>
                        <m:sty m:val="bi"/>
                      </m:rPr>
                      <w:rPr>
                        <w:rFonts w:ascii="Cambria Math" w:hAnsi="Cambria Math" w:cs="Arial"/>
                      </w:rPr>
                      <m:t>σ</m:t>
                    </m:r>
                  </m:e>
                  <m:sub>
                    <m:r>
                      <m:rPr>
                        <m:sty m:val="bi"/>
                      </m:rPr>
                      <w:rPr>
                        <w:rFonts w:ascii="Cambria Math" w:eastAsia="Cambria Math" w:hAnsi="Cambria Math" w:cs="Arial"/>
                      </w:rPr>
                      <m:t>i</m:t>
                    </m:r>
                  </m:sub>
                </m:sSub>
              </m:oMath>
            </m:oMathPara>
          </w:p>
        </w:tc>
        <w:tc>
          <w:tcPr>
            <w:tcW w:w="4850" w:type="dxa"/>
            <w:tcBorders>
              <w:top w:val="nil"/>
              <w:bottom w:val="nil"/>
            </w:tcBorders>
            <w:shd w:val="clear" w:color="auto" w:fill="auto"/>
            <w:tcMar>
              <w:top w:w="100" w:type="dxa"/>
              <w:left w:w="100" w:type="dxa"/>
              <w:bottom w:w="100" w:type="dxa"/>
              <w:right w:w="100" w:type="dxa"/>
            </w:tcMar>
          </w:tcPr>
          <w:p w14:paraId="0CB129D2" w14:textId="77777777" w:rsidR="00DA7E40" w:rsidRPr="00D800F0" w:rsidRDefault="00DA7E40" w:rsidP="0000614D">
            <w:pPr>
              <w:rPr>
                <w:rFonts w:ascii="Arial" w:hAnsi="Arial" w:cs="Arial"/>
              </w:rPr>
            </w:pPr>
            <w:r w:rsidRPr="00D800F0">
              <w:rPr>
                <w:rFonts w:ascii="Arial" w:hAnsi="Arial" w:cs="Arial"/>
              </w:rPr>
              <w:t xml:space="preserve">Volatility for commodity </w:t>
            </w:r>
            <m:oMath>
              <m:r>
                <m:rPr>
                  <m:sty m:val="bi"/>
                </m:rPr>
                <w:rPr>
                  <w:rFonts w:ascii="Cambria Math" w:hAnsi="Cambria Math" w:cs="Arial"/>
                </w:rPr>
                <m:t>i</m:t>
              </m:r>
            </m:oMath>
          </w:p>
        </w:tc>
        <w:tc>
          <w:tcPr>
            <w:tcW w:w="2440" w:type="dxa"/>
            <w:tcBorders>
              <w:top w:val="nil"/>
              <w:bottom w:val="nil"/>
            </w:tcBorders>
            <w:shd w:val="clear" w:color="auto" w:fill="auto"/>
            <w:tcMar>
              <w:top w:w="100" w:type="dxa"/>
              <w:left w:w="100" w:type="dxa"/>
              <w:bottom w:w="100" w:type="dxa"/>
              <w:right w:w="100" w:type="dxa"/>
            </w:tcMar>
          </w:tcPr>
          <w:p w14:paraId="039E24A0"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6614ACAA"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5C7007CA"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DM</m:t>
                    </m:r>
                  </m:sub>
                </m:sSub>
              </m:oMath>
            </m:oMathPara>
          </w:p>
        </w:tc>
        <w:tc>
          <w:tcPr>
            <w:tcW w:w="4850" w:type="dxa"/>
            <w:tcBorders>
              <w:top w:val="nil"/>
              <w:bottom w:val="nil"/>
            </w:tcBorders>
            <w:shd w:val="clear" w:color="auto" w:fill="auto"/>
            <w:tcMar>
              <w:top w:w="100" w:type="dxa"/>
              <w:left w:w="100" w:type="dxa"/>
              <w:bottom w:w="100" w:type="dxa"/>
              <w:right w:w="100" w:type="dxa"/>
            </w:tcMar>
          </w:tcPr>
          <w:p w14:paraId="50E7B529" w14:textId="77777777" w:rsidR="00DA7E40" w:rsidRPr="00D800F0" w:rsidRDefault="00DA7E40" w:rsidP="0000614D">
            <w:pPr>
              <w:rPr>
                <w:rFonts w:ascii="Arial" w:hAnsi="Arial" w:cs="Arial"/>
              </w:rPr>
            </w:pPr>
            <w:r w:rsidRPr="00D800F0">
              <w:rPr>
                <w:rFonts w:ascii="Arial" w:hAnsi="Arial" w:cs="Arial"/>
              </w:rPr>
              <w:t xml:space="preserve">Distribution and marketing costs </w:t>
            </w:r>
          </w:p>
        </w:tc>
        <w:tc>
          <w:tcPr>
            <w:tcW w:w="2440" w:type="dxa"/>
            <w:tcBorders>
              <w:top w:val="nil"/>
              <w:bottom w:val="nil"/>
            </w:tcBorders>
            <w:shd w:val="clear" w:color="auto" w:fill="auto"/>
            <w:tcMar>
              <w:top w:w="100" w:type="dxa"/>
              <w:left w:w="100" w:type="dxa"/>
              <w:bottom w:w="100" w:type="dxa"/>
              <w:right w:w="100" w:type="dxa"/>
            </w:tcMar>
          </w:tcPr>
          <w:p w14:paraId="641DCB7F"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5A338E5D"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4230D451"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RD</m:t>
                    </m:r>
                  </m:sub>
                </m:sSub>
              </m:oMath>
            </m:oMathPara>
          </w:p>
        </w:tc>
        <w:tc>
          <w:tcPr>
            <w:tcW w:w="4850" w:type="dxa"/>
            <w:tcBorders>
              <w:top w:val="nil"/>
              <w:bottom w:val="nil"/>
            </w:tcBorders>
            <w:shd w:val="clear" w:color="auto" w:fill="auto"/>
            <w:tcMar>
              <w:top w:w="100" w:type="dxa"/>
              <w:left w:w="100" w:type="dxa"/>
              <w:bottom w:w="100" w:type="dxa"/>
              <w:right w:w="100" w:type="dxa"/>
            </w:tcMar>
          </w:tcPr>
          <w:p w14:paraId="664E0A1B" w14:textId="77777777" w:rsidR="00DA7E40" w:rsidRPr="00D800F0" w:rsidRDefault="00DA7E40" w:rsidP="0000614D">
            <w:pPr>
              <w:rPr>
                <w:rFonts w:ascii="Arial" w:hAnsi="Arial" w:cs="Arial"/>
              </w:rPr>
            </w:pPr>
            <w:r w:rsidRPr="00D800F0">
              <w:rPr>
                <w:rFonts w:ascii="Arial" w:hAnsi="Arial" w:cs="Arial"/>
              </w:rPr>
              <w:t>R&amp;D costs</w:t>
            </w:r>
          </w:p>
        </w:tc>
        <w:tc>
          <w:tcPr>
            <w:tcW w:w="2440" w:type="dxa"/>
            <w:tcBorders>
              <w:top w:val="nil"/>
              <w:bottom w:val="nil"/>
            </w:tcBorders>
            <w:shd w:val="clear" w:color="auto" w:fill="auto"/>
            <w:tcMar>
              <w:top w:w="100" w:type="dxa"/>
              <w:left w:w="100" w:type="dxa"/>
              <w:bottom w:w="100" w:type="dxa"/>
              <w:right w:w="100" w:type="dxa"/>
            </w:tcMar>
          </w:tcPr>
          <w:p w14:paraId="5AE6901D"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1E5CFA1D"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06E959DC"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sz w:val="24"/>
                        <w:szCs w:val="24"/>
                      </w:rPr>
                    </m:ctrlPr>
                  </m:sSubPr>
                  <m:e>
                    <m:r>
                      <m:rPr>
                        <m:sty m:val="bi"/>
                      </m:rPr>
                      <w:rPr>
                        <w:rFonts w:ascii="Cambria Math" w:eastAsia="Cambria Math" w:hAnsi="Cambria Math" w:cs="Arial"/>
                        <w:sz w:val="24"/>
                        <w:szCs w:val="24"/>
                      </w:rPr>
                      <m:t>M</m:t>
                    </m:r>
                  </m:e>
                  <m:sub>
                    <m:r>
                      <m:rPr>
                        <m:sty m:val="bi"/>
                      </m:rPr>
                      <w:rPr>
                        <w:rFonts w:ascii="Cambria Math" w:eastAsia="Cambria Math" w:hAnsi="Cambria Math" w:cs="Arial"/>
                        <w:sz w:val="24"/>
                        <w:szCs w:val="24"/>
                      </w:rPr>
                      <m:t>NG</m:t>
                    </m:r>
                  </m:sub>
                </m:sSub>
              </m:oMath>
            </m:oMathPara>
          </w:p>
        </w:tc>
        <w:tc>
          <w:tcPr>
            <w:tcW w:w="4850" w:type="dxa"/>
            <w:tcBorders>
              <w:top w:val="nil"/>
              <w:bottom w:val="nil"/>
            </w:tcBorders>
            <w:shd w:val="clear" w:color="auto" w:fill="auto"/>
            <w:tcMar>
              <w:top w:w="100" w:type="dxa"/>
              <w:left w:w="100" w:type="dxa"/>
              <w:bottom w:w="100" w:type="dxa"/>
              <w:right w:w="100" w:type="dxa"/>
            </w:tcMar>
          </w:tcPr>
          <w:p w14:paraId="4128F8C1" w14:textId="77777777" w:rsidR="00DA7E40" w:rsidRPr="00D800F0" w:rsidRDefault="00DA7E40" w:rsidP="0000614D">
            <w:pPr>
              <w:rPr>
                <w:rFonts w:ascii="Arial" w:hAnsi="Arial" w:cs="Arial"/>
              </w:rPr>
            </w:pPr>
            <w:r w:rsidRPr="00D800F0">
              <w:rPr>
                <w:rFonts w:ascii="Arial" w:hAnsi="Arial" w:cs="Arial"/>
              </w:rPr>
              <w:t>Energy flowrate of natural gas</w:t>
            </w:r>
          </w:p>
        </w:tc>
        <w:tc>
          <w:tcPr>
            <w:tcW w:w="2440" w:type="dxa"/>
            <w:tcBorders>
              <w:top w:val="nil"/>
              <w:bottom w:val="nil"/>
            </w:tcBorders>
            <w:shd w:val="clear" w:color="auto" w:fill="auto"/>
            <w:tcMar>
              <w:top w:w="100" w:type="dxa"/>
              <w:left w:w="100" w:type="dxa"/>
              <w:bottom w:w="100" w:type="dxa"/>
              <w:right w:w="100" w:type="dxa"/>
            </w:tcMar>
          </w:tcPr>
          <w:p w14:paraId="5BDBE7EB" w14:textId="77777777" w:rsidR="00DA7E40" w:rsidRPr="00D800F0" w:rsidRDefault="00DA7E40" w:rsidP="0000614D">
            <w:pPr>
              <w:widowControl w:val="0"/>
              <w:rPr>
                <w:rFonts w:ascii="Arial" w:hAnsi="Arial" w:cs="Arial"/>
              </w:rPr>
            </w:pPr>
            <w:r w:rsidRPr="00D800F0">
              <w:rPr>
                <w:rFonts w:ascii="Arial" w:hAnsi="Arial" w:cs="Arial"/>
              </w:rPr>
              <w:t>mmBTU/year</w:t>
            </w:r>
          </w:p>
        </w:tc>
      </w:tr>
      <w:tr w:rsidR="00DA7E40" w:rsidRPr="00D800F0" w14:paraId="4BE34266" w14:textId="77777777" w:rsidTr="0000614D">
        <w:trPr>
          <w:cantSplit/>
        </w:trPr>
        <w:tc>
          <w:tcPr>
            <w:tcW w:w="2070" w:type="dxa"/>
            <w:tcBorders>
              <w:top w:val="nil"/>
              <w:bottom w:val="nil"/>
            </w:tcBorders>
            <w:shd w:val="clear" w:color="auto" w:fill="auto"/>
            <w:tcMar>
              <w:top w:w="100" w:type="dxa"/>
              <w:left w:w="100" w:type="dxa"/>
              <w:bottom w:w="100" w:type="dxa"/>
              <w:right w:w="100" w:type="dxa"/>
            </w:tcMar>
          </w:tcPr>
          <w:p w14:paraId="6FF3F8E8" w14:textId="77777777" w:rsidR="00DA7E40" w:rsidRPr="00D800F0" w:rsidRDefault="00000000" w:rsidP="0000614D">
            <w:pPr>
              <w:jc w:val="center"/>
              <w:rPr>
                <w:rFonts w:ascii="Arial" w:hAnsi="Arial" w:cs="Arial"/>
                <w:b/>
              </w:rPr>
            </w:pPr>
            <m:oMathPara>
              <m:oMath>
                <m:sSub>
                  <m:sSubPr>
                    <m:ctrlPr>
                      <w:rPr>
                        <w:rFonts w:ascii="Cambria Math" w:eastAsia="Cambria Math" w:hAnsi="Cambria Math" w:cs="Arial"/>
                        <w:b/>
                        <w:bCs/>
                        <w:sz w:val="24"/>
                        <w:szCs w:val="24"/>
                      </w:rPr>
                    </m:ctrlPr>
                  </m:sSubPr>
                  <m:e>
                    <m:r>
                      <m:rPr>
                        <m:sty m:val="bi"/>
                      </m:rPr>
                      <w:rPr>
                        <w:rFonts w:ascii="Cambria Math" w:eastAsia="Cambria Math" w:hAnsi="Cambria Math" w:cs="Arial"/>
                        <w:sz w:val="24"/>
                        <w:szCs w:val="24"/>
                      </w:rPr>
                      <m:t>M</m:t>
                    </m:r>
                  </m:e>
                  <m:sub>
                    <m:r>
                      <m:rPr>
                        <m:sty m:val="bi"/>
                      </m:rPr>
                      <w:rPr>
                        <w:rFonts w:ascii="Cambria Math" w:eastAsia="Cambria Math" w:hAnsi="Cambria Math" w:cs="Arial"/>
                        <w:sz w:val="24"/>
                        <w:szCs w:val="24"/>
                      </w:rPr>
                      <m:t>EL</m:t>
                    </m:r>
                  </m:sub>
                </m:sSub>
              </m:oMath>
            </m:oMathPara>
          </w:p>
        </w:tc>
        <w:tc>
          <w:tcPr>
            <w:tcW w:w="4850" w:type="dxa"/>
            <w:tcBorders>
              <w:top w:val="nil"/>
              <w:bottom w:val="nil"/>
            </w:tcBorders>
            <w:shd w:val="clear" w:color="auto" w:fill="auto"/>
            <w:tcMar>
              <w:top w:w="100" w:type="dxa"/>
              <w:left w:w="100" w:type="dxa"/>
              <w:bottom w:w="100" w:type="dxa"/>
              <w:right w:w="100" w:type="dxa"/>
            </w:tcMar>
          </w:tcPr>
          <w:p w14:paraId="7DA0DC55" w14:textId="77777777" w:rsidR="00DA7E40" w:rsidRPr="00D800F0" w:rsidRDefault="00DA7E40" w:rsidP="0000614D">
            <w:pPr>
              <w:rPr>
                <w:rFonts w:ascii="Arial" w:hAnsi="Arial" w:cs="Arial"/>
              </w:rPr>
            </w:pPr>
            <w:r w:rsidRPr="00D800F0">
              <w:rPr>
                <w:rFonts w:ascii="Arial" w:hAnsi="Arial" w:cs="Arial"/>
              </w:rPr>
              <w:t>Electricity demand</w:t>
            </w:r>
          </w:p>
        </w:tc>
        <w:tc>
          <w:tcPr>
            <w:tcW w:w="2440" w:type="dxa"/>
            <w:tcBorders>
              <w:top w:val="nil"/>
              <w:bottom w:val="nil"/>
            </w:tcBorders>
            <w:shd w:val="clear" w:color="auto" w:fill="auto"/>
            <w:tcMar>
              <w:top w:w="100" w:type="dxa"/>
              <w:left w:w="100" w:type="dxa"/>
              <w:bottom w:w="100" w:type="dxa"/>
              <w:right w:w="100" w:type="dxa"/>
            </w:tcMar>
          </w:tcPr>
          <w:p w14:paraId="1F31930E" w14:textId="77777777" w:rsidR="00DA7E40" w:rsidRPr="00D800F0" w:rsidRDefault="00DA7E40" w:rsidP="0000614D">
            <w:pPr>
              <w:widowControl w:val="0"/>
              <w:rPr>
                <w:rFonts w:ascii="Arial" w:hAnsi="Arial" w:cs="Arial"/>
              </w:rPr>
            </w:pPr>
            <w:r w:rsidRPr="00D800F0">
              <w:rPr>
                <w:rFonts w:ascii="Arial" w:hAnsi="Arial" w:cs="Arial"/>
              </w:rPr>
              <w:t>kWh/year</w:t>
            </w:r>
          </w:p>
        </w:tc>
      </w:tr>
      <w:tr w:rsidR="00DA7E40" w:rsidRPr="00D800F0" w14:paraId="58F6EA52" w14:textId="77777777" w:rsidTr="0000614D">
        <w:trPr>
          <w:cantSplit/>
        </w:trPr>
        <w:tc>
          <w:tcPr>
            <w:tcW w:w="2070" w:type="dxa"/>
            <w:tcBorders>
              <w:top w:val="nil"/>
              <w:bottom w:val="single" w:sz="4" w:space="0" w:color="auto"/>
            </w:tcBorders>
            <w:shd w:val="clear" w:color="auto" w:fill="auto"/>
            <w:tcMar>
              <w:top w:w="100" w:type="dxa"/>
              <w:left w:w="100" w:type="dxa"/>
              <w:bottom w:w="100" w:type="dxa"/>
              <w:right w:w="100" w:type="dxa"/>
            </w:tcMar>
          </w:tcPr>
          <w:p w14:paraId="68771360"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OPE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m:oMathPara>
          </w:p>
        </w:tc>
        <w:tc>
          <w:tcPr>
            <w:tcW w:w="4850" w:type="dxa"/>
            <w:tcBorders>
              <w:top w:val="nil"/>
              <w:bottom w:val="single" w:sz="4" w:space="0" w:color="auto"/>
            </w:tcBorders>
            <w:shd w:val="clear" w:color="auto" w:fill="auto"/>
            <w:tcMar>
              <w:top w:w="100" w:type="dxa"/>
              <w:left w:w="100" w:type="dxa"/>
              <w:bottom w:w="100" w:type="dxa"/>
              <w:right w:w="100" w:type="dxa"/>
            </w:tcMar>
          </w:tcPr>
          <w:p w14:paraId="3B2F3F4A" w14:textId="77777777" w:rsidR="00DA7E40" w:rsidRPr="00D800F0" w:rsidRDefault="00DA7E40" w:rsidP="0000614D">
            <w:pPr>
              <w:rPr>
                <w:rFonts w:ascii="Arial" w:hAnsi="Arial" w:cs="Arial"/>
              </w:rPr>
            </w:pPr>
            <w:r w:rsidRPr="00D800F0">
              <w:rPr>
                <w:rFonts w:ascii="Arial" w:hAnsi="Arial" w:cs="Arial"/>
              </w:rPr>
              <w:t xml:space="preserve">Operational Expenditure for technology </w:t>
            </w:r>
            <m:oMath>
              <m:r>
                <m:rPr>
                  <m:sty m:val="bi"/>
                </m:rPr>
                <w:rPr>
                  <w:rFonts w:ascii="Cambria Math" w:eastAsia="Cambria Math" w:hAnsi="Cambria Math" w:cs="Arial"/>
                </w:rPr>
                <m:t>j</m:t>
              </m:r>
            </m:oMath>
          </w:p>
        </w:tc>
        <w:tc>
          <w:tcPr>
            <w:tcW w:w="2440" w:type="dxa"/>
            <w:tcBorders>
              <w:top w:val="nil"/>
              <w:bottom w:val="single" w:sz="4" w:space="0" w:color="auto"/>
            </w:tcBorders>
            <w:shd w:val="clear" w:color="auto" w:fill="auto"/>
            <w:tcMar>
              <w:top w:w="100" w:type="dxa"/>
              <w:left w:w="100" w:type="dxa"/>
              <w:bottom w:w="100" w:type="dxa"/>
              <w:right w:w="100" w:type="dxa"/>
            </w:tcMar>
          </w:tcPr>
          <w:p w14:paraId="1E9BC590" w14:textId="77777777" w:rsidR="00DA7E40" w:rsidRPr="00D800F0" w:rsidRDefault="00DA7E40" w:rsidP="0000614D">
            <w:pPr>
              <w:widowControl w:val="0"/>
              <w:rPr>
                <w:rFonts w:ascii="Arial" w:hAnsi="Arial" w:cs="Arial"/>
              </w:rPr>
            </w:pPr>
            <w:r w:rsidRPr="00D800F0">
              <w:rPr>
                <w:rFonts w:ascii="Arial" w:hAnsi="Arial" w:cs="Arial"/>
              </w:rPr>
              <w:t>$</w:t>
            </w:r>
          </w:p>
        </w:tc>
      </w:tr>
    </w:tbl>
    <w:p w14:paraId="138830CC" w14:textId="77777777" w:rsidR="00DA7E40" w:rsidRPr="00D800F0" w:rsidRDefault="00DA7E40" w:rsidP="00DA7E40">
      <w:pPr>
        <w:pBdr>
          <w:top w:val="nil"/>
          <w:left w:val="nil"/>
          <w:bottom w:val="nil"/>
          <w:right w:val="nil"/>
          <w:between w:val="nil"/>
        </w:pBdr>
        <w:rPr>
          <w:rFonts w:ascii="Arial" w:hAnsi="Arial" w:cs="Arial"/>
          <w:b/>
          <w:sz w:val="24"/>
          <w:szCs w:val="24"/>
        </w:rPr>
      </w:pPr>
    </w:p>
    <w:p w14:paraId="6AC4AFE3" w14:textId="77777777" w:rsidR="00DA7E40" w:rsidRPr="00D800F0" w:rsidRDefault="00DA7E40" w:rsidP="006864F3">
      <w:pPr>
        <w:pStyle w:val="Heading4"/>
        <w:rPr>
          <w:rFonts w:ascii="Arial" w:hAnsi="Arial" w:cs="Arial"/>
        </w:rPr>
      </w:pPr>
      <w:r w:rsidRPr="00D800F0">
        <w:rPr>
          <w:rFonts w:ascii="Arial" w:hAnsi="Arial" w:cs="Arial"/>
        </w:rPr>
        <w:t>Market Independent OPEX</w:t>
      </w:r>
    </w:p>
    <w:p w14:paraId="169C96FF" w14:textId="77777777" w:rsidR="00DA7E40" w:rsidRPr="00D800F0" w:rsidRDefault="00DA7E40" w:rsidP="006864F3">
      <w:pPr>
        <w:pStyle w:val="Heading5"/>
        <w:rPr>
          <w:rFonts w:ascii="Arial" w:hAnsi="Arial" w:cs="Arial"/>
        </w:rPr>
      </w:pPr>
      <w:r w:rsidRPr="00D800F0">
        <w:rPr>
          <w:rFonts w:ascii="Arial" w:hAnsi="Arial" w:cs="Arial"/>
        </w:rPr>
        <w:t>Fixed Costs</w:t>
      </w:r>
    </w:p>
    <w:p w14:paraId="10596DF6" w14:textId="77777777" w:rsidR="00DA7E40" w:rsidRPr="00D800F0" w:rsidRDefault="00DA7E40" w:rsidP="00DA7E40">
      <w:pPr>
        <w:rPr>
          <w:rFonts w:ascii="Arial" w:hAnsi="Arial" w:cs="Arial"/>
        </w:rPr>
      </w:pPr>
      <w:r w:rsidRPr="00D800F0">
        <w:rPr>
          <w:rFonts w:ascii="Arial" w:hAnsi="Arial" w:cs="Arial"/>
        </w:rPr>
        <w:t xml:space="preserve">The monthly cost of labor was calculated assuming a number of hours per day per processing step, </w:t>
      </w:r>
      <m:oMath>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dp</m:t>
            </m:r>
          </m:sub>
        </m:sSub>
      </m:oMath>
      <w:r w:rsidRPr="00D800F0">
        <w:rPr>
          <w:rFonts w:ascii="Arial" w:hAnsi="Arial" w:cs="Arial"/>
        </w:rPr>
        <w:t xml:space="preserve">. Then dividing by the hours per shift, </w:t>
      </w:r>
      <m:oMath>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shift</m:t>
            </m:r>
          </m:sub>
        </m:sSub>
      </m:oMath>
      <w:r w:rsidRPr="00D800F0">
        <w:rPr>
          <w:rFonts w:ascii="Arial" w:hAnsi="Arial" w:cs="Arial"/>
        </w:rPr>
        <w:t xml:space="preserve">, multiplying by the number of processing steps, </w:t>
      </w:r>
      <m:oMath>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s</m:t>
            </m:r>
          </m:sub>
        </m:sSub>
      </m:oMath>
      <w:r w:rsidRPr="00D800F0">
        <w:rPr>
          <w:rFonts w:ascii="Arial" w:hAnsi="Arial" w:cs="Arial"/>
        </w:rPr>
        <w:t xml:space="preserve">, times 7 days in a week over 5 shifts per week per operator, gives the number of operators assuming each operator can cover one shift per day. This is the first factor in the square brackets. The resulting hours an operator will work (5 shifts, 8 hours each) results in 40 hours per week. The hourly wage, </w:t>
      </w:r>
      <m:oMath>
        <m:r>
          <m:rPr>
            <m:sty m:val="bi"/>
          </m:rPr>
          <w:rPr>
            <w:rFonts w:ascii="Cambria Math" w:eastAsia="Cambria Math" w:hAnsi="Cambria Math" w:cs="Arial"/>
          </w:rPr>
          <m:t>wag</m:t>
        </m:r>
        <m:sSub>
          <m:sSubPr>
            <m:ctrlPr>
              <w:rPr>
                <w:rFonts w:ascii="Cambria Math" w:eastAsia="Cambria Math" w:hAnsi="Cambria Math" w:cs="Arial"/>
                <w:b/>
                <w:bCs/>
              </w:rPr>
            </m:ctrlPr>
          </m:sSubPr>
          <m:e>
            <m:r>
              <m:rPr>
                <m:sty m:val="bi"/>
              </m:rPr>
              <w:rPr>
                <w:rFonts w:ascii="Cambria Math" w:eastAsia="Cambria Math" w:hAnsi="Cambria Math" w:cs="Arial"/>
              </w:rPr>
              <m:t>e</m:t>
            </m:r>
          </m:e>
          <m:sub>
            <m:r>
              <m:rPr>
                <m:sty m:val="bi"/>
              </m:rPr>
              <w:rPr>
                <w:rFonts w:ascii="Cambria Math" w:eastAsia="Cambria Math" w:hAnsi="Cambria Math" w:cs="Arial"/>
              </w:rPr>
              <m:t>h</m:t>
            </m:r>
          </m:sub>
        </m:sSub>
      </m:oMath>
      <w:r w:rsidRPr="00D800F0">
        <w:rPr>
          <w:rFonts w:ascii="Arial" w:hAnsi="Arial" w:cs="Arial"/>
        </w:rPr>
        <w:t xml:space="preserve">, times 40 results in the weekly cost of an operator. This is the second factor in the square brackets. Finally, the weekly cost of labor (number of operators times the weekly cost per operator) is converted to the monthly cost of labor through the factor, </w:t>
      </w:r>
      <m:oMath>
        <m:f>
          <m:fPr>
            <m:ctrlPr>
              <w:rPr>
                <w:rFonts w:ascii="Cambria Math" w:eastAsia="Cambria Math" w:hAnsi="Cambria Math" w:cs="Arial"/>
                <w:b/>
                <w:bCs/>
              </w:rPr>
            </m:ctrlPr>
          </m:fPr>
          <m:num>
            <m:r>
              <m:rPr>
                <m:sty m:val="bi"/>
              </m:rPr>
              <w:rPr>
                <w:rFonts w:ascii="Cambria Math" w:eastAsia="Cambria Math" w:hAnsi="Cambria Math" w:cs="Arial"/>
              </w:rPr>
              <m:t>52</m:t>
            </m:r>
          </m:num>
          <m:den>
            <m:r>
              <m:rPr>
                <m:sty m:val="bi"/>
              </m:rPr>
              <w:rPr>
                <w:rFonts w:ascii="Cambria Math" w:eastAsia="Cambria Math" w:hAnsi="Cambria Math" w:cs="Arial"/>
              </w:rPr>
              <m:t>12</m:t>
            </m:r>
          </m:den>
        </m:f>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a</m:t>
            </m:r>
          </m:sub>
        </m:sSub>
      </m:oMath>
      <w:r w:rsidRPr="00D800F0">
        <w:rPr>
          <w:rFonts w:ascii="Arial" w:hAnsi="Arial" w:cs="Arial"/>
        </w:rPr>
        <w:t xml:space="preserve">; where </w:t>
      </w:r>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a</m:t>
            </m:r>
          </m:sub>
        </m:sSub>
      </m:oMath>
      <w:r w:rsidRPr="00D800F0">
        <w:rPr>
          <w:rFonts w:ascii="Arial" w:hAnsi="Arial" w:cs="Arial"/>
        </w:rPr>
        <w:t xml:space="preserve"> is the availability factor. </w:t>
      </w:r>
    </w:p>
    <w:tbl>
      <w:tblPr>
        <w:tblW w:w="9360" w:type="dxa"/>
        <w:tblInd w:w="10" w:type="dxa"/>
        <w:tblLayout w:type="fixed"/>
        <w:tblLook w:val="04A0" w:firstRow="1" w:lastRow="0" w:firstColumn="1" w:lastColumn="0" w:noHBand="0" w:noVBand="1"/>
      </w:tblPr>
      <w:tblGrid>
        <w:gridCol w:w="8505"/>
        <w:gridCol w:w="855"/>
      </w:tblGrid>
      <w:tr w:rsidR="00DA7E40" w:rsidRPr="00D800F0" w14:paraId="2E6A5BFC" w14:textId="77777777" w:rsidTr="0000614D">
        <w:tc>
          <w:tcPr>
            <w:tcW w:w="8505" w:type="dxa"/>
            <w:vAlign w:val="center"/>
          </w:tcPr>
          <w:p w14:paraId="51DC281E"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r>
                  <m:rPr>
                    <m:sty m:val="bi"/>
                  </m:rPr>
                  <w:rPr>
                    <w:rFonts w:ascii="Cambria Math" w:eastAsia="Cambria Math" w:hAnsi="Cambria Math" w:cs="Arial"/>
                  </w:rPr>
                  <m:t>=</m:t>
                </m:r>
                <m:d>
                  <m:dPr>
                    <m:begChr m:val="["/>
                    <m:endChr m:val="]"/>
                    <m:ctrlPr>
                      <w:rPr>
                        <w:rFonts w:ascii="Cambria Math" w:eastAsia="Cambria Math" w:hAnsi="Cambria Math" w:cs="Arial"/>
                        <w:b/>
                        <w:bCs/>
                      </w:rPr>
                    </m:ctrlPr>
                  </m:dPr>
                  <m:e>
                    <m:d>
                      <m:dPr>
                        <m:ctrlPr>
                          <w:rPr>
                            <w:rFonts w:ascii="Cambria Math" w:eastAsia="Cambria Math" w:hAnsi="Cambria Math" w:cs="Arial"/>
                            <w:b/>
                            <w:bCs/>
                          </w:rPr>
                        </m:ctrlPr>
                      </m:dPr>
                      <m:e>
                        <m:f>
                          <m:fPr>
                            <m:ctrlPr>
                              <w:rPr>
                                <w:rFonts w:ascii="Cambria Math" w:eastAsia="Cambria Math" w:hAnsi="Cambria Math" w:cs="Arial"/>
                                <w:b/>
                                <w:bCs/>
                              </w:rPr>
                            </m:ctrlPr>
                          </m:fPr>
                          <m:num>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dp</m:t>
                                </m:r>
                              </m:sub>
                            </m:sSub>
                          </m:num>
                          <m:den>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shift</m:t>
                                </m:r>
                              </m:sub>
                            </m:sSub>
                          </m:den>
                        </m:f>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s</m:t>
                        </m:r>
                      </m:sub>
                    </m:sSub>
                    <m:r>
                      <m:rPr>
                        <m:sty m:val="bi"/>
                      </m:rPr>
                      <w:rPr>
                        <w:rFonts w:ascii="Cambria Math" w:eastAsia="Cambria Math" w:hAnsi="Cambria Math" w:cs="Arial"/>
                      </w:rPr>
                      <m:t>×</m:t>
                    </m:r>
                    <m:f>
                      <m:fPr>
                        <m:ctrlPr>
                          <w:rPr>
                            <w:rFonts w:ascii="Cambria Math" w:eastAsia="Cambria Math" w:hAnsi="Cambria Math" w:cs="Arial"/>
                            <w:b/>
                            <w:bCs/>
                          </w:rPr>
                        </m:ctrlPr>
                      </m:fPr>
                      <m:num>
                        <m:r>
                          <m:rPr>
                            <m:sty m:val="bi"/>
                          </m:rPr>
                          <w:rPr>
                            <w:rFonts w:ascii="Cambria Math" w:eastAsia="Cambria Math" w:hAnsi="Cambria Math" w:cs="Arial"/>
                          </w:rPr>
                          <m:t>7</m:t>
                        </m:r>
                      </m:num>
                      <m:den>
                        <m:r>
                          <m:rPr>
                            <m:sty m:val="bi"/>
                          </m:rPr>
                          <w:rPr>
                            <w:rFonts w:ascii="Cambria Math" w:eastAsia="Cambria Math" w:hAnsi="Cambria Math" w:cs="Arial"/>
                          </w:rPr>
                          <m:t>5</m:t>
                        </m:r>
                      </m:den>
                    </m:f>
                  </m:e>
                </m:d>
                <m:r>
                  <m:rPr>
                    <m:sty m:val="bi"/>
                  </m:rPr>
                  <w:rPr>
                    <w:rFonts w:ascii="Cambria Math" w:eastAsia="Cambria Math" w:hAnsi="Cambria Math" w:cs="Arial"/>
                  </w:rPr>
                  <m:t>×</m:t>
                </m:r>
                <m:d>
                  <m:dPr>
                    <m:begChr m:val="["/>
                    <m:endChr m:val="]"/>
                    <m:ctrlPr>
                      <w:rPr>
                        <w:rFonts w:ascii="Cambria Math" w:eastAsia="Cambria Math" w:hAnsi="Cambria Math" w:cs="Arial"/>
                        <w:b/>
                        <w:bCs/>
                      </w:rPr>
                    </m:ctrlPr>
                  </m:dPr>
                  <m:e>
                    <m:r>
                      <m:rPr>
                        <m:sty m:val="bi"/>
                      </m:rPr>
                      <w:rPr>
                        <w:rFonts w:ascii="Cambria Math" w:eastAsia="Cambria Math" w:hAnsi="Cambria Math" w:cs="Arial"/>
                      </w:rPr>
                      <m:t>40×wag</m:t>
                    </m:r>
                    <m:sSub>
                      <m:sSubPr>
                        <m:ctrlPr>
                          <w:rPr>
                            <w:rFonts w:ascii="Cambria Math" w:eastAsia="Cambria Math" w:hAnsi="Cambria Math" w:cs="Arial"/>
                            <w:b/>
                            <w:bCs/>
                          </w:rPr>
                        </m:ctrlPr>
                      </m:sSubPr>
                      <m:e>
                        <m:r>
                          <m:rPr>
                            <m:sty m:val="bi"/>
                          </m:rPr>
                          <w:rPr>
                            <w:rFonts w:ascii="Cambria Math" w:eastAsia="Cambria Math" w:hAnsi="Cambria Math" w:cs="Arial"/>
                          </w:rPr>
                          <m:t>e</m:t>
                        </m:r>
                      </m:e>
                      <m:sub>
                        <m:r>
                          <m:rPr>
                            <m:sty m:val="bi"/>
                          </m:rPr>
                          <w:rPr>
                            <w:rFonts w:ascii="Cambria Math" w:eastAsia="Cambria Math" w:hAnsi="Cambria Math" w:cs="Arial"/>
                          </w:rPr>
                          <m:t>h</m:t>
                        </m:r>
                      </m:sub>
                    </m:sSub>
                  </m:e>
                </m:d>
                <m:r>
                  <m:rPr>
                    <m:sty m:val="bi"/>
                  </m:rPr>
                  <w:rPr>
                    <w:rFonts w:ascii="Cambria Math" w:eastAsia="Cambria Math" w:hAnsi="Cambria Math" w:cs="Arial"/>
                  </w:rPr>
                  <m:t>×</m:t>
                </m:r>
                <m:f>
                  <m:fPr>
                    <m:ctrlPr>
                      <w:rPr>
                        <w:rFonts w:ascii="Cambria Math" w:eastAsia="Cambria Math" w:hAnsi="Cambria Math" w:cs="Arial"/>
                        <w:b/>
                        <w:bCs/>
                      </w:rPr>
                    </m:ctrlPr>
                  </m:fPr>
                  <m:num>
                    <m:r>
                      <m:rPr>
                        <m:sty m:val="bi"/>
                      </m:rPr>
                      <w:rPr>
                        <w:rFonts w:ascii="Cambria Math" w:eastAsia="Cambria Math" w:hAnsi="Cambria Math" w:cs="Arial"/>
                      </w:rPr>
                      <m:t>52</m:t>
                    </m:r>
                  </m:num>
                  <m:den>
                    <m:r>
                      <m:rPr>
                        <m:sty m:val="bi"/>
                      </m:rPr>
                      <w:rPr>
                        <w:rFonts w:ascii="Cambria Math" w:eastAsia="Cambria Math" w:hAnsi="Cambria Math" w:cs="Arial"/>
                      </w:rPr>
                      <m:t>12</m:t>
                    </m:r>
                  </m:den>
                </m:f>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a</m:t>
                    </m:r>
                  </m:sub>
                </m:sSub>
              </m:oMath>
            </m:oMathPara>
          </w:p>
        </w:tc>
        <w:tc>
          <w:tcPr>
            <w:tcW w:w="855" w:type="dxa"/>
            <w:vAlign w:val="center"/>
          </w:tcPr>
          <w:p w14:paraId="05FBF81E" w14:textId="77777777" w:rsidR="00DA7E40" w:rsidRPr="00D800F0" w:rsidRDefault="00DA7E40" w:rsidP="0000614D">
            <w:pPr>
              <w:pStyle w:val="Caption"/>
              <w:spacing w:after="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13</w:t>
            </w:r>
            <w:r w:rsidRPr="00D800F0">
              <w:rPr>
                <w:rFonts w:ascii="Arial" w:hAnsi="Arial" w:cs="Arial"/>
                <w:noProof/>
              </w:rPr>
              <w:fldChar w:fldCharType="end"/>
            </w:r>
            <w:r w:rsidRPr="00D800F0">
              <w:rPr>
                <w:rFonts w:ascii="Arial" w:hAnsi="Arial" w:cs="Arial"/>
              </w:rPr>
              <w:t>)</w:t>
            </w:r>
          </w:p>
        </w:tc>
      </w:tr>
    </w:tbl>
    <w:p w14:paraId="41579828" w14:textId="77777777" w:rsidR="00DA7E40" w:rsidRPr="00D800F0" w:rsidRDefault="00DA7E40" w:rsidP="00DA7E40">
      <w:pPr>
        <w:rPr>
          <w:rFonts w:ascii="Arial" w:hAnsi="Arial" w:cs="Arial"/>
          <w:bCs/>
        </w:rPr>
      </w:pPr>
      <w:r w:rsidRPr="00D800F0">
        <w:rPr>
          <w:rFonts w:ascii="Arial" w:hAnsi="Arial" w:cs="Arial"/>
        </w:rPr>
        <w:tab/>
        <w:t xml:space="preserve">The total labors costs are a function of the </w:t>
      </w:r>
      <m:oMath>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oMath>
      <w:r w:rsidRPr="00D800F0">
        <w:rPr>
          <w:rFonts w:ascii="Arial" w:hAnsi="Arial" w:cs="Arial"/>
          <w:bCs/>
        </w:rPr>
        <w:t>,</w:t>
      </w:r>
      <w:r w:rsidRPr="00D800F0">
        <w:rPr>
          <w:rFonts w:ascii="Arial" w:hAnsi="Arial" w:cs="Arial"/>
          <w:b/>
        </w:rPr>
        <w:t xml:space="preserve"> </w:t>
      </w:r>
      <m:oMath>
        <m:r>
          <m:rPr>
            <m:sty m:val="bi"/>
          </m:rPr>
          <w:rPr>
            <w:rFonts w:ascii="Cambria Math" w:hAnsi="Cambria Math" w:cs="Arial"/>
          </w:rPr>
          <m:t>CAPE</m:t>
        </m:r>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j</m:t>
            </m:r>
          </m:sub>
        </m:sSub>
      </m:oMath>
      <w:r w:rsidRPr="00D800F0">
        <w:rPr>
          <w:rFonts w:ascii="Arial" w:hAnsi="Arial" w:cs="Arial"/>
          <w:bCs/>
        </w:rPr>
        <w:t>,</w:t>
      </w:r>
      <w:r w:rsidRPr="00D800F0">
        <w:rPr>
          <w:rFonts w:ascii="Arial" w:hAnsi="Arial" w:cs="Arial"/>
          <w:b/>
        </w:rPr>
        <w:t xml:space="preserve"> </w:t>
      </w:r>
      <w:r w:rsidRPr="00D800F0">
        <w:rPr>
          <w:rFonts w:ascii="Arial" w:hAnsi="Arial" w:cs="Arial"/>
          <w:bCs/>
        </w:rPr>
        <w:t>cost factors. Hence, we introduce the total labor costs,</w:t>
      </w:r>
      <w:r w:rsidRPr="00D800F0">
        <w:rPr>
          <w:rFonts w:ascii="Arial" w:eastAsia="Cambria Math" w:hAnsi="Arial" w:cs="Arial"/>
          <w:b/>
          <w:i/>
        </w:rPr>
        <w:t xml:space="preserve"> </w:t>
      </w:r>
      <m:oMath>
        <m:r>
          <m:rPr>
            <m:sty m:val="bi"/>
          </m:rPr>
          <w:rPr>
            <w:rFonts w:ascii="Cambria Math" w:eastAsia="Cambria Math" w:hAnsi="Cambria Math" w:cs="Arial"/>
          </w:rPr>
          <m:t>T</m:t>
        </m:r>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oMath>
      <w:r w:rsidRPr="00D800F0">
        <w:rPr>
          <w:rFonts w:ascii="Arial" w:hAnsi="Arial" w:cs="Arial"/>
          <w:bCs/>
        </w:rPr>
        <w:t xml:space="preserve"> :</w:t>
      </w:r>
    </w:p>
    <w:tbl>
      <w:tblPr>
        <w:tblW w:w="9360" w:type="dxa"/>
        <w:tblLayout w:type="fixed"/>
        <w:tblLook w:val="0600" w:firstRow="0" w:lastRow="0" w:firstColumn="0" w:lastColumn="0" w:noHBand="1" w:noVBand="1"/>
      </w:tblPr>
      <w:tblGrid>
        <w:gridCol w:w="8505"/>
        <w:gridCol w:w="855"/>
      </w:tblGrid>
      <w:tr w:rsidR="00DA7E40" w:rsidRPr="00D800F0" w14:paraId="4780BAE5" w14:textId="77777777" w:rsidTr="0000614D">
        <w:trPr>
          <w:cantSplit/>
        </w:trPr>
        <w:tc>
          <w:tcPr>
            <w:tcW w:w="8505" w:type="dxa"/>
            <w:shd w:val="clear" w:color="auto" w:fill="auto"/>
            <w:tcMar>
              <w:top w:w="100" w:type="dxa"/>
              <w:left w:w="100" w:type="dxa"/>
              <w:bottom w:w="100" w:type="dxa"/>
              <w:right w:w="100" w:type="dxa"/>
            </w:tcMar>
            <w:vAlign w:val="center"/>
          </w:tcPr>
          <w:p w14:paraId="5875068E" w14:textId="77777777" w:rsidR="00DA7E40" w:rsidRPr="00D800F0" w:rsidRDefault="00DA7E40" w:rsidP="0000614D">
            <w:pPr>
              <w:jc w:val="center"/>
              <w:rPr>
                <w:rFonts w:ascii="Arial" w:hAnsi="Arial" w:cs="Arial"/>
                <w:b/>
              </w:rPr>
            </w:pPr>
            <m:oMathPara>
              <m:oMath>
                <m:r>
                  <m:rPr>
                    <m:sty m:val="bi"/>
                  </m:rPr>
                  <w:rPr>
                    <w:rFonts w:ascii="Cambria Math" w:eastAsia="Cambria Math" w:hAnsi="Cambria Math" w:cs="Arial"/>
                  </w:rPr>
                  <m:t>T</m:t>
                </m:r>
                <m:sSub>
                  <m:sSubPr>
                    <m:ctrlPr>
                      <w:rPr>
                        <w:rFonts w:ascii="Cambria Math" w:eastAsia="Cambria Math" w:hAnsi="Cambria Math" w:cs="Arial"/>
                        <w:b/>
                        <w:i/>
                      </w:rPr>
                    </m:ctrlPr>
                  </m:sSubPr>
                  <m:e>
                    <m:r>
                      <m:rPr>
                        <m:sty m:val="bi"/>
                      </m:rPr>
                      <w:rPr>
                        <w:rFonts w:ascii="Cambria Math" w:eastAsia="Cambria Math" w:hAnsi="Cambria Math" w:cs="Arial"/>
                      </w:rPr>
                      <m:t>L</m:t>
                    </m:r>
                  </m:e>
                  <m:sub>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sub>
                </m:sSub>
                <m:r>
                  <m:rPr>
                    <m:sty m:val="bi"/>
                  </m:rPr>
                  <w:rPr>
                    <w:rFonts w:ascii="Cambria Math" w:eastAsia="Cambria Math" w:hAnsi="Cambria Math" w:cs="Arial"/>
                  </w:rPr>
                  <m:t>=</m:t>
                </m:r>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d>
                  <m:dPr>
                    <m:ctrlPr>
                      <w:rPr>
                        <w:rFonts w:ascii="Cambria Math" w:eastAsia="Cambria Math" w:hAnsi="Cambria Math" w:cs="Arial"/>
                        <w:b/>
                        <w:i/>
                      </w:rPr>
                    </m:ctrlPr>
                  </m:dPr>
                  <m:e>
                    <m:r>
                      <m:rPr>
                        <m:sty m:val="bi"/>
                      </m:rPr>
                      <w:rPr>
                        <w:rFonts w:ascii="Cambria Math" w:eastAsia="Cambria Math" w:hAnsi="Cambria Math" w:cs="Arial"/>
                      </w:rPr>
                      <m:t>1+</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sup</m:t>
                        </m:r>
                      </m:sub>
                    </m:sSub>
                    <m:r>
                      <m:rPr>
                        <m:sty m:val="bi"/>
                      </m:rPr>
                      <w:rPr>
                        <w:rFonts w:ascii="Cambria Math" w:eastAsia="Cambria Math" w:hAnsi="Cambria Math" w:cs="Arial"/>
                      </w:rPr>
                      <m:t>+</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LC</m:t>
                        </m:r>
                      </m:sub>
                    </m:sSub>
                  </m:e>
                </m:d>
                <m:r>
                  <m:rPr>
                    <m:sty m:val="bi"/>
                  </m:rPr>
                  <w:rPr>
                    <w:rFonts w:ascii="Cambria Math" w:eastAsia="Cambria Math" w:hAnsi="Cambria Math" w:cs="Arial"/>
                  </w:rPr>
                  <m:t>+FC</m:t>
                </m:r>
                <m:sSub>
                  <m:sSubPr>
                    <m:ctrlPr>
                      <w:rPr>
                        <w:rFonts w:ascii="Cambria Math" w:eastAsia="Cambria Math" w:hAnsi="Cambria Math" w:cs="Arial"/>
                        <w:b/>
                        <w:i/>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m:t>
                </m:r>
                <m:f>
                  <m:fPr>
                    <m:ctrlPr>
                      <w:rPr>
                        <w:rFonts w:ascii="Cambria Math" w:eastAsia="Cambria Math" w:hAnsi="Cambria Math" w:cs="Arial"/>
                        <w:b/>
                        <w:i/>
                      </w:rPr>
                    </m:ctrlPr>
                  </m:fPr>
                  <m:num>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MT</m:t>
                        </m:r>
                      </m:sub>
                    </m:sSub>
                  </m:num>
                  <m:den>
                    <m:r>
                      <m:rPr>
                        <m:sty m:val="bi"/>
                      </m:rPr>
                      <w:rPr>
                        <w:rFonts w:ascii="Cambria Math" w:eastAsia="Cambria Math" w:hAnsi="Cambria Math" w:cs="Arial"/>
                      </w:rPr>
                      <m:t>12</m:t>
                    </m:r>
                  </m:den>
                </m:f>
                <m:r>
                  <m:rPr>
                    <m:sty m:val="bi"/>
                  </m:rPr>
                  <w:rPr>
                    <w:rFonts w:ascii="Cambria Math" w:eastAsia="Cambria Math" w:hAnsi="Cambria Math" w:cs="Arial"/>
                  </w:rPr>
                  <m:t>+(FC</m:t>
                </m:r>
                <m:sSub>
                  <m:sSubPr>
                    <m:ctrlPr>
                      <w:rPr>
                        <w:rFonts w:ascii="Cambria Math" w:eastAsia="Cambria Math" w:hAnsi="Cambria Math" w:cs="Arial"/>
                        <w:b/>
                        <w:i/>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m:t>
                </m:r>
                <m:f>
                  <m:fPr>
                    <m:ctrlPr>
                      <w:rPr>
                        <w:rFonts w:ascii="Cambria Math" w:eastAsia="Cambria Math" w:hAnsi="Cambria Math" w:cs="Arial"/>
                        <w:b/>
                        <w:i/>
                      </w:rPr>
                    </m:ctrlPr>
                  </m:fPr>
                  <m:num>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MT</m:t>
                        </m:r>
                      </m:sub>
                    </m:sSub>
                  </m:num>
                  <m:den>
                    <m:r>
                      <m:rPr>
                        <m:sty m:val="bi"/>
                      </m:rPr>
                      <w:rPr>
                        <w:rFonts w:ascii="Cambria Math" w:eastAsia="Cambria Math" w:hAnsi="Cambria Math" w:cs="Arial"/>
                      </w:rPr>
                      <m:t>12</m:t>
                    </m:r>
                  </m:den>
                </m:f>
                <m:r>
                  <m:rPr>
                    <m:sty m:val="bi"/>
                  </m:rPr>
                  <w:rPr>
                    <w:rFonts w:ascii="Cambria Math" w:eastAsia="Cambria Math" w:hAnsi="Cambria Math" w:cs="Arial"/>
                  </w:rPr>
                  <m:t>)×</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OS</m:t>
                    </m:r>
                  </m:sub>
                </m:sSub>
              </m:oMath>
            </m:oMathPara>
          </w:p>
          <w:p w14:paraId="1C894F21" w14:textId="77777777" w:rsidR="00DA7E40" w:rsidRPr="00D800F0" w:rsidRDefault="00DA7E40" w:rsidP="0000614D">
            <w:pPr>
              <w:jc w:val="center"/>
              <w:rPr>
                <w:rFonts w:ascii="Arial" w:hAnsi="Arial" w:cs="Arial"/>
                <w:b/>
                <w:bCs/>
              </w:rPr>
            </w:pPr>
            <m:oMathPara>
              <m:oMath>
                <m:r>
                  <m:rPr>
                    <m:sty m:val="bi"/>
                  </m:rPr>
                  <w:rPr>
                    <w:rFonts w:ascii="Cambria Math" w:eastAsia="Cambria Math" w:hAnsi="Cambria Math" w:cs="Arial"/>
                  </w:rPr>
                  <m:t xml:space="preserve">+ </m:t>
                </m:r>
                <m:r>
                  <m:rPr>
                    <m:sty m:val="bi"/>
                  </m:rPr>
                  <w:rPr>
                    <w:rFonts w:ascii="Cambria Math" w:hAnsi="Cambria Math" w:cs="Arial"/>
                  </w:rPr>
                  <m:t>CAPE</m:t>
                </m:r>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j</m:t>
                    </m:r>
                  </m:sub>
                </m:sSub>
                <m:r>
                  <m:rPr>
                    <m:sty m:val="bi"/>
                  </m:rPr>
                  <w:rPr>
                    <w:rFonts w:ascii="Cambria Math" w:eastAsia="Cambria Math" w:hAnsi="Cambria Math" w:cs="Arial"/>
                  </w:rPr>
                  <m:t>×</m:t>
                </m:r>
                <m:f>
                  <m:fPr>
                    <m:ctrlPr>
                      <w:rPr>
                        <w:rFonts w:ascii="Cambria Math" w:eastAsia="Cambria Math" w:hAnsi="Cambria Math" w:cs="Arial"/>
                        <w:b/>
                        <w:i/>
                      </w:rPr>
                    </m:ctrlPr>
                  </m:fPr>
                  <m:num>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P&amp;R</m:t>
                        </m:r>
                      </m:sub>
                    </m:sSub>
                  </m:num>
                  <m:den>
                    <m:r>
                      <m:rPr>
                        <m:sty m:val="bi"/>
                      </m:rPr>
                      <w:rPr>
                        <w:rFonts w:ascii="Cambria Math" w:eastAsia="Cambria Math" w:hAnsi="Cambria Math" w:cs="Arial"/>
                      </w:rPr>
                      <m:t>12</m:t>
                    </m:r>
                  </m:den>
                </m:f>
                <m:r>
                  <m:rPr>
                    <m:sty m:val="bi"/>
                  </m:rPr>
                  <w:rPr>
                    <w:rFonts w:ascii="Cambria Math" w:eastAsia="Cambria Math" w:hAnsi="Cambria Math" w:cs="Arial"/>
                  </w:rPr>
                  <m:t>+</m:t>
                </m:r>
                <m:d>
                  <m:dPr>
                    <m:ctrlPr>
                      <w:rPr>
                        <w:rFonts w:ascii="Cambria Math" w:eastAsia="Cambria Math" w:hAnsi="Cambria Math" w:cs="Arial"/>
                        <w:b/>
                        <w:i/>
                      </w:rPr>
                    </m:ctrlPr>
                  </m:dPr>
                  <m:e>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d>
                      <m:dPr>
                        <m:ctrlPr>
                          <w:rPr>
                            <w:rFonts w:ascii="Cambria Math" w:eastAsia="Cambria Math" w:hAnsi="Cambria Math" w:cs="Arial"/>
                            <w:b/>
                            <w:i/>
                          </w:rPr>
                        </m:ctrlPr>
                      </m:dPr>
                      <m:e>
                        <m:r>
                          <m:rPr>
                            <m:sty m:val="bi"/>
                          </m:rPr>
                          <w:rPr>
                            <w:rFonts w:ascii="Cambria Math" w:eastAsia="Cambria Math" w:hAnsi="Cambria Math" w:cs="Arial"/>
                          </w:rPr>
                          <m:t>1+</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sup</m:t>
                            </m:r>
                          </m:sub>
                        </m:sSub>
                      </m:e>
                    </m:d>
                    <m:r>
                      <m:rPr>
                        <m:sty m:val="bi"/>
                      </m:rPr>
                      <w:rPr>
                        <w:rFonts w:ascii="Cambria Math" w:eastAsia="Cambria Math" w:hAnsi="Cambria Math" w:cs="Arial"/>
                      </w:rPr>
                      <m:t>+FC</m:t>
                    </m:r>
                    <m:sSub>
                      <m:sSubPr>
                        <m:ctrlPr>
                          <w:rPr>
                            <w:rFonts w:ascii="Cambria Math" w:eastAsia="Cambria Math" w:hAnsi="Cambria Math" w:cs="Arial"/>
                            <w:b/>
                            <w:i/>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m:t>
                    </m:r>
                    <m:f>
                      <m:fPr>
                        <m:ctrlPr>
                          <w:rPr>
                            <w:rFonts w:ascii="Cambria Math" w:eastAsia="Cambria Math" w:hAnsi="Cambria Math" w:cs="Arial"/>
                            <w:b/>
                            <w:i/>
                          </w:rPr>
                        </m:ctrlPr>
                      </m:fPr>
                      <m:num>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MT</m:t>
                            </m:r>
                          </m:sub>
                        </m:sSub>
                      </m:num>
                      <m:den>
                        <m:r>
                          <m:rPr>
                            <m:sty m:val="bi"/>
                          </m:rPr>
                          <w:rPr>
                            <w:rFonts w:ascii="Cambria Math" w:eastAsia="Cambria Math" w:hAnsi="Cambria Math" w:cs="Arial"/>
                          </w:rPr>
                          <m:t>12</m:t>
                        </m:r>
                      </m:den>
                    </m:f>
                  </m:e>
                </m:d>
                <m:r>
                  <m:rPr>
                    <m:sty m:val="bi"/>
                  </m:rPr>
                  <w:rPr>
                    <w:rFonts w:ascii="Cambria Math" w:eastAsia="Cambria Math" w:hAnsi="Cambria Math" w:cs="Arial"/>
                  </w:rPr>
                  <m:t>×</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OH</m:t>
                    </m:r>
                  </m:sub>
                </m:sSub>
              </m:oMath>
            </m:oMathPara>
          </w:p>
        </w:tc>
        <w:tc>
          <w:tcPr>
            <w:tcW w:w="855" w:type="dxa"/>
            <w:shd w:val="clear" w:color="auto" w:fill="auto"/>
            <w:tcMar>
              <w:top w:w="100" w:type="dxa"/>
              <w:left w:w="100" w:type="dxa"/>
              <w:bottom w:w="100" w:type="dxa"/>
              <w:right w:w="100" w:type="dxa"/>
            </w:tcMar>
            <w:vAlign w:val="center"/>
          </w:tcPr>
          <w:p w14:paraId="5AAD5AC9" w14:textId="77777777" w:rsidR="00DA7E40" w:rsidRPr="00D800F0" w:rsidRDefault="00DA7E40" w:rsidP="0000614D">
            <w:pPr>
              <w:pStyle w:val="Caption"/>
              <w:spacing w:after="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14</w:t>
            </w:r>
            <w:r w:rsidRPr="00D800F0">
              <w:rPr>
                <w:rFonts w:ascii="Arial" w:hAnsi="Arial" w:cs="Arial"/>
                <w:noProof/>
              </w:rPr>
              <w:fldChar w:fldCharType="end"/>
            </w:r>
            <w:r w:rsidRPr="00D800F0">
              <w:rPr>
                <w:rFonts w:ascii="Arial" w:hAnsi="Arial" w:cs="Arial"/>
              </w:rPr>
              <w:t>)</w:t>
            </w:r>
          </w:p>
        </w:tc>
      </w:tr>
    </w:tbl>
    <w:p w14:paraId="308EAFEB" w14:textId="77777777" w:rsidR="00DA7E40" w:rsidRPr="00D800F0" w:rsidRDefault="00DA7E40" w:rsidP="00DA7E40">
      <w:pPr>
        <w:rPr>
          <w:rFonts w:ascii="Arial" w:hAnsi="Arial" w:cs="Arial"/>
          <w:bCs/>
        </w:rPr>
      </w:pPr>
      <w:r w:rsidRPr="00D800F0">
        <w:rPr>
          <w:rFonts w:ascii="Arial" w:hAnsi="Arial" w:cs="Arial"/>
          <w:bCs/>
        </w:rPr>
        <w:tab/>
        <w:t xml:space="preserve">There are also fixed charges, </w:t>
      </w:r>
      <m:oMath>
        <m:r>
          <m:rPr>
            <m:sty m:val="bi"/>
          </m:rPr>
          <w:rPr>
            <w:rFonts w:ascii="Cambria Math" w:eastAsia="Cambria Math" w:hAnsi="Cambria Math" w:cs="Arial"/>
          </w:rPr>
          <m:t>T</m:t>
        </m:r>
        <m:sSub>
          <m:sSubPr>
            <m:ctrlPr>
              <w:rPr>
                <w:rFonts w:ascii="Cambria Math" w:eastAsia="Cambria Math" w:hAnsi="Cambria Math" w:cs="Arial"/>
                <w:b/>
                <w:i/>
                <w:iCs/>
              </w:rPr>
            </m:ctrlPr>
          </m:sSubPr>
          <m:e>
            <m:r>
              <m:rPr>
                <m:sty m:val="bi"/>
              </m:rPr>
              <w:rPr>
                <w:rFonts w:ascii="Cambria Math" w:eastAsia="Cambria Math" w:hAnsi="Cambria Math" w:cs="Arial"/>
              </w:rPr>
              <m:t>F</m:t>
            </m:r>
          </m:e>
          <m:sub>
            <m:r>
              <m:rPr>
                <m:sty m:val="bi"/>
              </m:rPr>
              <w:rPr>
                <w:rFonts w:ascii="Cambria Math" w:eastAsia="Cambria Math" w:hAnsi="Cambria Math" w:cs="Arial"/>
              </w:rPr>
              <m:t>c</m:t>
            </m:r>
          </m:sub>
        </m:sSub>
      </m:oMath>
      <w:r w:rsidRPr="00D800F0">
        <w:rPr>
          <w:rFonts w:ascii="Arial" w:hAnsi="Arial" w:cs="Arial"/>
          <w:bCs/>
          <w:iCs/>
        </w:rPr>
        <w:t>:</w:t>
      </w:r>
    </w:p>
    <w:tbl>
      <w:tblPr>
        <w:tblW w:w="9360" w:type="dxa"/>
        <w:tblLayout w:type="fixed"/>
        <w:tblLook w:val="0600" w:firstRow="0" w:lastRow="0" w:firstColumn="0" w:lastColumn="0" w:noHBand="1" w:noVBand="1"/>
      </w:tblPr>
      <w:tblGrid>
        <w:gridCol w:w="8370"/>
        <w:gridCol w:w="990"/>
      </w:tblGrid>
      <w:tr w:rsidR="00DA7E40" w:rsidRPr="00D800F0" w14:paraId="3912596C" w14:textId="77777777" w:rsidTr="0000614D">
        <w:trPr>
          <w:cantSplit/>
        </w:trPr>
        <w:tc>
          <w:tcPr>
            <w:tcW w:w="8370" w:type="dxa"/>
            <w:shd w:val="clear" w:color="auto" w:fill="auto"/>
            <w:tcMar>
              <w:top w:w="100" w:type="dxa"/>
              <w:left w:w="100" w:type="dxa"/>
              <w:bottom w:w="100" w:type="dxa"/>
              <w:right w:w="100" w:type="dxa"/>
            </w:tcMar>
            <w:vAlign w:val="center"/>
          </w:tcPr>
          <w:p w14:paraId="6CFFA435"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w:lastRenderedPageBreak/>
                  <m:t>T</m:t>
                </m:r>
                <m:sSub>
                  <m:sSubPr>
                    <m:ctrlPr>
                      <w:rPr>
                        <w:rFonts w:ascii="Cambria Math" w:eastAsia="Cambria Math" w:hAnsi="Cambria Math" w:cs="Arial"/>
                        <w:b/>
                        <w:i/>
                        <w:iCs/>
                      </w:rPr>
                    </m:ctrlPr>
                  </m:sSubPr>
                  <m:e>
                    <m:r>
                      <m:rPr>
                        <m:sty m:val="bi"/>
                      </m:rPr>
                      <w:rPr>
                        <w:rFonts w:ascii="Cambria Math" w:eastAsia="Cambria Math" w:hAnsi="Cambria Math" w:cs="Arial"/>
                      </w:rPr>
                      <m:t>F</m:t>
                    </m:r>
                  </m:e>
                  <m:sub>
                    <m:sSub>
                      <m:sSubPr>
                        <m:ctrlPr>
                          <w:rPr>
                            <w:rFonts w:ascii="Cambria Math" w:eastAsia="Cambria Math" w:hAnsi="Cambria Math" w:cs="Arial"/>
                            <w:b/>
                            <w:i/>
                            <w:iCs/>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sub>
                </m:sSub>
                <m:r>
                  <m:rPr>
                    <m:sty m:val="bi"/>
                  </m:rPr>
                  <w:rPr>
                    <w:rFonts w:ascii="Cambria Math" w:eastAsia="Cambria Math" w:hAnsi="Cambria Math" w:cs="Arial"/>
                  </w:rPr>
                  <m:t>=</m:t>
                </m:r>
                <m:f>
                  <m:fPr>
                    <m:ctrlPr>
                      <w:rPr>
                        <w:rFonts w:ascii="Cambria Math" w:eastAsia="Cambria Math" w:hAnsi="Cambria Math" w:cs="Arial"/>
                        <w:b/>
                        <w:i/>
                      </w:rPr>
                    </m:ctrlPr>
                  </m:fPr>
                  <m:num>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fin</m:t>
                        </m:r>
                      </m:sub>
                    </m:sSub>
                  </m:num>
                  <m:den>
                    <m:r>
                      <m:rPr>
                        <m:sty m:val="bi"/>
                      </m:rPr>
                      <w:rPr>
                        <w:rFonts w:ascii="Cambria Math" w:eastAsia="Cambria Math" w:hAnsi="Cambria Math" w:cs="Arial"/>
                      </w:rPr>
                      <m:t>12</m:t>
                    </m:r>
                  </m:den>
                </m:f>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r>
                  <m:rPr>
                    <m:sty m:val="bi"/>
                  </m:rPr>
                  <w:rPr>
                    <w:rFonts w:ascii="Cambria Math" w:eastAsia="Cambria Math" w:hAnsi="Cambria Math" w:cs="Arial"/>
                  </w:rPr>
                  <m:t xml:space="preserve"> +</m:t>
                </m:r>
                <m:f>
                  <m:fPr>
                    <m:ctrlPr>
                      <w:rPr>
                        <w:rFonts w:ascii="Cambria Math" w:eastAsia="Cambria Math" w:hAnsi="Cambria Math" w:cs="Arial"/>
                        <w:b/>
                        <w:i/>
                      </w:rPr>
                    </m:ctrlPr>
                  </m:fPr>
                  <m:num>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rent</m:t>
                        </m:r>
                      </m:sub>
                    </m:sSub>
                  </m:num>
                  <m:den>
                    <m:r>
                      <m:rPr>
                        <m:sty m:val="bi"/>
                      </m:rPr>
                      <w:rPr>
                        <w:rFonts w:ascii="Cambria Math" w:eastAsia="Cambria Math" w:hAnsi="Cambria Math" w:cs="Arial"/>
                      </w:rPr>
                      <m:t>12</m:t>
                    </m:r>
                  </m:den>
                </m:f>
                <m:r>
                  <m:rPr>
                    <m:sty m:val="bi"/>
                  </m:rPr>
                  <w:rPr>
                    <w:rFonts w:ascii="Cambria Math" w:eastAsia="Cambria Math" w:hAnsi="Cambria Math" w:cs="Arial"/>
                  </w:rPr>
                  <m:t>×</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land</m:t>
                    </m:r>
                  </m:sub>
                </m:sSub>
                <m:r>
                  <m:rPr>
                    <m:sty m:val="bi"/>
                  </m:rPr>
                  <w:rPr>
                    <w:rFonts w:ascii="Cambria Math" w:eastAsia="Cambria Math" w:hAnsi="Cambria Math" w:cs="Arial"/>
                  </w:rPr>
                  <m:t>+</m:t>
                </m:r>
                <m:f>
                  <m:fPr>
                    <m:ctrlPr>
                      <w:rPr>
                        <w:rFonts w:ascii="Cambria Math" w:eastAsia="Cambria Math" w:hAnsi="Cambria Math" w:cs="Arial"/>
                        <w:b/>
                        <w:i/>
                      </w:rPr>
                    </m:ctrlPr>
                  </m:fPr>
                  <m:num>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ins</m:t>
                        </m:r>
                      </m:sub>
                    </m:sSub>
                  </m:num>
                  <m:den>
                    <m:r>
                      <m:rPr>
                        <m:sty m:val="bi"/>
                      </m:rPr>
                      <w:rPr>
                        <w:rFonts w:ascii="Cambria Math" w:eastAsia="Cambria Math" w:hAnsi="Cambria Math" w:cs="Arial"/>
                      </w:rPr>
                      <m:t>12</m:t>
                    </m:r>
                  </m:den>
                </m:f>
                <m:r>
                  <m:rPr>
                    <m:sty m:val="bi"/>
                  </m:rPr>
                  <w:rPr>
                    <w:rFonts w:ascii="Cambria Math" w:eastAsia="Cambria Math" w:hAnsi="Cambria Math" w:cs="Arial"/>
                  </w:rPr>
                  <m:t>×FC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m:t>
                </m:r>
                <m:f>
                  <m:fPr>
                    <m:ctrlPr>
                      <w:rPr>
                        <w:rFonts w:ascii="Cambria Math" w:eastAsia="Cambria Math" w:hAnsi="Cambria Math" w:cs="Arial"/>
                        <w:b/>
                        <w:i/>
                      </w:rPr>
                    </m:ctrlPr>
                  </m:fPr>
                  <m:num>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ptax</m:t>
                        </m:r>
                      </m:sub>
                    </m:sSub>
                  </m:num>
                  <m:den>
                    <m:r>
                      <m:rPr>
                        <m:sty m:val="bi"/>
                      </m:rPr>
                      <w:rPr>
                        <w:rFonts w:ascii="Cambria Math" w:eastAsia="Cambria Math" w:hAnsi="Cambria Math" w:cs="Arial"/>
                      </w:rPr>
                      <m:t>12</m:t>
                    </m:r>
                  </m:den>
                </m:f>
                <m:r>
                  <m:rPr>
                    <m:sty m:val="bi"/>
                  </m:rPr>
                  <w:rPr>
                    <w:rFonts w:ascii="Cambria Math" w:eastAsia="Cambria Math" w:hAnsi="Cambria Math" w:cs="Arial"/>
                  </w:rPr>
                  <m:t>×FC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 xml:space="preserve">+ </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admin</m:t>
                    </m:r>
                  </m:sub>
                </m:sSub>
                <m:r>
                  <m:rPr>
                    <m:sty m:val="bi"/>
                  </m:rPr>
                  <w:rPr>
                    <w:rFonts w:ascii="Cambria Math" w:eastAsia="Cambria Math" w:hAnsi="Cambria Math" w:cs="Arial"/>
                  </w:rPr>
                  <m:t>×T</m:t>
                </m:r>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oMath>
            </m:oMathPara>
          </w:p>
        </w:tc>
        <w:tc>
          <w:tcPr>
            <w:tcW w:w="990" w:type="dxa"/>
            <w:shd w:val="clear" w:color="auto" w:fill="auto"/>
            <w:tcMar>
              <w:top w:w="100" w:type="dxa"/>
              <w:left w:w="100" w:type="dxa"/>
              <w:bottom w:w="100" w:type="dxa"/>
              <w:right w:w="100" w:type="dxa"/>
            </w:tcMar>
            <w:vAlign w:val="center"/>
          </w:tcPr>
          <w:p w14:paraId="264B7D4A" w14:textId="77777777" w:rsidR="00DA7E40" w:rsidRPr="00D800F0" w:rsidRDefault="00DA7E40" w:rsidP="0000614D">
            <w:pPr>
              <w:pStyle w:val="Caption"/>
              <w:spacing w:after="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15</w:t>
            </w:r>
            <w:r w:rsidRPr="00D800F0">
              <w:rPr>
                <w:rFonts w:ascii="Arial" w:hAnsi="Arial" w:cs="Arial"/>
                <w:noProof/>
              </w:rPr>
              <w:fldChar w:fldCharType="end"/>
            </w:r>
            <w:r w:rsidRPr="00D800F0">
              <w:rPr>
                <w:rFonts w:ascii="Arial" w:hAnsi="Arial" w:cs="Arial"/>
              </w:rPr>
              <w:t>)</w:t>
            </w:r>
          </w:p>
        </w:tc>
      </w:tr>
    </w:tbl>
    <w:p w14:paraId="0FFD6066" w14:textId="77777777" w:rsidR="00DA7E40" w:rsidRPr="00D800F0" w:rsidRDefault="00DA7E40" w:rsidP="00DA7E40">
      <w:pPr>
        <w:ind w:firstLine="720"/>
        <w:rPr>
          <w:rFonts w:ascii="Arial" w:hAnsi="Arial" w:cs="Arial"/>
        </w:rPr>
      </w:pPr>
      <w:r w:rsidRPr="00D800F0">
        <w:rPr>
          <w:rFonts w:ascii="Arial" w:hAnsi="Arial" w:cs="Arial"/>
          <w:bCs/>
        </w:rPr>
        <w:t>After obtaining</w:t>
      </w:r>
      <w:r w:rsidRPr="00D800F0">
        <w:rPr>
          <w:rFonts w:ascii="Arial" w:eastAsia="Cambria Math" w:hAnsi="Arial" w:cs="Arial"/>
          <w:b/>
          <w:i/>
        </w:rPr>
        <w:t xml:space="preserve"> </w:t>
      </w:r>
      <m:oMath>
        <m:r>
          <m:rPr>
            <m:sty m:val="bi"/>
          </m:rPr>
          <w:rPr>
            <w:rFonts w:ascii="Cambria Math" w:eastAsia="Cambria Math" w:hAnsi="Cambria Math" w:cs="Arial"/>
          </w:rPr>
          <m:t>T</m:t>
        </m:r>
        <m:sSub>
          <m:sSubPr>
            <m:ctrlPr>
              <w:rPr>
                <w:rFonts w:ascii="Cambria Math" w:eastAsia="Cambria Math" w:hAnsi="Cambria Math" w:cs="Arial"/>
                <w:b/>
                <w:i/>
              </w:rPr>
            </m:ctrlPr>
          </m:sSubPr>
          <m:e>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e>
          <m:sub>
            <m:r>
              <m:rPr>
                <m:sty m:val="bi"/>
              </m:rPr>
              <w:rPr>
                <w:rFonts w:ascii="Cambria Math" w:eastAsia="Cambria Math" w:hAnsi="Cambria Math" w:cs="Arial"/>
              </w:rPr>
              <m:t>j</m:t>
            </m:r>
          </m:sub>
        </m:sSub>
      </m:oMath>
      <w:r w:rsidRPr="00D800F0">
        <w:rPr>
          <w:rFonts w:ascii="Arial" w:hAnsi="Arial" w:cs="Arial"/>
        </w:rPr>
        <w:t xml:space="preserve"> and</w:t>
      </w:r>
      <w:r w:rsidRPr="00D800F0">
        <w:rPr>
          <w:rFonts w:ascii="Arial" w:eastAsia="Cambria Math" w:hAnsi="Arial" w:cs="Arial"/>
          <w:bCs/>
          <w:iCs/>
        </w:rPr>
        <w:t xml:space="preserve"> </w:t>
      </w:r>
      <m:oMath>
        <m:r>
          <m:rPr>
            <m:sty m:val="bi"/>
          </m:rPr>
          <w:rPr>
            <w:rFonts w:ascii="Cambria Math" w:eastAsia="Cambria Math" w:hAnsi="Cambria Math" w:cs="Arial"/>
          </w:rPr>
          <m:t>T</m:t>
        </m:r>
        <m:sSub>
          <m:sSubPr>
            <m:ctrlPr>
              <w:rPr>
                <w:rFonts w:ascii="Cambria Math" w:eastAsia="Cambria Math" w:hAnsi="Cambria Math" w:cs="Arial"/>
                <w:b/>
                <w:i/>
                <w:iCs/>
              </w:rPr>
            </m:ctrlPr>
          </m:sSubPr>
          <m:e>
            <m:sSub>
              <m:sSubPr>
                <m:ctrlPr>
                  <w:rPr>
                    <w:rFonts w:ascii="Cambria Math" w:eastAsia="Cambria Math" w:hAnsi="Cambria Math" w:cs="Arial"/>
                    <w:b/>
                    <w:i/>
                    <w:iCs/>
                  </w:rPr>
                </m:ctrlPr>
              </m:sSubPr>
              <m:e>
                <m:r>
                  <m:rPr>
                    <m:sty m:val="bi"/>
                  </m:rPr>
                  <w:rPr>
                    <w:rFonts w:ascii="Cambria Math" w:eastAsia="Cambria Math" w:hAnsi="Cambria Math" w:cs="Arial"/>
                  </w:rPr>
                  <m:t>F</m:t>
                </m:r>
              </m:e>
              <m:sub>
                <m:r>
                  <m:rPr>
                    <m:sty m:val="bi"/>
                  </m:rPr>
                  <w:rPr>
                    <w:rFonts w:ascii="Cambria Math" w:eastAsia="Cambria Math" w:hAnsi="Cambria Math" w:cs="Arial"/>
                  </w:rPr>
                  <m:t>c</m:t>
                </m:r>
              </m:sub>
            </m:sSub>
          </m:e>
          <m:sub>
            <m:r>
              <m:rPr>
                <m:sty m:val="bi"/>
              </m:rPr>
              <w:rPr>
                <w:rFonts w:ascii="Cambria Math" w:eastAsia="Cambria Math" w:hAnsi="Cambria Math" w:cs="Arial"/>
              </w:rPr>
              <m:t>j</m:t>
            </m:r>
          </m:sub>
        </m:sSub>
      </m:oMath>
      <w:r w:rsidRPr="00D800F0">
        <w:rPr>
          <w:rFonts w:ascii="Arial" w:hAnsi="Arial" w:cs="Arial"/>
        </w:rPr>
        <w:t xml:space="preserve">, we can calculate the fixed cost, </w:t>
      </w:r>
      <m:oMath>
        <m:r>
          <m:rPr>
            <m:sty m:val="bi"/>
          </m:rPr>
          <w:rPr>
            <w:rFonts w:ascii="Cambria Math" w:hAnsi="Cambria Math" w:cs="Arial"/>
          </w:rPr>
          <m:t>FC</m:t>
        </m:r>
      </m:oMath>
      <w:r w:rsidRPr="00D800F0">
        <w:rPr>
          <w:rFonts w:ascii="Arial" w:hAnsi="Arial" w:cs="Arial"/>
        </w:rPr>
        <w:t>:</w:t>
      </w:r>
    </w:p>
    <w:tbl>
      <w:tblPr>
        <w:tblW w:w="9360" w:type="dxa"/>
        <w:tblLayout w:type="fixed"/>
        <w:tblLook w:val="0600" w:firstRow="0" w:lastRow="0" w:firstColumn="0" w:lastColumn="0" w:noHBand="1" w:noVBand="1"/>
      </w:tblPr>
      <w:tblGrid>
        <w:gridCol w:w="8505"/>
        <w:gridCol w:w="855"/>
      </w:tblGrid>
      <w:tr w:rsidR="00DA7E40" w:rsidRPr="00D800F0" w14:paraId="6B85A041" w14:textId="77777777" w:rsidTr="0000614D">
        <w:trPr>
          <w:cantSplit/>
        </w:trPr>
        <w:tc>
          <w:tcPr>
            <w:tcW w:w="8505" w:type="dxa"/>
            <w:shd w:val="clear" w:color="auto" w:fill="auto"/>
            <w:tcMar>
              <w:top w:w="100" w:type="dxa"/>
              <w:left w:w="100" w:type="dxa"/>
              <w:bottom w:w="100" w:type="dxa"/>
              <w:right w:w="100" w:type="dxa"/>
            </w:tcMar>
            <w:vAlign w:val="center"/>
          </w:tcPr>
          <w:p w14:paraId="0667EC92"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F</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r>
                  <m:rPr>
                    <m:sty m:val="bi"/>
                  </m:rPr>
                  <w:rPr>
                    <w:rFonts w:ascii="Cambria Math" w:eastAsia="Cambria Math" w:hAnsi="Cambria Math" w:cs="Arial"/>
                  </w:rPr>
                  <m:t xml:space="preserve"> =  T</m:t>
                </m:r>
                <m:sSub>
                  <m:sSubPr>
                    <m:ctrlPr>
                      <w:rPr>
                        <w:rFonts w:ascii="Cambria Math" w:eastAsia="Cambria Math" w:hAnsi="Cambria Math" w:cs="Arial"/>
                        <w:b/>
                        <w:i/>
                      </w:rPr>
                    </m:ctrlPr>
                  </m:sSubPr>
                  <m:e>
                    <m:r>
                      <m:rPr>
                        <m:sty m:val="bi"/>
                      </m:rPr>
                      <w:rPr>
                        <w:rFonts w:ascii="Cambria Math" w:eastAsia="Cambria Math" w:hAnsi="Cambria Math" w:cs="Arial"/>
                      </w:rPr>
                      <m:t>L</m:t>
                    </m:r>
                  </m:e>
                  <m:sub>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sub>
                </m:sSub>
                <m:r>
                  <m:rPr>
                    <m:sty m:val="bi"/>
                  </m:rPr>
                  <w:rPr>
                    <w:rFonts w:ascii="Cambria Math" w:eastAsia="Cambria Math" w:hAnsi="Cambria Math" w:cs="Arial"/>
                  </w:rPr>
                  <m:t>+T</m:t>
                </m:r>
                <m:sSub>
                  <m:sSubPr>
                    <m:ctrlPr>
                      <w:rPr>
                        <w:rFonts w:ascii="Cambria Math" w:eastAsia="Cambria Math" w:hAnsi="Cambria Math" w:cs="Arial"/>
                        <w:b/>
                        <w:i/>
                        <w:iCs/>
                      </w:rPr>
                    </m:ctrlPr>
                  </m:sSubPr>
                  <m:e>
                    <m:r>
                      <m:rPr>
                        <m:sty m:val="bi"/>
                      </m:rPr>
                      <w:rPr>
                        <w:rFonts w:ascii="Cambria Math" w:eastAsia="Cambria Math" w:hAnsi="Cambria Math" w:cs="Arial"/>
                      </w:rPr>
                      <m:t>F</m:t>
                    </m:r>
                  </m:e>
                  <m:sub>
                    <m:sSub>
                      <m:sSubPr>
                        <m:ctrlPr>
                          <w:rPr>
                            <w:rFonts w:ascii="Cambria Math" w:eastAsia="Cambria Math" w:hAnsi="Cambria Math" w:cs="Arial"/>
                            <w:b/>
                            <w:i/>
                            <w:iCs/>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sub>
                </m:sSub>
              </m:oMath>
            </m:oMathPara>
          </w:p>
        </w:tc>
        <w:tc>
          <w:tcPr>
            <w:tcW w:w="855" w:type="dxa"/>
            <w:shd w:val="clear" w:color="auto" w:fill="auto"/>
            <w:tcMar>
              <w:top w:w="100" w:type="dxa"/>
              <w:left w:w="100" w:type="dxa"/>
              <w:bottom w:w="100" w:type="dxa"/>
              <w:right w:w="100" w:type="dxa"/>
            </w:tcMar>
            <w:vAlign w:val="center"/>
          </w:tcPr>
          <w:p w14:paraId="5BEB4367" w14:textId="77777777" w:rsidR="00DA7E40" w:rsidRPr="00D800F0" w:rsidRDefault="00DA7E40" w:rsidP="0000614D">
            <w:pPr>
              <w:pStyle w:val="Caption"/>
              <w:spacing w:after="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16</w:t>
            </w:r>
            <w:r w:rsidRPr="00D800F0">
              <w:rPr>
                <w:rFonts w:ascii="Arial" w:hAnsi="Arial" w:cs="Arial"/>
                <w:noProof/>
              </w:rPr>
              <w:fldChar w:fldCharType="end"/>
            </w:r>
            <w:r w:rsidRPr="00D800F0">
              <w:rPr>
                <w:rFonts w:ascii="Arial" w:hAnsi="Arial" w:cs="Arial"/>
              </w:rPr>
              <w:t>)</w:t>
            </w:r>
          </w:p>
        </w:tc>
      </w:tr>
    </w:tbl>
    <w:p w14:paraId="0061D5A7" w14:textId="77777777" w:rsidR="00DA7E40" w:rsidRPr="00D800F0" w:rsidRDefault="00DA7E40" w:rsidP="006864F3">
      <w:pPr>
        <w:pStyle w:val="Heading5"/>
        <w:rPr>
          <w:rFonts w:ascii="Arial" w:hAnsi="Arial" w:cs="Arial"/>
        </w:rPr>
      </w:pPr>
      <w:r w:rsidRPr="00D800F0">
        <w:rPr>
          <w:rFonts w:ascii="Arial" w:hAnsi="Arial" w:cs="Arial"/>
        </w:rPr>
        <w:t>Variable Costs (market independent)</w:t>
      </w:r>
    </w:p>
    <w:p w14:paraId="444E1AD8" w14:textId="028A2B8B" w:rsidR="00DA7E40" w:rsidRPr="00D800F0" w:rsidRDefault="00DA7E40" w:rsidP="00DA7E40">
      <w:pPr>
        <w:rPr>
          <w:rFonts w:ascii="Arial" w:hAnsi="Arial" w:cs="Arial"/>
          <w:bCs/>
        </w:rPr>
      </w:pPr>
      <w:r w:rsidRPr="00D800F0">
        <w:rPr>
          <w:rFonts w:ascii="Arial" w:hAnsi="Arial" w:cs="Arial"/>
        </w:rPr>
        <w:t xml:space="preserve">The utility costs portion of the </w:t>
      </w:r>
      <m:oMath>
        <m:r>
          <m:rPr>
            <m:sty m:val="bi"/>
          </m:rPr>
          <w:rPr>
            <w:rFonts w:ascii="Cambria Math" w:eastAsia="Cambria Math" w:hAnsi="Cambria Math" w:cs="Arial"/>
          </w:rPr>
          <m:t>MI OPE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rPr>
        <w:t xml:space="preserve"> is only the water costs since electricity is a market-dependent parameter. For SMR, CCS, and BH2S, equation </w:t>
      </w:r>
      <w:r w:rsidRPr="00D800F0">
        <w:rPr>
          <w:rFonts w:ascii="Arial" w:hAnsi="Arial" w:cs="Arial"/>
        </w:rPr>
        <w:fldChar w:fldCharType="begin"/>
      </w:r>
      <w:r w:rsidRPr="00D800F0">
        <w:rPr>
          <w:rFonts w:ascii="Arial" w:hAnsi="Arial" w:cs="Arial"/>
        </w:rPr>
        <w:instrText xml:space="preserve"> REF _Ref147606416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w:t>
      </w:r>
      <w:r w:rsidRPr="00D800F0">
        <w:rPr>
          <w:rFonts w:ascii="Arial" w:hAnsi="Arial" w:cs="Arial"/>
          <w:noProof/>
        </w:rPr>
        <w:t>B</w:t>
      </w:r>
      <w:r w:rsidRPr="00D800F0">
        <w:rPr>
          <w:rFonts w:ascii="Arial" w:hAnsi="Arial" w:cs="Arial"/>
        </w:rPr>
        <w:t>.</w:t>
      </w:r>
      <w:r w:rsidRPr="00D800F0">
        <w:rPr>
          <w:rFonts w:ascii="Arial" w:hAnsi="Arial" w:cs="Arial"/>
          <w:noProof/>
        </w:rPr>
        <w:t>17</w:t>
      </w:r>
      <w:r w:rsidRPr="00D800F0">
        <w:rPr>
          <w:rFonts w:ascii="Arial" w:hAnsi="Arial" w:cs="Arial"/>
        </w:rPr>
        <w:t>)</w:t>
      </w:r>
      <w:r w:rsidRPr="00D800F0">
        <w:rPr>
          <w:rFonts w:ascii="Arial" w:hAnsi="Arial" w:cs="Arial"/>
        </w:rPr>
        <w:fldChar w:fldCharType="end"/>
      </w:r>
      <w:r w:rsidRPr="00D800F0">
        <w:rPr>
          <w:rFonts w:ascii="Arial" w:hAnsi="Arial" w:cs="Arial"/>
        </w:rPr>
        <w:t xml:space="preserve"> applies. We also add miscellaneous costs, which account for other raw materials (catalysts, column trays, solvents, water treatment, etc.). These miscellaneous costs are found in the original reports (see SI A). We define the variable costs, </w:t>
      </w:r>
      <m:oMath>
        <m:r>
          <m:rPr>
            <m:sty m:val="bi"/>
          </m:rPr>
          <w:rPr>
            <w:rFonts w:ascii="Cambria Math" w:eastAsia="Cambria Math" w:hAnsi="Cambria Math" w:cs="Arial"/>
          </w:rPr>
          <m:t>V</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w:r w:rsidRPr="00D800F0">
        <w:rPr>
          <w:rFonts w:ascii="Arial" w:hAnsi="Arial" w:cs="Arial"/>
          <w:bCs/>
        </w:rPr>
        <w:t>, as:</w:t>
      </w:r>
    </w:p>
    <w:tbl>
      <w:tblPr>
        <w:tblW w:w="9360" w:type="dxa"/>
        <w:tblLayout w:type="fixed"/>
        <w:tblLook w:val="0600" w:firstRow="0" w:lastRow="0" w:firstColumn="0" w:lastColumn="0" w:noHBand="1" w:noVBand="1"/>
      </w:tblPr>
      <w:tblGrid>
        <w:gridCol w:w="8505"/>
        <w:gridCol w:w="855"/>
      </w:tblGrid>
      <w:tr w:rsidR="00DA7E40" w:rsidRPr="00D800F0" w14:paraId="415E51AE" w14:textId="77777777" w:rsidTr="0000614D">
        <w:trPr>
          <w:cantSplit/>
        </w:trPr>
        <w:tc>
          <w:tcPr>
            <w:tcW w:w="8505" w:type="dxa"/>
            <w:shd w:val="clear" w:color="auto" w:fill="auto"/>
            <w:tcMar>
              <w:top w:w="100" w:type="dxa"/>
              <w:left w:w="100" w:type="dxa"/>
              <w:bottom w:w="100" w:type="dxa"/>
              <w:right w:w="100" w:type="dxa"/>
            </w:tcMar>
          </w:tcPr>
          <w:p w14:paraId="0368ACA3"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V</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r>
                  <m:rPr>
                    <m:sty m:val="bi"/>
                  </m:rPr>
                  <w:rPr>
                    <w:rFonts w:ascii="Cambria Math" w:eastAsia="Cambria Math" w:hAnsi="Cambria Math" w:cs="Arial"/>
                  </w:rPr>
                  <m:t xml:space="preserve"> =</m:t>
                </m:r>
                <m:sSub>
                  <m:sSubPr>
                    <m:ctrlPr>
                      <w:rPr>
                        <w:rFonts w:ascii="Cambria Math" w:eastAsia="Cambria Math" w:hAnsi="Cambria Math" w:cs="Arial"/>
                        <w:b/>
                        <w:i/>
                      </w:rPr>
                    </m:ctrlPr>
                  </m:sSubPr>
                  <m:e>
                    <m:r>
                      <m:rPr>
                        <m:sty m:val="bi"/>
                      </m:rPr>
                      <w:rPr>
                        <w:rFonts w:ascii="Cambria Math" w:eastAsia="Cambria Math" w:hAnsi="Cambria Math" w:cs="Arial"/>
                      </w:rPr>
                      <m:t>S</m:t>
                    </m:r>
                  </m:e>
                  <m:sub>
                    <m:sSub>
                      <m:sSubPr>
                        <m:ctrlPr>
                          <w:rPr>
                            <w:rFonts w:ascii="Cambria Math" w:eastAsia="Cambria Math" w:hAnsi="Cambria Math" w:cs="Arial"/>
                            <w:b/>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r>
                      <m:rPr>
                        <m:sty m:val="bi"/>
                      </m:rPr>
                      <w:rPr>
                        <w:rFonts w:ascii="Cambria Math" w:eastAsia="Cambria Math" w:hAnsi="Cambria Math" w:cs="Arial"/>
                      </w:rPr>
                      <m:t>O</m:t>
                    </m:r>
                  </m:sub>
                </m:sSub>
                <m:r>
                  <m:rPr>
                    <m:sty m:val="bi"/>
                  </m:rPr>
                  <w:rPr>
                    <w:rFonts w:ascii="Cambria Math" w:eastAsia="Cambria Math" w:hAnsi="Cambria Math" w:cs="Arial"/>
                  </w:rPr>
                  <m:t>×</m:t>
                </m:r>
                <m:sSub>
                  <m:sSubPr>
                    <m:ctrlPr>
                      <w:rPr>
                        <w:rFonts w:ascii="Cambria Math" w:eastAsia="Cambria Math" w:hAnsi="Cambria Math" w:cs="Arial"/>
                        <w:b/>
                        <w:i/>
                      </w:rPr>
                    </m:ctrlPr>
                  </m:sSubPr>
                  <m:e>
                    <m:r>
                      <m:rPr>
                        <m:sty m:val="bi"/>
                      </m:rPr>
                      <w:rPr>
                        <w:rFonts w:ascii="Cambria Math" w:eastAsia="Cambria Math" w:hAnsi="Cambria Math" w:cs="Arial"/>
                      </w:rPr>
                      <m:t>M</m:t>
                    </m:r>
                  </m:e>
                  <m:sub>
                    <m:sSub>
                      <m:sSubPr>
                        <m:ctrlPr>
                          <w:rPr>
                            <w:rFonts w:ascii="Cambria Math" w:eastAsia="Cambria Math" w:hAnsi="Cambria Math" w:cs="Arial"/>
                            <w:b/>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sSub>
                      <m:sSubPr>
                        <m:ctrlPr>
                          <w:rPr>
                            <w:rFonts w:ascii="Cambria Math" w:eastAsia="Cambria Math" w:hAnsi="Cambria Math" w:cs="Arial"/>
                            <w:b/>
                            <w:i/>
                          </w:rPr>
                        </m:ctrlPr>
                      </m:sSubPr>
                      <m:e>
                        <m:r>
                          <m:rPr>
                            <m:sty m:val="bi"/>
                          </m:rPr>
                          <w:rPr>
                            <w:rFonts w:ascii="Cambria Math" w:eastAsia="Cambria Math" w:hAnsi="Cambria Math" w:cs="Arial"/>
                          </w:rPr>
                          <m:t>O</m:t>
                        </m:r>
                      </m:e>
                      <m:sub>
                        <m:r>
                          <m:rPr>
                            <m:sty m:val="bi"/>
                          </m:rPr>
                          <w:rPr>
                            <w:rFonts w:ascii="Cambria Math" w:eastAsia="Cambria Math" w:hAnsi="Cambria Math" w:cs="Arial"/>
                          </w:rPr>
                          <m:t>j</m:t>
                        </m:r>
                      </m:sub>
                    </m:sSub>
                  </m:sub>
                </m:sSub>
                <m:r>
                  <m:rPr>
                    <m:sty m:val="bi"/>
                  </m:rPr>
                  <w:rPr>
                    <w:rFonts w:ascii="Cambria Math" w:eastAsia="Cambria Math" w:hAnsi="Cambria Math" w:cs="Arial"/>
                  </w:rPr>
                  <m:t>+Mis</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m:oMathPara>
          </w:p>
        </w:tc>
        <w:tc>
          <w:tcPr>
            <w:tcW w:w="855" w:type="dxa"/>
            <w:shd w:val="clear" w:color="auto" w:fill="auto"/>
            <w:tcMar>
              <w:top w:w="100" w:type="dxa"/>
              <w:left w:w="100" w:type="dxa"/>
              <w:bottom w:w="100" w:type="dxa"/>
              <w:right w:w="100" w:type="dxa"/>
            </w:tcMar>
          </w:tcPr>
          <w:p w14:paraId="61B394BF" w14:textId="77777777" w:rsidR="00DA7E40" w:rsidRPr="00D800F0" w:rsidRDefault="00DA7E40" w:rsidP="0000614D">
            <w:pPr>
              <w:keepNext/>
              <w:widowControl w:val="0"/>
              <w:rPr>
                <w:rFonts w:ascii="Arial" w:hAnsi="Arial" w:cs="Arial"/>
              </w:rPr>
            </w:pPr>
            <w:bookmarkStart w:id="28" w:name="_Ref147606416"/>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17</w:t>
            </w:r>
            <w:r w:rsidRPr="00D800F0">
              <w:rPr>
                <w:rFonts w:ascii="Arial" w:hAnsi="Arial" w:cs="Arial"/>
                <w:noProof/>
              </w:rPr>
              <w:fldChar w:fldCharType="end"/>
            </w:r>
            <w:r w:rsidRPr="00D800F0">
              <w:rPr>
                <w:rFonts w:ascii="Arial" w:hAnsi="Arial" w:cs="Arial"/>
              </w:rPr>
              <w:t>)</w:t>
            </w:r>
            <w:bookmarkEnd w:id="28"/>
          </w:p>
        </w:tc>
      </w:tr>
    </w:tbl>
    <w:p w14:paraId="5A70686F" w14:textId="77777777" w:rsidR="00DA7E40" w:rsidRPr="00D800F0" w:rsidRDefault="00DA7E40" w:rsidP="00DA7E40">
      <w:pPr>
        <w:ind w:firstLine="720"/>
        <w:rPr>
          <w:rFonts w:ascii="Arial" w:hAnsi="Arial" w:cs="Arial"/>
        </w:rPr>
      </w:pPr>
      <w:r w:rsidRPr="00D800F0">
        <w:rPr>
          <w:rFonts w:ascii="Arial" w:hAnsi="Arial" w:cs="Arial"/>
        </w:rPr>
        <w:t>If the process is AP AEC, the water dedicated to feedstock is water by reverse osmosis and is more expensive. Hence, for AP AEC, the following equation applies.</w:t>
      </w:r>
    </w:p>
    <w:tbl>
      <w:tblPr>
        <w:tblW w:w="9360" w:type="dxa"/>
        <w:tblLayout w:type="fixed"/>
        <w:tblLook w:val="0600" w:firstRow="0" w:lastRow="0" w:firstColumn="0" w:lastColumn="0" w:noHBand="1" w:noVBand="1"/>
      </w:tblPr>
      <w:tblGrid>
        <w:gridCol w:w="8505"/>
        <w:gridCol w:w="855"/>
      </w:tblGrid>
      <w:tr w:rsidR="00DA7E40" w:rsidRPr="00D800F0" w14:paraId="2EAC4CC9" w14:textId="77777777" w:rsidTr="0000614D">
        <w:trPr>
          <w:cantSplit/>
        </w:trPr>
        <w:tc>
          <w:tcPr>
            <w:tcW w:w="8505" w:type="dxa"/>
            <w:shd w:val="clear" w:color="auto" w:fill="auto"/>
            <w:tcMar>
              <w:top w:w="100" w:type="dxa"/>
              <w:left w:w="100" w:type="dxa"/>
              <w:bottom w:w="100" w:type="dxa"/>
              <w:right w:w="100" w:type="dxa"/>
            </w:tcMar>
          </w:tcPr>
          <w:p w14:paraId="25635D91"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V</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j=AP AEC</m:t>
                    </m:r>
                  </m:sub>
                </m:sSub>
                <m:r>
                  <m:rPr>
                    <m:sty m:val="bi"/>
                  </m:rPr>
                  <w:rPr>
                    <w:rFonts w:ascii="Cambria Math" w:eastAsia="Cambria Math" w:hAnsi="Cambria Math" w:cs="Arial"/>
                  </w:rPr>
                  <m:t xml:space="preserve"> =</m:t>
                </m:r>
                <m:sSub>
                  <m:sSubPr>
                    <m:ctrlPr>
                      <w:rPr>
                        <w:rFonts w:ascii="Cambria Math" w:eastAsia="Cambria Math" w:hAnsi="Cambria Math" w:cs="Arial"/>
                        <w:b/>
                        <w:i/>
                      </w:rPr>
                    </m:ctrlPr>
                  </m:sSubPr>
                  <m:e>
                    <m:r>
                      <m:rPr>
                        <m:sty m:val="bi"/>
                      </m:rPr>
                      <w:rPr>
                        <w:rFonts w:ascii="Cambria Math" w:eastAsia="Cambria Math" w:hAnsi="Cambria Math" w:cs="Arial"/>
                      </w:rPr>
                      <m:t>S</m:t>
                    </m:r>
                  </m:e>
                  <m:sub>
                    <m:sSub>
                      <m:sSubPr>
                        <m:ctrlPr>
                          <w:rPr>
                            <w:rFonts w:ascii="Cambria Math" w:eastAsia="Cambria Math" w:hAnsi="Cambria Math" w:cs="Arial"/>
                            <w:b/>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r>
                      <m:rPr>
                        <m:sty m:val="bi"/>
                      </m:rPr>
                      <w:rPr>
                        <w:rFonts w:ascii="Cambria Math" w:eastAsia="Cambria Math" w:hAnsi="Cambria Math" w:cs="Arial"/>
                      </w:rPr>
                      <m:t>O</m:t>
                    </m:r>
                  </m:sub>
                </m:sSub>
                <m:r>
                  <m:rPr>
                    <m:sty m:val="bi"/>
                  </m:rPr>
                  <w:rPr>
                    <w:rFonts w:ascii="Cambria Math" w:eastAsia="Cambria Math" w:hAnsi="Cambria Math" w:cs="Arial"/>
                  </w:rPr>
                  <m:t>×</m:t>
                </m:r>
                <m:sSub>
                  <m:sSubPr>
                    <m:ctrlPr>
                      <w:rPr>
                        <w:rFonts w:ascii="Cambria Math" w:eastAsia="Cambria Math" w:hAnsi="Cambria Math" w:cs="Arial"/>
                        <w:b/>
                        <w:i/>
                      </w:rPr>
                    </m:ctrlPr>
                  </m:sSubPr>
                  <m:e>
                    <m:r>
                      <m:rPr>
                        <m:sty m:val="bi"/>
                      </m:rPr>
                      <w:rPr>
                        <w:rFonts w:ascii="Cambria Math" w:eastAsia="Cambria Math" w:hAnsi="Cambria Math" w:cs="Arial"/>
                      </w:rPr>
                      <m:t>M</m:t>
                    </m:r>
                  </m:e>
                  <m:sub>
                    <m:sSub>
                      <m:sSubPr>
                        <m:ctrlPr>
                          <w:rPr>
                            <w:rFonts w:ascii="Cambria Math" w:eastAsia="Cambria Math" w:hAnsi="Cambria Math" w:cs="Arial"/>
                            <w:b/>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sSub>
                      <m:sSubPr>
                        <m:ctrlPr>
                          <w:rPr>
                            <w:rFonts w:ascii="Cambria Math" w:eastAsia="Cambria Math" w:hAnsi="Cambria Math" w:cs="Arial"/>
                            <w:b/>
                            <w:i/>
                          </w:rPr>
                        </m:ctrlPr>
                      </m:sSubPr>
                      <m:e>
                        <m:r>
                          <m:rPr>
                            <m:sty m:val="bi"/>
                          </m:rPr>
                          <w:rPr>
                            <w:rFonts w:ascii="Cambria Math" w:eastAsia="Cambria Math" w:hAnsi="Cambria Math" w:cs="Arial"/>
                          </w:rPr>
                          <m:t>O</m:t>
                        </m:r>
                      </m:e>
                      <m:sub>
                        <m:r>
                          <m:rPr>
                            <m:sty m:val="bi"/>
                          </m:rPr>
                          <w:rPr>
                            <w:rFonts w:ascii="Cambria Math" w:eastAsia="Cambria Math" w:hAnsi="Cambria Math" w:cs="Arial"/>
                          </w:rPr>
                          <m:t>j</m:t>
                        </m:r>
                      </m:sub>
                    </m:sSub>
                  </m:sub>
                </m:sSub>
                <m:r>
                  <m:rPr>
                    <m:sty m:val="bi"/>
                  </m:rPr>
                  <w:rPr>
                    <w:rFonts w:ascii="Cambria Math" w:eastAsia="Cambria Math" w:hAnsi="Cambria Math" w:cs="Arial"/>
                  </w:rPr>
                  <m:t>+</m:t>
                </m:r>
                <m:sSub>
                  <m:sSubPr>
                    <m:ctrlPr>
                      <w:rPr>
                        <w:rFonts w:ascii="Cambria Math" w:eastAsia="Cambria Math" w:hAnsi="Cambria Math" w:cs="Arial"/>
                        <w:b/>
                        <w:i/>
                      </w:rPr>
                    </m:ctrlPr>
                  </m:sSubPr>
                  <m:e>
                    <m:sSub>
                      <m:sSubPr>
                        <m:ctrlPr>
                          <w:rPr>
                            <w:rFonts w:ascii="Cambria Math" w:eastAsia="Cambria Math" w:hAnsi="Cambria Math" w:cs="Arial"/>
                            <w:b/>
                            <w:i/>
                          </w:rPr>
                        </m:ctrlPr>
                      </m:sSubPr>
                      <m:e>
                        <m:r>
                          <m:rPr>
                            <m:sty m:val="bi"/>
                          </m:rPr>
                          <w:rPr>
                            <w:rFonts w:ascii="Cambria Math" w:eastAsia="Cambria Math" w:hAnsi="Cambria Math" w:cs="Arial"/>
                          </w:rPr>
                          <m:t>S</m:t>
                        </m:r>
                      </m:e>
                      <m:sub>
                        <m:sSub>
                          <m:sSubPr>
                            <m:ctrlPr>
                              <w:rPr>
                                <w:rFonts w:ascii="Cambria Math" w:eastAsia="Cambria Math" w:hAnsi="Cambria Math" w:cs="Arial"/>
                                <w:b/>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r>
                          <m:rPr>
                            <m:sty m:val="bi"/>
                          </m:rPr>
                          <w:rPr>
                            <w:rFonts w:ascii="Cambria Math" w:eastAsia="Cambria Math" w:hAnsi="Cambria Math" w:cs="Arial"/>
                          </w:rPr>
                          <m:t>O</m:t>
                        </m:r>
                      </m:sub>
                    </m:sSub>
                  </m:e>
                  <m:sub>
                    <m:r>
                      <m:rPr>
                        <m:sty m:val="bi"/>
                      </m:rPr>
                      <w:rPr>
                        <w:rFonts w:ascii="Cambria Math" w:eastAsia="Cambria Math" w:hAnsi="Cambria Math" w:cs="Arial"/>
                      </w:rPr>
                      <m:t>osmosis</m:t>
                    </m:r>
                  </m:sub>
                </m:sSub>
                <m:r>
                  <m:rPr>
                    <m:sty m:val="bi"/>
                  </m:rPr>
                  <w:rPr>
                    <w:rFonts w:ascii="Cambria Math" w:eastAsia="Cambria Math" w:hAnsi="Cambria Math" w:cs="Arial"/>
                  </w:rPr>
                  <m:t>×</m:t>
                </m:r>
                <m:sSub>
                  <m:sSubPr>
                    <m:ctrlPr>
                      <w:rPr>
                        <w:rFonts w:ascii="Cambria Math" w:eastAsia="Cambria Math" w:hAnsi="Cambria Math" w:cs="Arial"/>
                        <w:b/>
                        <w:i/>
                      </w:rPr>
                    </m:ctrlPr>
                  </m:sSubPr>
                  <m:e>
                    <m:sSub>
                      <m:sSubPr>
                        <m:ctrlPr>
                          <w:rPr>
                            <w:rFonts w:ascii="Cambria Math" w:eastAsia="Cambria Math" w:hAnsi="Cambria Math" w:cs="Arial"/>
                            <w:b/>
                            <w:i/>
                          </w:rPr>
                        </m:ctrlPr>
                      </m:sSubPr>
                      <m:e>
                        <m:r>
                          <m:rPr>
                            <m:sty m:val="bi"/>
                          </m:rPr>
                          <w:rPr>
                            <w:rFonts w:ascii="Cambria Math" w:eastAsia="Cambria Math" w:hAnsi="Cambria Math" w:cs="Arial"/>
                          </w:rPr>
                          <m:t>M</m:t>
                        </m:r>
                      </m:e>
                      <m:sub>
                        <m:sSub>
                          <m:sSubPr>
                            <m:ctrlPr>
                              <w:rPr>
                                <w:rFonts w:ascii="Cambria Math" w:eastAsia="Cambria Math" w:hAnsi="Cambria Math" w:cs="Arial"/>
                                <w:b/>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r>
                          <m:rPr>
                            <m:sty m:val="bi"/>
                          </m:rPr>
                          <w:rPr>
                            <w:rFonts w:ascii="Cambria Math" w:eastAsia="Cambria Math" w:hAnsi="Cambria Math" w:cs="Arial"/>
                          </w:rPr>
                          <m:t>O</m:t>
                        </m:r>
                      </m:sub>
                    </m:sSub>
                  </m:e>
                  <m:sub>
                    <m:r>
                      <m:rPr>
                        <m:sty m:val="bi"/>
                      </m:rPr>
                      <w:rPr>
                        <w:rFonts w:ascii="Cambria Math" w:eastAsia="Cambria Math" w:hAnsi="Cambria Math" w:cs="Arial"/>
                      </w:rPr>
                      <m:t>osmosi</m:t>
                    </m:r>
                    <m:sSub>
                      <m:sSubPr>
                        <m:ctrlPr>
                          <w:rPr>
                            <w:rFonts w:ascii="Cambria Math" w:eastAsia="Cambria Math" w:hAnsi="Cambria Math" w:cs="Arial"/>
                            <w:b/>
                            <w:i/>
                          </w:rPr>
                        </m:ctrlPr>
                      </m:sSubPr>
                      <m:e>
                        <m:r>
                          <m:rPr>
                            <m:sty m:val="bi"/>
                          </m:rPr>
                          <w:rPr>
                            <w:rFonts w:ascii="Cambria Math" w:eastAsia="Cambria Math" w:hAnsi="Cambria Math" w:cs="Arial"/>
                          </w:rPr>
                          <m:t>s</m:t>
                        </m:r>
                      </m:e>
                      <m:sub>
                        <m:r>
                          <m:rPr>
                            <m:sty m:val="bi"/>
                          </m:rPr>
                          <w:rPr>
                            <w:rFonts w:ascii="Cambria Math" w:eastAsia="Cambria Math" w:hAnsi="Cambria Math" w:cs="Arial"/>
                          </w:rPr>
                          <m:t>j</m:t>
                        </m:r>
                      </m:sub>
                    </m:sSub>
                  </m:sub>
                </m:sSub>
                <m:r>
                  <m:rPr>
                    <m:sty m:val="bi"/>
                  </m:rPr>
                  <w:rPr>
                    <w:rFonts w:ascii="Cambria Math" w:eastAsia="Cambria Math" w:hAnsi="Cambria Math" w:cs="Arial"/>
                  </w:rPr>
                  <m:t>+Mis</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m:oMathPara>
          </w:p>
        </w:tc>
        <w:tc>
          <w:tcPr>
            <w:tcW w:w="855" w:type="dxa"/>
            <w:shd w:val="clear" w:color="auto" w:fill="auto"/>
            <w:tcMar>
              <w:top w:w="100" w:type="dxa"/>
              <w:left w:w="100" w:type="dxa"/>
              <w:bottom w:w="100" w:type="dxa"/>
              <w:right w:w="100" w:type="dxa"/>
            </w:tcMar>
          </w:tcPr>
          <w:p w14:paraId="70094516" w14:textId="77777777" w:rsidR="00DA7E40" w:rsidRPr="00D800F0" w:rsidRDefault="00DA7E40" w:rsidP="0000614D">
            <w:pPr>
              <w:keepNext/>
              <w:widowControl w:val="0"/>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18</w:t>
            </w:r>
            <w:r w:rsidRPr="00D800F0">
              <w:rPr>
                <w:rFonts w:ascii="Arial" w:hAnsi="Arial" w:cs="Arial"/>
                <w:noProof/>
              </w:rPr>
              <w:fldChar w:fldCharType="end"/>
            </w:r>
            <w:r w:rsidRPr="00D800F0">
              <w:rPr>
                <w:rFonts w:ascii="Arial" w:hAnsi="Arial" w:cs="Arial"/>
              </w:rPr>
              <w:t>)</w:t>
            </w:r>
          </w:p>
        </w:tc>
      </w:tr>
    </w:tbl>
    <w:p w14:paraId="230A9529" w14:textId="77777777" w:rsidR="00DA7E40" w:rsidRPr="00D800F0" w:rsidRDefault="00DA7E40" w:rsidP="006864F3">
      <w:pPr>
        <w:pStyle w:val="Heading5"/>
        <w:rPr>
          <w:rFonts w:ascii="Arial" w:hAnsi="Arial" w:cs="Arial"/>
        </w:rPr>
      </w:pPr>
      <w:r w:rsidRPr="00D800F0">
        <w:rPr>
          <w:rFonts w:ascii="Arial" w:hAnsi="Arial" w:cs="Arial"/>
        </w:rPr>
        <w:t>MIOPEX</w:t>
      </w:r>
    </w:p>
    <w:p w14:paraId="68090D13" w14:textId="77777777" w:rsidR="00DA7E40" w:rsidRPr="00D800F0" w:rsidRDefault="00DA7E40" w:rsidP="00DA7E40">
      <w:pPr>
        <w:rPr>
          <w:rFonts w:ascii="Arial" w:hAnsi="Arial" w:cs="Arial"/>
          <w:lang w:eastAsia="en-GB"/>
        </w:rPr>
      </w:pPr>
      <w:r w:rsidRPr="00D800F0">
        <w:rPr>
          <w:rFonts w:ascii="Arial" w:hAnsi="Arial" w:cs="Arial"/>
          <w:lang w:eastAsia="en-GB"/>
        </w:rPr>
        <w:t xml:space="preserve">With the previous definitions, the </w:t>
      </w:r>
      <m:oMath>
        <m:r>
          <m:rPr>
            <m:sty m:val="bi"/>
          </m:rPr>
          <w:rPr>
            <w:rFonts w:ascii="Cambria Math" w:eastAsia="Cambria Math" w:hAnsi="Cambria Math" w:cs="Arial"/>
          </w:rPr>
          <m:t>MI OPE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b/>
          <w:bCs/>
        </w:rPr>
        <w:t xml:space="preserve"> </w:t>
      </w:r>
      <w:r w:rsidRPr="00D800F0">
        <w:rPr>
          <w:rFonts w:ascii="Arial" w:hAnsi="Arial" w:cs="Arial"/>
        </w:rPr>
        <w:t>is defined as:</w:t>
      </w:r>
    </w:p>
    <w:tbl>
      <w:tblPr>
        <w:tblW w:w="9360" w:type="dxa"/>
        <w:tblLayout w:type="fixed"/>
        <w:tblLook w:val="0600" w:firstRow="0" w:lastRow="0" w:firstColumn="0" w:lastColumn="0" w:noHBand="1" w:noVBand="1"/>
      </w:tblPr>
      <w:tblGrid>
        <w:gridCol w:w="8505"/>
        <w:gridCol w:w="855"/>
      </w:tblGrid>
      <w:tr w:rsidR="00DA7E40" w:rsidRPr="00D800F0" w14:paraId="41DFB7C9" w14:textId="77777777" w:rsidTr="0000614D">
        <w:trPr>
          <w:cantSplit/>
        </w:trPr>
        <w:tc>
          <w:tcPr>
            <w:tcW w:w="8505" w:type="dxa"/>
            <w:shd w:val="clear" w:color="auto" w:fill="auto"/>
            <w:tcMar>
              <w:top w:w="100" w:type="dxa"/>
              <w:left w:w="100" w:type="dxa"/>
              <w:bottom w:w="100" w:type="dxa"/>
              <w:right w:w="100" w:type="dxa"/>
            </w:tcMar>
          </w:tcPr>
          <w:p w14:paraId="3E47812C"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MI OPE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r>
                  <m:rPr>
                    <m:sty m:val="bi"/>
                  </m:rPr>
                  <w:rPr>
                    <w:rFonts w:ascii="Cambria Math" w:eastAsia="Cambria Math" w:hAnsi="Cambria Math" w:cs="Arial"/>
                  </w:rPr>
                  <m:t xml:space="preserve"> =F</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r>
                  <m:rPr>
                    <m:sty m:val="bi"/>
                  </m:rPr>
                  <w:rPr>
                    <w:rFonts w:ascii="Cambria Math" w:eastAsia="Cambria Math" w:hAnsi="Cambria Math" w:cs="Arial"/>
                  </w:rPr>
                  <m:t>+V</m:t>
                </m:r>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m:oMathPara>
          </w:p>
        </w:tc>
        <w:tc>
          <w:tcPr>
            <w:tcW w:w="855" w:type="dxa"/>
            <w:shd w:val="clear" w:color="auto" w:fill="auto"/>
            <w:tcMar>
              <w:top w:w="100" w:type="dxa"/>
              <w:left w:w="100" w:type="dxa"/>
              <w:bottom w:w="100" w:type="dxa"/>
              <w:right w:w="100" w:type="dxa"/>
            </w:tcMar>
          </w:tcPr>
          <w:p w14:paraId="583344B5" w14:textId="77777777" w:rsidR="00DA7E40" w:rsidRPr="00D800F0" w:rsidRDefault="00DA7E40" w:rsidP="0000614D">
            <w:pPr>
              <w:widowControl w:val="0"/>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19</w:t>
            </w:r>
            <w:r w:rsidRPr="00D800F0">
              <w:rPr>
                <w:rFonts w:ascii="Arial" w:hAnsi="Arial" w:cs="Arial"/>
                <w:noProof/>
              </w:rPr>
              <w:fldChar w:fldCharType="end"/>
            </w:r>
            <w:r w:rsidRPr="00D800F0">
              <w:rPr>
                <w:rFonts w:ascii="Arial" w:hAnsi="Arial" w:cs="Arial"/>
              </w:rPr>
              <w:t>)</w:t>
            </w:r>
          </w:p>
        </w:tc>
      </w:tr>
    </w:tbl>
    <w:p w14:paraId="3E9A604D" w14:textId="77777777" w:rsidR="00DA7E40" w:rsidRPr="00D800F0" w:rsidRDefault="00DA7E40" w:rsidP="00DA7E40">
      <w:pPr>
        <w:rPr>
          <w:rFonts w:ascii="Arial" w:eastAsia="Cambria Math" w:hAnsi="Arial" w:cs="Arial"/>
        </w:rPr>
      </w:pPr>
    </w:p>
    <w:p w14:paraId="436D5259" w14:textId="77777777" w:rsidR="00DA7E40" w:rsidRPr="00D800F0" w:rsidRDefault="00DA7E40" w:rsidP="006864F3">
      <w:pPr>
        <w:pStyle w:val="Heading4"/>
        <w:rPr>
          <w:rFonts w:ascii="Arial" w:hAnsi="Arial" w:cs="Arial"/>
        </w:rPr>
      </w:pPr>
      <w:r w:rsidRPr="00D800F0">
        <w:rPr>
          <w:rFonts w:ascii="Arial" w:hAnsi="Arial" w:cs="Arial"/>
        </w:rPr>
        <w:t>Market Dependent OPEX</w:t>
      </w:r>
    </w:p>
    <w:p w14:paraId="53FCFB25" w14:textId="77777777" w:rsidR="00DA7E40" w:rsidRPr="00D800F0" w:rsidRDefault="00DA7E40" w:rsidP="00DA7E40">
      <w:pPr>
        <w:rPr>
          <w:rFonts w:ascii="Arial" w:hAnsi="Arial" w:cs="Arial"/>
          <w:bCs/>
        </w:rPr>
      </w:pPr>
      <w:r w:rsidRPr="00D800F0">
        <w:rPr>
          <w:rFonts w:ascii="Arial" w:hAnsi="Arial" w:cs="Arial"/>
        </w:rPr>
        <w:t xml:space="preserve">The objective is to use geometric Brownian motion (GBM) to model natural gas, electricity, and ammonia prices with parameters including the drift, </w:t>
      </w:r>
      <m:oMath>
        <m:sSub>
          <m:sSubPr>
            <m:ctrlPr>
              <w:rPr>
                <w:rFonts w:ascii="Cambria Math" w:eastAsia="Cambria Math" w:hAnsi="Cambria Math" w:cs="Arial"/>
                <w:b/>
                <w:bCs/>
              </w:rPr>
            </m:ctrlPr>
          </m:sSubPr>
          <m:e>
            <m:r>
              <m:rPr>
                <m:sty m:val="bi"/>
              </m:rPr>
              <w:rPr>
                <w:rFonts w:ascii="Cambria Math" w:hAnsi="Cambria Math" w:cs="Arial"/>
              </w:rPr>
              <m:t>μ</m:t>
            </m:r>
          </m:e>
          <m:sub>
            <m:r>
              <m:rPr>
                <m:sty m:val="bi"/>
              </m:rPr>
              <w:rPr>
                <w:rFonts w:ascii="Cambria Math" w:eastAsia="Cambria Math" w:hAnsi="Cambria Math" w:cs="Arial"/>
              </w:rPr>
              <m:t>i</m:t>
            </m:r>
          </m:sub>
        </m:sSub>
      </m:oMath>
      <w:r w:rsidRPr="00D800F0">
        <w:rPr>
          <w:rFonts w:ascii="Arial" w:hAnsi="Arial" w:cs="Arial"/>
        </w:rPr>
        <w:t xml:space="preserve">, and volatility, </w:t>
      </w:r>
      <m:oMath>
        <m:sSub>
          <m:sSubPr>
            <m:ctrlPr>
              <w:rPr>
                <w:rFonts w:ascii="Cambria Math" w:eastAsia="Cambria Math" w:hAnsi="Cambria Math" w:cs="Arial"/>
                <w:b/>
                <w:bCs/>
              </w:rPr>
            </m:ctrlPr>
          </m:sSubPr>
          <m:e>
            <m:r>
              <m:rPr>
                <m:sty m:val="bi"/>
              </m:rPr>
              <w:rPr>
                <w:rFonts w:ascii="Cambria Math" w:hAnsi="Cambria Math" w:cs="Arial"/>
              </w:rPr>
              <m:t>σ</m:t>
            </m:r>
          </m:e>
          <m:sub>
            <m:r>
              <m:rPr>
                <m:sty m:val="bi"/>
              </m:rPr>
              <w:rPr>
                <w:rFonts w:ascii="Cambria Math" w:eastAsia="Cambria Math" w:hAnsi="Cambria Math" w:cs="Arial"/>
              </w:rPr>
              <m:t>i</m:t>
            </m:r>
          </m:sub>
        </m:sSub>
      </m:oMath>
      <w:r w:rsidRPr="00D800F0">
        <w:rPr>
          <w:rFonts w:ascii="Arial" w:hAnsi="Arial" w:cs="Arial"/>
        </w:rPr>
        <w:t xml:space="preserve">, for commodity </w:t>
      </w:r>
      <m:oMath>
        <m:r>
          <m:rPr>
            <m:sty m:val="bi"/>
          </m:rPr>
          <w:rPr>
            <w:rFonts w:ascii="Cambria Math" w:eastAsia="Cambria Math" w:hAnsi="Cambria Math" w:cs="Arial"/>
          </w:rPr>
          <m:t>i</m:t>
        </m:r>
      </m:oMath>
      <w:r w:rsidRPr="00D800F0">
        <w:rPr>
          <w:rFonts w:ascii="Arial" w:hAnsi="Arial" w:cs="Arial"/>
        </w:rPr>
        <w:t>.</w:t>
      </w:r>
      <w:r w:rsidRPr="00D800F0">
        <w:rPr>
          <w:rFonts w:ascii="Arial" w:hAnsi="Arial" w:cs="Arial"/>
          <w:bCs/>
        </w:rPr>
        <w:t xml:space="preserve"> We used a bivariate distribution for ammonia and natural gas prices so that we could set a correlation parameter between the two commodities. The correlation was calculated using industrial natural gas prices and ammonia price indices from December 2014 to January 2023 (EIA, 2023b; BLS, 2023). </w:t>
      </w:r>
    </w:p>
    <w:tbl>
      <w:tblPr>
        <w:tblW w:w="9360" w:type="dxa"/>
        <w:tblLayout w:type="fixed"/>
        <w:tblLook w:val="0600" w:firstRow="0" w:lastRow="0" w:firstColumn="0" w:lastColumn="0" w:noHBand="1" w:noVBand="1"/>
      </w:tblPr>
      <w:tblGrid>
        <w:gridCol w:w="8505"/>
        <w:gridCol w:w="855"/>
      </w:tblGrid>
      <w:tr w:rsidR="00DA7E40" w:rsidRPr="00D800F0" w14:paraId="0AB49119" w14:textId="77777777" w:rsidTr="0000614D">
        <w:trPr>
          <w:cantSplit/>
        </w:trPr>
        <w:tc>
          <w:tcPr>
            <w:tcW w:w="8505" w:type="dxa"/>
            <w:shd w:val="clear" w:color="auto" w:fill="auto"/>
            <w:tcMar>
              <w:top w:w="100" w:type="dxa"/>
              <w:left w:w="100" w:type="dxa"/>
              <w:bottom w:w="100" w:type="dxa"/>
              <w:right w:w="100" w:type="dxa"/>
            </w:tcMar>
            <w:vAlign w:val="center"/>
          </w:tcPr>
          <w:p w14:paraId="2B3B99FA"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i</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P(T=0)</m:t>
                    </m:r>
                  </m:e>
                  <m:sub>
                    <m:r>
                      <m:rPr>
                        <m:sty m:val="bi"/>
                      </m:rPr>
                      <w:rPr>
                        <w:rFonts w:ascii="Cambria Math" w:eastAsia="Cambria Math" w:hAnsi="Cambria Math" w:cs="Arial"/>
                      </w:rPr>
                      <m:t>i</m:t>
                    </m:r>
                  </m:sub>
                </m:sSub>
                <m:nary>
                  <m:naryPr>
                    <m:chr m:val="∏"/>
                    <m:ctrlPr>
                      <w:rPr>
                        <w:rFonts w:ascii="Cambria Math" w:eastAsia="Cambria Math" w:hAnsi="Cambria Math" w:cs="Arial"/>
                        <w:b/>
                        <w:bCs/>
                      </w:rPr>
                    </m:ctrlPr>
                  </m:naryPr>
                  <m:sub>
                    <m:r>
                      <m:rPr>
                        <m:sty m:val="bi"/>
                      </m:rPr>
                      <w:rPr>
                        <w:rFonts w:ascii="Cambria Math" w:eastAsia="Cambria Math" w:hAnsi="Cambria Math" w:cs="Arial"/>
                      </w:rPr>
                      <m:t>T=0</m:t>
                    </m:r>
                  </m:sub>
                  <m:sup>
                    <m:r>
                      <m:rPr>
                        <m:sty m:val="bi"/>
                      </m:rPr>
                      <w:rPr>
                        <w:rFonts w:ascii="Cambria Math" w:eastAsia="Cambria Math" w:hAnsi="Cambria Math" w:cs="Arial"/>
                      </w:rPr>
                      <m:t>L</m:t>
                    </m:r>
                  </m:sup>
                  <m:e>
                    <m:d>
                      <m:dPr>
                        <m:begChr m:val="["/>
                        <m:endChr m:val="]"/>
                        <m:ctrlPr>
                          <w:rPr>
                            <w:rFonts w:ascii="Cambria Math" w:eastAsia="Cambria Math" w:hAnsi="Cambria Math" w:cs="Arial"/>
                            <w:b/>
                            <w:bCs/>
                          </w:rPr>
                        </m:ctrlPr>
                      </m:dPr>
                      <m:e>
                        <m:r>
                          <m:rPr>
                            <m:sty m:val="bi"/>
                          </m:rPr>
                          <w:rPr>
                            <w:rFonts w:ascii="Cambria Math" w:eastAsia="Cambria Math" w:hAnsi="Cambria Math" w:cs="Arial"/>
                          </w:rPr>
                          <m:t>N</m:t>
                        </m:r>
                        <m:d>
                          <m:dPr>
                            <m:ctrlPr>
                              <w:rPr>
                                <w:rFonts w:ascii="Cambria Math" w:eastAsia="Cambria Math" w:hAnsi="Cambria Math" w:cs="Arial"/>
                                <w:b/>
                                <w:bCs/>
                              </w:rPr>
                            </m:ctrlPr>
                          </m:dPr>
                          <m:e>
                            <m:r>
                              <m:rPr>
                                <m:sty m:val="bi"/>
                              </m:rPr>
                              <w:rPr>
                                <w:rFonts w:ascii="Cambria Math" w:eastAsia="Cambria Math" w:hAnsi="Cambria Math" w:cs="Arial"/>
                              </w:rPr>
                              <m:t>1+</m:t>
                            </m:r>
                            <m:sSub>
                              <m:sSubPr>
                                <m:ctrlPr>
                                  <w:rPr>
                                    <w:rFonts w:ascii="Cambria Math" w:eastAsia="Cambria Math" w:hAnsi="Cambria Math" w:cs="Arial"/>
                                    <w:b/>
                                    <w:bCs/>
                                  </w:rPr>
                                </m:ctrlPr>
                              </m:sSubPr>
                              <m:e>
                                <m:r>
                                  <m:rPr>
                                    <m:sty m:val="bi"/>
                                  </m:rPr>
                                  <w:rPr>
                                    <w:rFonts w:ascii="Cambria Math" w:eastAsia="Cambria Math" w:hAnsi="Cambria Math" w:cs="Arial"/>
                                  </w:rPr>
                                  <m:t>μ</m:t>
                                </m:r>
                              </m:e>
                              <m:sub>
                                <m:r>
                                  <m:rPr>
                                    <m:sty m:val="bi"/>
                                  </m:rPr>
                                  <w:rPr>
                                    <w:rFonts w:ascii="Cambria Math" w:eastAsia="Cambria Math" w:hAnsi="Cambria Math" w:cs="Arial"/>
                                  </w:rPr>
                                  <m:t>i</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σ</m:t>
                                </m:r>
                              </m:e>
                              <m:sub>
                                <m:r>
                                  <m:rPr>
                                    <m:sty m:val="bi"/>
                                  </m:rPr>
                                  <w:rPr>
                                    <w:rFonts w:ascii="Cambria Math" w:eastAsia="Cambria Math" w:hAnsi="Cambria Math" w:cs="Arial"/>
                                  </w:rPr>
                                  <m:t>i</m:t>
                                </m:r>
                              </m:sub>
                            </m:sSub>
                          </m:e>
                        </m:d>
                      </m:e>
                    </m:d>
                  </m:e>
                </m:nary>
              </m:oMath>
            </m:oMathPara>
          </w:p>
        </w:tc>
        <w:tc>
          <w:tcPr>
            <w:tcW w:w="855" w:type="dxa"/>
            <w:shd w:val="clear" w:color="auto" w:fill="auto"/>
            <w:tcMar>
              <w:top w:w="100" w:type="dxa"/>
              <w:left w:w="100" w:type="dxa"/>
              <w:bottom w:w="100" w:type="dxa"/>
              <w:right w:w="100" w:type="dxa"/>
            </w:tcMar>
            <w:vAlign w:val="center"/>
          </w:tcPr>
          <w:p w14:paraId="288ED600" w14:textId="77777777" w:rsidR="00DA7E40" w:rsidRPr="00D800F0" w:rsidRDefault="00DA7E40" w:rsidP="0000614D">
            <w:pPr>
              <w:widowControl w:val="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20</w:t>
            </w:r>
            <w:r w:rsidRPr="00D800F0">
              <w:rPr>
                <w:rFonts w:ascii="Arial" w:hAnsi="Arial" w:cs="Arial"/>
                <w:noProof/>
              </w:rPr>
              <w:fldChar w:fldCharType="end"/>
            </w:r>
            <w:r w:rsidRPr="00D800F0">
              <w:rPr>
                <w:rFonts w:ascii="Arial" w:hAnsi="Arial" w:cs="Arial"/>
              </w:rPr>
              <w:t>)</w:t>
            </w:r>
          </w:p>
        </w:tc>
      </w:tr>
    </w:tbl>
    <w:p w14:paraId="4C2F306B" w14:textId="77777777" w:rsidR="00DA7E40" w:rsidRPr="00D800F0" w:rsidRDefault="00DA7E40" w:rsidP="00DA7E40">
      <w:pPr>
        <w:ind w:firstLine="720"/>
        <w:rPr>
          <w:rFonts w:ascii="Arial" w:hAnsi="Arial" w:cs="Arial"/>
        </w:rPr>
      </w:pPr>
      <w:r w:rsidRPr="00D800F0">
        <w:rPr>
          <w:rFonts w:ascii="Arial" w:hAnsi="Arial" w:cs="Arial"/>
        </w:rPr>
        <w:t>Distribution and marketing costs (</w:t>
      </w:r>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DM</m:t>
            </m:r>
          </m:sub>
        </m:sSub>
      </m:oMath>
      <w:r w:rsidRPr="00D800F0">
        <w:rPr>
          <w:rFonts w:ascii="Arial" w:hAnsi="Arial" w:cs="Arial"/>
        </w:rPr>
        <w:t>) and R&amp;D (</w:t>
      </w:r>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RD</m:t>
            </m:r>
          </m:sub>
        </m:sSub>
      </m:oMath>
      <w:r w:rsidRPr="00D800F0">
        <w:rPr>
          <w:rFonts w:ascii="Arial" w:hAnsi="Arial" w:cs="Arial"/>
        </w:rPr>
        <w:t xml:space="preserve">) costs are dependent on the variable costs. The </w:t>
      </w:r>
      <m:oMath>
        <m:r>
          <m:rPr>
            <m:sty m:val="bi"/>
          </m:rPr>
          <w:rPr>
            <w:rFonts w:ascii="Cambria Math" w:eastAsia="Cambria Math" w:hAnsi="Cambria Math" w:cs="Arial"/>
          </w:rPr>
          <m:t>MDOPE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r w:rsidRPr="00D800F0">
        <w:rPr>
          <w:rFonts w:ascii="Arial" w:hAnsi="Arial" w:cs="Arial"/>
        </w:rPr>
        <w:t xml:space="preserve"> can be defined as:</w:t>
      </w:r>
    </w:p>
    <w:tbl>
      <w:tblPr>
        <w:tblW w:w="9360" w:type="dxa"/>
        <w:tblLayout w:type="fixed"/>
        <w:tblLook w:val="0600" w:firstRow="0" w:lastRow="0" w:firstColumn="0" w:lastColumn="0" w:noHBand="1" w:noVBand="1"/>
      </w:tblPr>
      <w:tblGrid>
        <w:gridCol w:w="8505"/>
        <w:gridCol w:w="855"/>
      </w:tblGrid>
      <w:tr w:rsidR="00DA7E40" w:rsidRPr="00D800F0" w14:paraId="3D3CE578" w14:textId="77777777" w:rsidTr="0000614D">
        <w:trPr>
          <w:cantSplit/>
          <w:trHeight w:val="222"/>
        </w:trPr>
        <w:tc>
          <w:tcPr>
            <w:tcW w:w="8505" w:type="dxa"/>
            <w:shd w:val="clear" w:color="auto" w:fill="auto"/>
            <w:tcMar>
              <w:top w:w="100" w:type="dxa"/>
              <w:left w:w="100" w:type="dxa"/>
              <w:bottom w:w="100" w:type="dxa"/>
              <w:right w:w="100" w:type="dxa"/>
            </w:tcMar>
            <w:vAlign w:val="center"/>
          </w:tcPr>
          <w:p w14:paraId="49614586"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w:lastRenderedPageBreak/>
                  <m:t>MDOPE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r>
                  <m:rPr>
                    <m:sty m:val="bi"/>
                  </m:rPr>
                  <w:rPr>
                    <w:rFonts w:ascii="Cambria Math" w:eastAsia="Cambria Math" w:hAnsi="Cambria Math" w:cs="Arial"/>
                  </w:rPr>
                  <m:t>(T)=</m:t>
                </m:r>
                <m:sSub>
                  <m:sSubPr>
                    <m:ctrlPr>
                      <w:rPr>
                        <w:rFonts w:ascii="Cambria Math" w:eastAsia="Cambria Math" w:hAnsi="Cambria Math" w:cs="Arial"/>
                        <w:b/>
                        <w:bCs/>
                      </w:rPr>
                    </m:ctrlPr>
                  </m:sSubPr>
                  <m:e>
                    <m:r>
                      <m:rPr>
                        <m:sty m:val="bi"/>
                      </m:rPr>
                      <w:rPr>
                        <w:rFonts w:ascii="Cambria Math" w:eastAsia="Cambria Math" w:hAnsi="Cambria Math" w:cs="Arial"/>
                      </w:rPr>
                      <m:t>M</m:t>
                    </m:r>
                  </m:e>
                  <m:sub>
                    <m:r>
                      <m:rPr>
                        <m:sty m:val="bi"/>
                      </m:rPr>
                      <w:rPr>
                        <w:rFonts w:ascii="Cambria Math" w:eastAsia="Cambria Math" w:hAnsi="Cambria Math" w:cs="Arial"/>
                      </w:rPr>
                      <m:t>NG</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NG</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M</m:t>
                    </m:r>
                  </m:e>
                  <m:sub>
                    <m:r>
                      <m:rPr>
                        <m:sty m:val="bi"/>
                      </m:rPr>
                      <w:rPr>
                        <w:rFonts w:ascii="Cambria Math" w:eastAsia="Cambria Math" w:hAnsi="Cambria Math" w:cs="Arial"/>
                      </w:rPr>
                      <m:t>EL</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EL</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+MIOPE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r>
                  <m:rPr>
                    <m:sty m:val="bi"/>
                  </m:rPr>
                  <w:rPr>
                    <w:rFonts w:ascii="Cambria Math" w:eastAsia="Cambria Math" w:hAnsi="Cambria Math" w:cs="Arial"/>
                  </w:rPr>
                  <m:t>+</m:t>
                </m:r>
                <m:d>
                  <m:dPr>
                    <m:ctrlPr>
                      <w:rPr>
                        <w:rFonts w:ascii="Cambria Math" w:eastAsia="Cambria Math" w:hAnsi="Cambria Math" w:cs="Arial"/>
                        <w:b/>
                        <w:bCs/>
                      </w:rPr>
                    </m:ctrlPr>
                  </m:dPr>
                  <m:e>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DM</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DM</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RD</m:t>
                        </m:r>
                      </m:sub>
                    </m:sSub>
                  </m:e>
                </m:d>
              </m:oMath>
            </m:oMathPara>
          </w:p>
          <w:p w14:paraId="33B4F88D" w14:textId="77777777" w:rsidR="00DA7E40" w:rsidRPr="00D800F0" w:rsidRDefault="00000000" w:rsidP="0000614D">
            <w:pPr>
              <w:jc w:val="center"/>
              <w:rPr>
                <w:rFonts w:ascii="Arial" w:eastAsia="Cambria Math" w:hAnsi="Arial" w:cs="Arial"/>
              </w:rPr>
            </w:pPr>
            <m:oMathPara>
              <m:oMath>
                <m:d>
                  <m:dPr>
                    <m:ctrlPr>
                      <w:rPr>
                        <w:rFonts w:ascii="Cambria Math" w:eastAsia="Cambria Math" w:hAnsi="Cambria Math" w:cs="Arial"/>
                        <w:b/>
                        <w:bCs/>
                      </w:rPr>
                    </m:ctrlPr>
                  </m:dPr>
                  <m:e>
                    <m:sSub>
                      <m:sSubPr>
                        <m:ctrlPr>
                          <w:rPr>
                            <w:rFonts w:ascii="Cambria Math" w:eastAsia="Cambria Math" w:hAnsi="Cambria Math" w:cs="Arial"/>
                            <w:b/>
                            <w:bCs/>
                          </w:rPr>
                        </m:ctrlPr>
                      </m:sSubPr>
                      <m:e>
                        <m:r>
                          <m:rPr>
                            <m:sty m:val="bi"/>
                          </m:rPr>
                          <w:rPr>
                            <w:rFonts w:ascii="Cambria Math" w:eastAsia="Cambria Math" w:hAnsi="Cambria Math" w:cs="Arial"/>
                          </w:rPr>
                          <m:t>M</m:t>
                        </m:r>
                      </m:e>
                      <m:sub>
                        <m:r>
                          <m:rPr>
                            <m:sty m:val="bi"/>
                          </m:rPr>
                          <w:rPr>
                            <w:rFonts w:ascii="Cambria Math" w:eastAsia="Cambria Math" w:hAnsi="Cambria Math" w:cs="Arial"/>
                          </w:rPr>
                          <m:t>NG</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NG</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M</m:t>
                        </m:r>
                      </m:e>
                      <m:sub>
                        <m:r>
                          <m:rPr>
                            <m:sty m:val="bi"/>
                          </m:rPr>
                          <w:rPr>
                            <w:rFonts w:ascii="Cambria Math" w:eastAsia="Cambria Math" w:hAnsi="Cambria Math" w:cs="Arial"/>
                          </w:rPr>
                          <m:t>EL</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EL</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+MIOPE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e>
                </m:d>
              </m:oMath>
            </m:oMathPara>
          </w:p>
        </w:tc>
        <w:tc>
          <w:tcPr>
            <w:tcW w:w="855" w:type="dxa"/>
            <w:shd w:val="clear" w:color="auto" w:fill="auto"/>
            <w:tcMar>
              <w:top w:w="100" w:type="dxa"/>
              <w:left w:w="100" w:type="dxa"/>
              <w:bottom w:w="100" w:type="dxa"/>
              <w:right w:w="100" w:type="dxa"/>
            </w:tcMar>
            <w:vAlign w:val="center"/>
          </w:tcPr>
          <w:p w14:paraId="40B00F04" w14:textId="77777777" w:rsidR="00DA7E40" w:rsidRPr="00D800F0" w:rsidRDefault="00DA7E40" w:rsidP="0000614D">
            <w:pPr>
              <w:widowControl w:val="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21</w:t>
            </w:r>
            <w:r w:rsidRPr="00D800F0">
              <w:rPr>
                <w:rFonts w:ascii="Arial" w:hAnsi="Arial" w:cs="Arial"/>
                <w:noProof/>
              </w:rPr>
              <w:fldChar w:fldCharType="end"/>
            </w:r>
            <w:r w:rsidRPr="00D800F0">
              <w:rPr>
                <w:rFonts w:ascii="Arial" w:hAnsi="Arial" w:cs="Arial"/>
              </w:rPr>
              <w:t>)</w:t>
            </w:r>
          </w:p>
        </w:tc>
      </w:tr>
    </w:tbl>
    <w:p w14:paraId="643BFE57" w14:textId="09B51F1C" w:rsidR="00DA7E40" w:rsidRPr="00D800F0" w:rsidRDefault="00DA7E40" w:rsidP="00DA7E40">
      <w:pPr>
        <w:rPr>
          <w:rFonts w:ascii="Arial" w:hAnsi="Arial" w:cs="Arial"/>
          <w:bCs/>
        </w:rPr>
      </w:pPr>
      <w:r w:rsidRPr="00D800F0">
        <w:rPr>
          <w:rFonts w:ascii="Arial" w:hAnsi="Arial" w:cs="Arial"/>
        </w:rPr>
        <w:t xml:space="preserve">where </w:t>
      </w:r>
      <m:oMath>
        <m:sSub>
          <m:sSubPr>
            <m:ctrlPr>
              <w:rPr>
                <w:rFonts w:ascii="Cambria Math" w:eastAsia="Cambria Math" w:hAnsi="Cambria Math" w:cs="Arial"/>
                <w:b/>
                <w:bCs/>
                <w:sz w:val="24"/>
                <w:szCs w:val="24"/>
              </w:rPr>
            </m:ctrlPr>
          </m:sSubPr>
          <m:e>
            <m:r>
              <m:rPr>
                <m:sty m:val="bi"/>
              </m:rPr>
              <w:rPr>
                <w:rFonts w:ascii="Cambria Math" w:eastAsia="Cambria Math" w:hAnsi="Cambria Math" w:cs="Arial"/>
                <w:sz w:val="24"/>
                <w:szCs w:val="24"/>
              </w:rPr>
              <m:t>M</m:t>
            </m:r>
          </m:e>
          <m:sub>
            <m:r>
              <m:rPr>
                <m:sty m:val="bi"/>
              </m:rPr>
              <w:rPr>
                <w:rFonts w:ascii="Cambria Math" w:eastAsia="Cambria Math" w:hAnsi="Cambria Math" w:cs="Arial"/>
                <w:sz w:val="24"/>
                <w:szCs w:val="24"/>
              </w:rPr>
              <m:t>NG</m:t>
            </m:r>
          </m:sub>
        </m:sSub>
      </m:oMath>
      <w:r w:rsidRPr="00D800F0">
        <w:rPr>
          <w:rFonts w:ascii="Arial" w:hAnsi="Arial" w:cs="Arial"/>
        </w:rPr>
        <w:t xml:space="preserve"> is the energy flowrate of natural gas in mmBTU/year, and </w:t>
      </w:r>
      <m:oMath>
        <m:sSub>
          <m:sSubPr>
            <m:ctrlPr>
              <w:rPr>
                <w:rFonts w:ascii="Cambria Math" w:eastAsia="Cambria Math" w:hAnsi="Cambria Math" w:cs="Arial"/>
                <w:b/>
                <w:bCs/>
                <w:sz w:val="24"/>
                <w:szCs w:val="24"/>
              </w:rPr>
            </m:ctrlPr>
          </m:sSubPr>
          <m:e>
            <m:r>
              <m:rPr>
                <m:sty m:val="bi"/>
              </m:rPr>
              <w:rPr>
                <w:rFonts w:ascii="Cambria Math" w:eastAsia="Cambria Math" w:hAnsi="Cambria Math" w:cs="Arial"/>
                <w:sz w:val="24"/>
                <w:szCs w:val="24"/>
              </w:rPr>
              <m:t>M</m:t>
            </m:r>
          </m:e>
          <m:sub>
            <m:r>
              <m:rPr>
                <m:sty m:val="bi"/>
              </m:rPr>
              <w:rPr>
                <w:rFonts w:ascii="Cambria Math" w:eastAsia="Cambria Math" w:hAnsi="Cambria Math" w:cs="Arial"/>
                <w:sz w:val="24"/>
                <w:szCs w:val="24"/>
              </w:rPr>
              <m:t>EL</m:t>
            </m:r>
          </m:sub>
        </m:sSub>
      </m:oMath>
      <w:r w:rsidRPr="00D800F0">
        <w:rPr>
          <w:rFonts w:ascii="Arial" w:hAnsi="Arial" w:cs="Arial"/>
        </w:rPr>
        <w:t xml:space="preserve"> is the electricity demand in kWh/year. The term, </w:t>
      </w:r>
      <m:oMath>
        <m:sSub>
          <m:sSubPr>
            <m:ctrlPr>
              <w:rPr>
                <w:rFonts w:ascii="Cambria Math" w:eastAsia="Cambria Math" w:hAnsi="Cambria Math" w:cs="Arial"/>
                <w:b/>
                <w:bCs/>
                <w:sz w:val="24"/>
                <w:szCs w:val="24"/>
              </w:rPr>
            </m:ctrlPr>
          </m:sSubPr>
          <m:e>
            <m:r>
              <m:rPr>
                <m:sty m:val="bi"/>
              </m:rPr>
              <w:rPr>
                <w:rFonts w:ascii="Cambria Math" w:eastAsia="Cambria Math" w:hAnsi="Cambria Math" w:cs="Arial"/>
                <w:sz w:val="24"/>
                <w:szCs w:val="24"/>
              </w:rPr>
              <m:t>M</m:t>
            </m:r>
          </m:e>
          <m:sub>
            <m:r>
              <m:rPr>
                <m:sty m:val="bi"/>
              </m:rPr>
              <w:rPr>
                <w:rFonts w:ascii="Cambria Math" w:eastAsia="Cambria Math" w:hAnsi="Cambria Math" w:cs="Arial"/>
                <w:sz w:val="24"/>
                <w:szCs w:val="24"/>
              </w:rPr>
              <m:t>NG</m:t>
            </m:r>
          </m:sub>
        </m:sSub>
        <m:r>
          <m:rPr>
            <m:sty m:val="bi"/>
          </m:rPr>
          <w:rPr>
            <w:rFonts w:ascii="Cambria Math" w:eastAsia="Cambria Math" w:hAnsi="Cambria Math" w:cs="Arial"/>
            <w:sz w:val="24"/>
            <w:szCs w:val="24"/>
          </w:rPr>
          <m:t>*</m:t>
        </m:r>
        <m:sSub>
          <m:sSubPr>
            <m:ctrlPr>
              <w:rPr>
                <w:rFonts w:ascii="Cambria Math" w:eastAsia="Cambria Math" w:hAnsi="Cambria Math" w:cs="Arial"/>
                <w:b/>
                <w:bCs/>
                <w:sz w:val="24"/>
                <w:szCs w:val="24"/>
              </w:rPr>
            </m:ctrlPr>
          </m:sSubPr>
          <m:e>
            <m:r>
              <m:rPr>
                <m:sty m:val="bi"/>
              </m:rPr>
              <w:rPr>
                <w:rFonts w:ascii="Cambria Math" w:eastAsia="Cambria Math" w:hAnsi="Cambria Math" w:cs="Arial"/>
                <w:sz w:val="24"/>
                <w:szCs w:val="24"/>
              </w:rPr>
              <m:t>P</m:t>
            </m:r>
          </m:e>
          <m:sub>
            <m:r>
              <m:rPr>
                <m:sty m:val="bi"/>
              </m:rPr>
              <w:rPr>
                <w:rFonts w:ascii="Cambria Math" w:eastAsia="Cambria Math" w:hAnsi="Cambria Math" w:cs="Arial"/>
                <w:sz w:val="24"/>
                <w:szCs w:val="24"/>
              </w:rPr>
              <m:t>NG</m:t>
            </m:r>
          </m:sub>
        </m:sSub>
        <m:d>
          <m:dPr>
            <m:ctrlPr>
              <w:rPr>
                <w:rFonts w:ascii="Cambria Math" w:eastAsia="Cambria Math" w:hAnsi="Cambria Math" w:cs="Arial"/>
                <w:b/>
                <w:bCs/>
                <w:sz w:val="24"/>
                <w:szCs w:val="24"/>
              </w:rPr>
            </m:ctrlPr>
          </m:dPr>
          <m:e>
            <m:r>
              <m:rPr>
                <m:sty m:val="bi"/>
              </m:rPr>
              <w:rPr>
                <w:rFonts w:ascii="Cambria Math" w:eastAsia="Cambria Math" w:hAnsi="Cambria Math" w:cs="Arial"/>
                <w:sz w:val="24"/>
                <w:szCs w:val="24"/>
              </w:rPr>
              <m:t>T</m:t>
            </m:r>
          </m:e>
        </m:d>
        <m:r>
          <m:rPr>
            <m:sty m:val="bi"/>
          </m:rPr>
          <w:rPr>
            <w:rFonts w:ascii="Cambria Math" w:eastAsia="Cambria Math" w:hAnsi="Cambria Math" w:cs="Arial"/>
            <w:sz w:val="24"/>
            <w:szCs w:val="24"/>
          </w:rPr>
          <m:t>+</m:t>
        </m:r>
        <m:sSub>
          <m:sSubPr>
            <m:ctrlPr>
              <w:rPr>
                <w:rFonts w:ascii="Cambria Math" w:eastAsia="Cambria Math" w:hAnsi="Cambria Math" w:cs="Arial"/>
                <w:b/>
                <w:bCs/>
                <w:sz w:val="24"/>
                <w:szCs w:val="24"/>
              </w:rPr>
            </m:ctrlPr>
          </m:sSubPr>
          <m:e>
            <m:r>
              <m:rPr>
                <m:sty m:val="bi"/>
              </m:rPr>
              <w:rPr>
                <w:rFonts w:ascii="Cambria Math" w:eastAsia="Cambria Math" w:hAnsi="Cambria Math" w:cs="Arial"/>
                <w:sz w:val="24"/>
                <w:szCs w:val="24"/>
              </w:rPr>
              <m:t>M</m:t>
            </m:r>
          </m:e>
          <m:sub>
            <m:r>
              <m:rPr>
                <m:sty m:val="bi"/>
              </m:rPr>
              <w:rPr>
                <w:rFonts w:ascii="Cambria Math" w:eastAsia="Cambria Math" w:hAnsi="Cambria Math" w:cs="Arial"/>
                <w:sz w:val="24"/>
                <w:szCs w:val="24"/>
              </w:rPr>
              <m:t>EL</m:t>
            </m:r>
          </m:sub>
        </m:sSub>
        <m:r>
          <m:rPr>
            <m:sty m:val="bi"/>
          </m:rPr>
          <w:rPr>
            <w:rFonts w:ascii="Cambria Math" w:eastAsia="Cambria Math" w:hAnsi="Cambria Math" w:cs="Arial"/>
            <w:sz w:val="24"/>
            <w:szCs w:val="24"/>
          </w:rPr>
          <m:t>*</m:t>
        </m:r>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EL</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sz w:val="24"/>
            <w:szCs w:val="24"/>
          </w:rPr>
          <m:t>+MIOPE</m:t>
        </m:r>
        <m:sSub>
          <m:sSubPr>
            <m:ctrlPr>
              <w:rPr>
                <w:rFonts w:ascii="Cambria Math" w:eastAsia="Cambria Math" w:hAnsi="Cambria Math" w:cs="Arial"/>
                <w:b/>
                <w:bCs/>
                <w:sz w:val="24"/>
                <w:szCs w:val="24"/>
              </w:rPr>
            </m:ctrlPr>
          </m:sSubPr>
          <m:e>
            <m:r>
              <m:rPr>
                <m:sty m:val="bi"/>
              </m:rPr>
              <w:rPr>
                <w:rFonts w:ascii="Cambria Math" w:eastAsia="Cambria Math" w:hAnsi="Cambria Math" w:cs="Arial"/>
                <w:sz w:val="24"/>
                <w:szCs w:val="24"/>
              </w:rPr>
              <m:t>X</m:t>
            </m:r>
          </m:e>
          <m:sub>
            <m:r>
              <m:rPr>
                <m:sty m:val="bi"/>
              </m:rPr>
              <w:rPr>
                <w:rFonts w:ascii="Cambria Math" w:eastAsia="Cambria Math" w:hAnsi="Cambria Math" w:cs="Arial"/>
                <w:sz w:val="24"/>
                <w:szCs w:val="24"/>
              </w:rPr>
              <m:t>z</m:t>
            </m:r>
          </m:sub>
        </m:sSub>
      </m:oMath>
      <w:r w:rsidRPr="00D800F0">
        <w:rPr>
          <w:rFonts w:ascii="Arial" w:hAnsi="Arial" w:cs="Arial"/>
          <w:sz w:val="24"/>
          <w:szCs w:val="24"/>
        </w:rPr>
        <w:t xml:space="preserve">, </w:t>
      </w:r>
      <w:r w:rsidRPr="00D800F0">
        <w:rPr>
          <w:rFonts w:ascii="Arial" w:hAnsi="Arial" w:cs="Arial"/>
        </w:rPr>
        <w:t>is the manufacturing cost. If</w:t>
      </w:r>
      <w:r w:rsidRPr="00D800F0">
        <w:rPr>
          <w:rFonts w:ascii="Arial" w:hAnsi="Arial" w:cs="Arial"/>
          <w:b/>
          <w:bCs/>
        </w:rPr>
        <w:t xml:space="preserve"> </w:t>
      </w:r>
      <w:r w:rsidRPr="00D800F0">
        <w:rPr>
          <w:rFonts w:ascii="Arial" w:hAnsi="Arial" w:cs="Arial"/>
        </w:rPr>
        <w:t>it</w:t>
      </w:r>
      <w:r w:rsidRPr="00D800F0">
        <w:rPr>
          <w:rFonts w:ascii="Arial" w:hAnsi="Arial" w:cs="Arial"/>
          <w:b/>
          <w:bCs/>
        </w:rPr>
        <w:t xml:space="preserve"> </w:t>
      </w:r>
      <w:r w:rsidRPr="00D800F0">
        <w:rPr>
          <w:rFonts w:ascii="Arial" w:hAnsi="Arial" w:cs="Arial"/>
        </w:rPr>
        <w:t xml:space="preserve">is the year when operations start, then start-up costs are added to the </w:t>
      </w:r>
      <m:oMath>
        <m:r>
          <m:rPr>
            <m:sty m:val="bi"/>
          </m:rPr>
          <w:rPr>
            <w:rFonts w:ascii="Cambria Math" w:eastAsia="Cambria Math" w:hAnsi="Cambria Math" w:cs="Arial"/>
          </w:rPr>
          <m:t>MDOPE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r>
          <m:rPr>
            <m:sty m:val="bi"/>
          </m:rPr>
          <w:rPr>
            <w:rFonts w:ascii="Cambria Math" w:eastAsia="Cambria Math" w:hAnsi="Cambria Math" w:cs="Arial"/>
          </w:rPr>
          <m:t>(T)</m:t>
        </m:r>
      </m:oMath>
      <w:r w:rsidRPr="00D800F0">
        <w:rPr>
          <w:rFonts w:ascii="Arial" w:hAnsi="Arial" w:cs="Arial"/>
        </w:rPr>
        <w:t xml:space="preserve"> (see </w:t>
      </w:r>
      <w:r w:rsidRPr="00D800F0">
        <w:rPr>
          <w:rFonts w:ascii="Arial" w:hAnsi="Arial" w:cs="Arial"/>
        </w:rPr>
        <w:fldChar w:fldCharType="begin"/>
      </w:r>
      <w:r w:rsidRPr="00D800F0">
        <w:rPr>
          <w:rFonts w:ascii="Arial" w:hAnsi="Arial" w:cs="Arial"/>
        </w:rPr>
        <w:instrText xml:space="preserve"> REF _Ref146926769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Table </w:t>
      </w:r>
      <w:r w:rsidRPr="00D800F0">
        <w:rPr>
          <w:rFonts w:ascii="Arial" w:hAnsi="Arial" w:cs="Arial"/>
          <w:noProof/>
        </w:rPr>
        <w:t>B</w:t>
      </w:r>
      <w:r w:rsidRPr="00D800F0">
        <w:rPr>
          <w:rFonts w:ascii="Arial" w:hAnsi="Arial" w:cs="Arial"/>
        </w:rPr>
        <w:noBreakHyphen/>
      </w:r>
      <w:r w:rsidRPr="00D800F0">
        <w:rPr>
          <w:rFonts w:ascii="Arial" w:hAnsi="Arial" w:cs="Arial"/>
          <w:noProof/>
        </w:rPr>
        <w:t>7</w:t>
      </w:r>
      <w:r w:rsidRPr="00D800F0">
        <w:rPr>
          <w:rFonts w:ascii="Arial" w:hAnsi="Arial" w:cs="Arial"/>
        </w:rPr>
        <w:fldChar w:fldCharType="end"/>
      </w:r>
      <w:r w:rsidRPr="00D800F0">
        <w:rPr>
          <w:rFonts w:ascii="Arial" w:hAnsi="Arial" w:cs="Arial"/>
        </w:rPr>
        <w:t xml:space="preserve">). More details on </w:t>
      </w:r>
      <m:oMath>
        <m:r>
          <m:rPr>
            <m:sty m:val="bi"/>
          </m:rPr>
          <w:rPr>
            <w:rFonts w:ascii="Cambria Math" w:eastAsia="Cambria Math" w:hAnsi="Cambria Math" w:cs="Arial"/>
          </w:rPr>
          <m:t>T</m:t>
        </m:r>
      </m:oMath>
      <w:r w:rsidRPr="00D800F0">
        <w:rPr>
          <w:rFonts w:ascii="Arial" w:hAnsi="Arial" w:cs="Arial"/>
          <w:b/>
        </w:rPr>
        <w:t xml:space="preserve"> </w:t>
      </w:r>
      <w:r w:rsidRPr="00D800F0">
        <w:rPr>
          <w:rFonts w:ascii="Arial" w:hAnsi="Arial" w:cs="Arial"/>
          <w:bCs/>
        </w:rPr>
        <w:t xml:space="preserve">and financial analysis in Section C. </w:t>
      </w:r>
    </w:p>
    <w:p w14:paraId="6C992FF6" w14:textId="77777777" w:rsidR="00DA7E40" w:rsidRPr="00D800F0" w:rsidRDefault="00DA7E40" w:rsidP="006864F3">
      <w:pPr>
        <w:pStyle w:val="Heading4"/>
        <w:rPr>
          <w:rFonts w:ascii="Arial" w:hAnsi="Arial" w:cs="Arial"/>
        </w:rPr>
      </w:pPr>
      <w:r w:rsidRPr="00D800F0">
        <w:rPr>
          <w:rFonts w:ascii="Arial" w:hAnsi="Arial" w:cs="Arial"/>
        </w:rPr>
        <w:t>Inputs for OPEX</w:t>
      </w:r>
    </w:p>
    <w:p w14:paraId="4BD1E0D6"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5</w:t>
      </w:r>
      <w:r w:rsidRPr="00D800F0">
        <w:rPr>
          <w:rFonts w:ascii="Arial" w:hAnsi="Arial" w:cs="Arial"/>
          <w:noProof/>
        </w:rPr>
        <w:fldChar w:fldCharType="end"/>
      </w:r>
      <w:r w:rsidRPr="00D800F0">
        <w:rPr>
          <w:rFonts w:ascii="Arial" w:hAnsi="Arial" w:cs="Arial"/>
        </w:rPr>
        <w:t>: Number of processing steps by technology.</w:t>
      </w: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85"/>
        <w:gridCol w:w="2537"/>
        <w:gridCol w:w="1936"/>
        <w:gridCol w:w="1802"/>
      </w:tblGrid>
      <w:tr w:rsidR="00DA7E40" w:rsidRPr="00D800F0" w14:paraId="735CD92F" w14:textId="77777777" w:rsidTr="0000614D">
        <w:trPr>
          <w:cantSplit/>
          <w:trHeight w:val="405"/>
        </w:trPr>
        <w:tc>
          <w:tcPr>
            <w:tcW w:w="3085" w:type="dxa"/>
            <w:tcBorders>
              <w:top w:val="single" w:sz="8" w:space="0" w:color="666666"/>
              <w:left w:val="single" w:sz="8" w:space="0" w:color="F7F7F8"/>
              <w:bottom w:val="single" w:sz="4" w:space="0" w:color="auto"/>
              <w:right w:val="single" w:sz="8" w:space="0" w:color="F7F7F8"/>
            </w:tcBorders>
            <w:tcMar>
              <w:top w:w="0" w:type="dxa"/>
              <w:left w:w="100" w:type="dxa"/>
              <w:bottom w:w="0" w:type="dxa"/>
              <w:right w:w="100" w:type="dxa"/>
            </w:tcMar>
          </w:tcPr>
          <w:p w14:paraId="4DAB3DF2"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2537" w:type="dxa"/>
            <w:tcBorders>
              <w:top w:val="single" w:sz="8" w:space="0" w:color="666666"/>
              <w:left w:val="single" w:sz="8" w:space="0" w:color="F7F7F8"/>
              <w:bottom w:val="single" w:sz="4" w:space="0" w:color="auto"/>
              <w:right w:val="single" w:sz="8" w:space="0" w:color="F7F7F8"/>
            </w:tcBorders>
            <w:tcMar>
              <w:top w:w="0" w:type="dxa"/>
              <w:left w:w="100" w:type="dxa"/>
              <w:bottom w:w="0" w:type="dxa"/>
              <w:right w:w="100" w:type="dxa"/>
            </w:tcMar>
          </w:tcPr>
          <w:p w14:paraId="3D743C57" w14:textId="77777777" w:rsidR="00DA7E40" w:rsidRPr="00D800F0" w:rsidRDefault="00DA7E40" w:rsidP="0000614D">
            <w:pPr>
              <w:spacing w:line="256" w:lineRule="auto"/>
              <w:jc w:val="center"/>
              <w:rPr>
                <w:rFonts w:ascii="Arial" w:hAnsi="Arial" w:cs="Arial"/>
                <w:b/>
              </w:rPr>
            </w:pPr>
            <w:r w:rsidRPr="00D800F0">
              <w:rPr>
                <w:rFonts w:ascii="Arial" w:hAnsi="Arial" w:cs="Arial"/>
                <w:b/>
              </w:rPr>
              <w:t>Value</w:t>
            </w:r>
          </w:p>
        </w:tc>
        <w:tc>
          <w:tcPr>
            <w:tcW w:w="1936" w:type="dxa"/>
            <w:tcBorders>
              <w:top w:val="single" w:sz="8" w:space="0" w:color="666666"/>
              <w:left w:val="single" w:sz="8" w:space="0" w:color="F7F7F8"/>
              <w:bottom w:val="single" w:sz="4" w:space="0" w:color="auto"/>
              <w:right w:val="single" w:sz="8" w:space="0" w:color="F7F7F8"/>
            </w:tcBorders>
            <w:tcMar>
              <w:top w:w="0" w:type="dxa"/>
              <w:left w:w="100" w:type="dxa"/>
              <w:bottom w:w="0" w:type="dxa"/>
              <w:right w:w="100" w:type="dxa"/>
            </w:tcMar>
          </w:tcPr>
          <w:p w14:paraId="2F3B9DC3"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1802" w:type="dxa"/>
            <w:tcBorders>
              <w:top w:val="single" w:sz="8" w:space="0" w:color="666666"/>
              <w:left w:val="single" w:sz="8" w:space="0" w:color="F7F7F8"/>
              <w:bottom w:val="single" w:sz="4" w:space="0" w:color="auto"/>
              <w:right w:val="single" w:sz="8" w:space="0" w:color="F7F7F8"/>
            </w:tcBorders>
            <w:tcMar>
              <w:top w:w="0" w:type="dxa"/>
              <w:left w:w="100" w:type="dxa"/>
              <w:bottom w:w="0" w:type="dxa"/>
              <w:right w:w="100" w:type="dxa"/>
            </w:tcMar>
          </w:tcPr>
          <w:p w14:paraId="1D20189C"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tr w:rsidR="00DA7E40" w:rsidRPr="00D800F0" w14:paraId="6D8C15A5" w14:textId="77777777" w:rsidTr="0000614D">
        <w:trPr>
          <w:cantSplit/>
          <w:trHeight w:val="44"/>
        </w:trPr>
        <w:tc>
          <w:tcPr>
            <w:tcW w:w="3085" w:type="dxa"/>
            <w:tcBorders>
              <w:top w:val="single" w:sz="4" w:space="0" w:color="auto"/>
              <w:left w:val="nil"/>
              <w:bottom w:val="nil"/>
              <w:right w:val="nil"/>
            </w:tcBorders>
            <w:tcMar>
              <w:top w:w="0" w:type="dxa"/>
              <w:left w:w="100" w:type="dxa"/>
              <w:bottom w:w="0" w:type="dxa"/>
              <w:right w:w="100" w:type="dxa"/>
            </w:tcMar>
          </w:tcPr>
          <w:p w14:paraId="4C04C8F9" w14:textId="77777777" w:rsidR="00DA7E40" w:rsidRPr="00D800F0" w:rsidRDefault="00DA7E40" w:rsidP="0000614D">
            <w:pPr>
              <w:spacing w:line="256" w:lineRule="auto"/>
              <w:jc w:val="center"/>
              <w:rPr>
                <w:rFonts w:ascii="Arial" w:hAnsi="Arial" w:cs="Arial"/>
              </w:rPr>
            </w:pPr>
            <w:r w:rsidRPr="00D800F0">
              <w:rPr>
                <w:rFonts w:ascii="Arial" w:hAnsi="Arial" w:cs="Arial"/>
              </w:rPr>
              <w:t>AP SMR</w:t>
            </w:r>
          </w:p>
        </w:tc>
        <w:tc>
          <w:tcPr>
            <w:tcW w:w="2537" w:type="dxa"/>
            <w:tcBorders>
              <w:top w:val="single" w:sz="4" w:space="0" w:color="auto"/>
              <w:left w:val="nil"/>
              <w:bottom w:val="nil"/>
              <w:right w:val="nil"/>
            </w:tcBorders>
            <w:tcMar>
              <w:top w:w="0" w:type="dxa"/>
              <w:left w:w="100" w:type="dxa"/>
              <w:bottom w:w="0" w:type="dxa"/>
              <w:right w:w="100" w:type="dxa"/>
            </w:tcMar>
          </w:tcPr>
          <w:p w14:paraId="6E9EDDAF" w14:textId="77777777" w:rsidR="00DA7E40" w:rsidRPr="00D800F0" w:rsidRDefault="00DA7E40" w:rsidP="0000614D">
            <w:pPr>
              <w:spacing w:line="256" w:lineRule="auto"/>
              <w:jc w:val="center"/>
              <w:rPr>
                <w:rFonts w:ascii="Arial" w:hAnsi="Arial" w:cs="Arial"/>
              </w:rPr>
            </w:pPr>
            <w:r w:rsidRPr="00D800F0">
              <w:rPr>
                <w:rFonts w:ascii="Arial" w:hAnsi="Arial" w:cs="Arial"/>
              </w:rPr>
              <w:t>30</w:t>
            </w:r>
          </w:p>
        </w:tc>
        <w:tc>
          <w:tcPr>
            <w:tcW w:w="1936" w:type="dxa"/>
            <w:tcBorders>
              <w:top w:val="single" w:sz="4" w:space="0" w:color="auto"/>
              <w:left w:val="nil"/>
              <w:bottom w:val="nil"/>
              <w:right w:val="nil"/>
            </w:tcBorders>
            <w:tcMar>
              <w:top w:w="0" w:type="dxa"/>
              <w:left w:w="100" w:type="dxa"/>
              <w:bottom w:w="0" w:type="dxa"/>
              <w:right w:w="100" w:type="dxa"/>
            </w:tcMar>
          </w:tcPr>
          <w:p w14:paraId="5FAB6B9F"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1802" w:type="dxa"/>
            <w:tcBorders>
              <w:top w:val="single" w:sz="4" w:space="0" w:color="auto"/>
              <w:left w:val="nil"/>
              <w:bottom w:val="nil"/>
              <w:right w:val="nil"/>
            </w:tcBorders>
            <w:tcMar>
              <w:top w:w="0" w:type="dxa"/>
              <w:left w:w="100" w:type="dxa"/>
              <w:bottom w:w="0" w:type="dxa"/>
              <w:right w:w="100" w:type="dxa"/>
            </w:tcMar>
          </w:tcPr>
          <w:p w14:paraId="4E4CA613"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rPr>
              <w:t>-</w:t>
            </w:r>
          </w:p>
        </w:tc>
      </w:tr>
      <w:tr w:rsidR="00DA7E40" w:rsidRPr="00D800F0" w14:paraId="42676814" w14:textId="77777777" w:rsidTr="0000614D">
        <w:trPr>
          <w:cantSplit/>
          <w:trHeight w:val="44"/>
        </w:trPr>
        <w:tc>
          <w:tcPr>
            <w:tcW w:w="3085" w:type="dxa"/>
            <w:tcBorders>
              <w:top w:val="nil"/>
              <w:left w:val="nil"/>
              <w:bottom w:val="nil"/>
              <w:right w:val="nil"/>
            </w:tcBorders>
            <w:tcMar>
              <w:top w:w="0" w:type="dxa"/>
              <w:left w:w="100" w:type="dxa"/>
              <w:bottom w:w="0" w:type="dxa"/>
              <w:right w:w="100" w:type="dxa"/>
            </w:tcMar>
          </w:tcPr>
          <w:p w14:paraId="3227469D" w14:textId="77777777" w:rsidR="00DA7E40" w:rsidRPr="00D800F0" w:rsidRDefault="00DA7E40" w:rsidP="0000614D">
            <w:pPr>
              <w:spacing w:line="256" w:lineRule="auto"/>
              <w:jc w:val="center"/>
              <w:rPr>
                <w:rFonts w:ascii="Arial" w:hAnsi="Arial" w:cs="Arial"/>
              </w:rPr>
            </w:pPr>
            <w:r w:rsidRPr="00D800F0">
              <w:rPr>
                <w:rFonts w:ascii="Arial" w:hAnsi="Arial" w:cs="Arial"/>
              </w:rPr>
              <w:t>AP CCS</w:t>
            </w:r>
          </w:p>
        </w:tc>
        <w:tc>
          <w:tcPr>
            <w:tcW w:w="2537" w:type="dxa"/>
            <w:tcBorders>
              <w:top w:val="nil"/>
              <w:left w:val="nil"/>
              <w:bottom w:val="nil"/>
              <w:right w:val="nil"/>
            </w:tcBorders>
            <w:tcMar>
              <w:top w:w="0" w:type="dxa"/>
              <w:left w:w="100" w:type="dxa"/>
              <w:bottom w:w="0" w:type="dxa"/>
              <w:right w:w="100" w:type="dxa"/>
            </w:tcMar>
          </w:tcPr>
          <w:p w14:paraId="27CCCFA0" w14:textId="77777777" w:rsidR="00DA7E40" w:rsidRPr="00D800F0" w:rsidRDefault="00DA7E40" w:rsidP="0000614D">
            <w:pPr>
              <w:spacing w:line="256" w:lineRule="auto"/>
              <w:jc w:val="center"/>
              <w:rPr>
                <w:rFonts w:ascii="Arial" w:hAnsi="Arial" w:cs="Arial"/>
              </w:rPr>
            </w:pPr>
            <w:r w:rsidRPr="00D800F0">
              <w:rPr>
                <w:rFonts w:ascii="Arial" w:hAnsi="Arial" w:cs="Arial"/>
              </w:rPr>
              <w:t>33</w:t>
            </w:r>
          </w:p>
        </w:tc>
        <w:tc>
          <w:tcPr>
            <w:tcW w:w="1936" w:type="dxa"/>
            <w:tcBorders>
              <w:top w:val="nil"/>
              <w:left w:val="nil"/>
              <w:bottom w:val="nil"/>
              <w:right w:val="nil"/>
            </w:tcBorders>
            <w:tcMar>
              <w:top w:w="0" w:type="dxa"/>
              <w:left w:w="100" w:type="dxa"/>
              <w:bottom w:w="0" w:type="dxa"/>
              <w:right w:w="100" w:type="dxa"/>
            </w:tcMar>
          </w:tcPr>
          <w:p w14:paraId="7745F7C0"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rPr>
              <w:t>-</w:t>
            </w:r>
          </w:p>
        </w:tc>
        <w:tc>
          <w:tcPr>
            <w:tcW w:w="1802" w:type="dxa"/>
            <w:tcBorders>
              <w:top w:val="nil"/>
              <w:left w:val="nil"/>
              <w:bottom w:val="nil"/>
              <w:right w:val="nil"/>
            </w:tcBorders>
            <w:tcMar>
              <w:top w:w="0" w:type="dxa"/>
              <w:left w:w="100" w:type="dxa"/>
              <w:bottom w:w="0" w:type="dxa"/>
              <w:right w:w="100" w:type="dxa"/>
            </w:tcMar>
          </w:tcPr>
          <w:p w14:paraId="523E7DA8"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rPr>
              <w:t>-</w:t>
            </w:r>
          </w:p>
        </w:tc>
      </w:tr>
      <w:tr w:rsidR="00DA7E40" w:rsidRPr="00D800F0" w14:paraId="0C4D1C30" w14:textId="77777777" w:rsidTr="0000614D">
        <w:trPr>
          <w:cantSplit/>
          <w:trHeight w:val="44"/>
        </w:trPr>
        <w:tc>
          <w:tcPr>
            <w:tcW w:w="3085" w:type="dxa"/>
            <w:tcBorders>
              <w:top w:val="nil"/>
              <w:left w:val="nil"/>
              <w:bottom w:val="nil"/>
              <w:right w:val="nil"/>
            </w:tcBorders>
            <w:tcMar>
              <w:top w:w="0" w:type="dxa"/>
              <w:left w:w="100" w:type="dxa"/>
              <w:bottom w:w="0" w:type="dxa"/>
              <w:right w:w="100" w:type="dxa"/>
            </w:tcMar>
          </w:tcPr>
          <w:p w14:paraId="14109D23" w14:textId="77777777" w:rsidR="00DA7E40" w:rsidRPr="00D800F0" w:rsidRDefault="00DA7E40" w:rsidP="0000614D">
            <w:pPr>
              <w:spacing w:line="256" w:lineRule="auto"/>
              <w:jc w:val="center"/>
              <w:rPr>
                <w:rFonts w:ascii="Arial" w:hAnsi="Arial" w:cs="Arial"/>
              </w:rPr>
            </w:pPr>
            <w:r w:rsidRPr="00D800F0">
              <w:rPr>
                <w:rFonts w:ascii="Arial" w:hAnsi="Arial" w:cs="Arial"/>
              </w:rPr>
              <w:t>AP BH2S</w:t>
            </w:r>
          </w:p>
        </w:tc>
        <w:tc>
          <w:tcPr>
            <w:tcW w:w="2537" w:type="dxa"/>
            <w:tcBorders>
              <w:top w:val="nil"/>
              <w:left w:val="nil"/>
              <w:bottom w:val="nil"/>
              <w:right w:val="nil"/>
            </w:tcBorders>
            <w:tcMar>
              <w:top w:w="0" w:type="dxa"/>
              <w:left w:w="100" w:type="dxa"/>
              <w:bottom w:w="0" w:type="dxa"/>
              <w:right w:w="100" w:type="dxa"/>
            </w:tcMar>
          </w:tcPr>
          <w:p w14:paraId="5C690155" w14:textId="77777777" w:rsidR="00DA7E40" w:rsidRPr="00D800F0" w:rsidRDefault="00DA7E40" w:rsidP="0000614D">
            <w:pPr>
              <w:spacing w:line="256" w:lineRule="auto"/>
              <w:jc w:val="center"/>
              <w:rPr>
                <w:rFonts w:ascii="Arial" w:hAnsi="Arial" w:cs="Arial"/>
              </w:rPr>
            </w:pPr>
            <w:r w:rsidRPr="00D800F0">
              <w:rPr>
                <w:rFonts w:ascii="Arial" w:hAnsi="Arial" w:cs="Arial"/>
              </w:rPr>
              <w:t>38</w:t>
            </w:r>
          </w:p>
        </w:tc>
        <w:tc>
          <w:tcPr>
            <w:tcW w:w="1936" w:type="dxa"/>
            <w:tcBorders>
              <w:top w:val="nil"/>
              <w:left w:val="nil"/>
              <w:bottom w:val="nil"/>
              <w:right w:val="nil"/>
            </w:tcBorders>
            <w:tcMar>
              <w:top w:w="0" w:type="dxa"/>
              <w:left w:w="100" w:type="dxa"/>
              <w:bottom w:w="0" w:type="dxa"/>
              <w:right w:w="100" w:type="dxa"/>
            </w:tcMar>
          </w:tcPr>
          <w:p w14:paraId="43650DDE"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1802" w:type="dxa"/>
            <w:tcBorders>
              <w:top w:val="nil"/>
              <w:left w:val="nil"/>
              <w:bottom w:val="nil"/>
              <w:right w:val="nil"/>
            </w:tcBorders>
            <w:tcMar>
              <w:top w:w="0" w:type="dxa"/>
              <w:left w:w="100" w:type="dxa"/>
              <w:bottom w:w="0" w:type="dxa"/>
              <w:right w:w="100" w:type="dxa"/>
            </w:tcMar>
          </w:tcPr>
          <w:p w14:paraId="16D1DE62"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r>
      <w:tr w:rsidR="00DA7E40" w:rsidRPr="00D800F0" w14:paraId="30CCB1D0" w14:textId="77777777" w:rsidTr="0000614D">
        <w:trPr>
          <w:cantSplit/>
          <w:trHeight w:val="44"/>
        </w:trPr>
        <w:tc>
          <w:tcPr>
            <w:tcW w:w="3085" w:type="dxa"/>
            <w:tcBorders>
              <w:top w:val="nil"/>
              <w:left w:val="nil"/>
              <w:bottom w:val="nil"/>
              <w:right w:val="nil"/>
            </w:tcBorders>
            <w:tcMar>
              <w:top w:w="0" w:type="dxa"/>
              <w:left w:w="100" w:type="dxa"/>
              <w:bottom w:w="0" w:type="dxa"/>
              <w:right w:w="100" w:type="dxa"/>
            </w:tcMar>
          </w:tcPr>
          <w:p w14:paraId="053F14F7" w14:textId="77777777" w:rsidR="00DA7E40" w:rsidRPr="00D800F0" w:rsidRDefault="00DA7E40" w:rsidP="0000614D">
            <w:pPr>
              <w:spacing w:line="256" w:lineRule="auto"/>
              <w:jc w:val="center"/>
              <w:rPr>
                <w:rFonts w:ascii="Arial" w:hAnsi="Arial" w:cs="Arial"/>
              </w:rPr>
            </w:pPr>
            <w:r w:rsidRPr="00D800F0">
              <w:rPr>
                <w:rFonts w:ascii="Arial" w:hAnsi="Arial" w:cs="Arial"/>
              </w:rPr>
              <w:t>AP AEC</w:t>
            </w:r>
          </w:p>
        </w:tc>
        <w:tc>
          <w:tcPr>
            <w:tcW w:w="2537" w:type="dxa"/>
            <w:tcBorders>
              <w:top w:val="nil"/>
              <w:left w:val="nil"/>
              <w:bottom w:val="nil"/>
              <w:right w:val="nil"/>
            </w:tcBorders>
            <w:tcMar>
              <w:top w:w="0" w:type="dxa"/>
              <w:left w:w="100" w:type="dxa"/>
              <w:bottom w:w="0" w:type="dxa"/>
              <w:right w:w="100" w:type="dxa"/>
            </w:tcMar>
          </w:tcPr>
          <w:p w14:paraId="6013EBB2" w14:textId="77777777" w:rsidR="00DA7E40" w:rsidRPr="00D800F0" w:rsidRDefault="00DA7E40" w:rsidP="0000614D">
            <w:pPr>
              <w:spacing w:line="256" w:lineRule="auto"/>
              <w:jc w:val="center"/>
              <w:rPr>
                <w:rFonts w:ascii="Arial" w:hAnsi="Arial" w:cs="Arial"/>
              </w:rPr>
            </w:pPr>
            <w:r w:rsidRPr="00D800F0">
              <w:rPr>
                <w:rFonts w:ascii="Arial" w:hAnsi="Arial" w:cs="Arial"/>
              </w:rPr>
              <w:t>23</w:t>
            </w:r>
          </w:p>
        </w:tc>
        <w:tc>
          <w:tcPr>
            <w:tcW w:w="1936" w:type="dxa"/>
            <w:tcBorders>
              <w:top w:val="nil"/>
              <w:left w:val="nil"/>
              <w:bottom w:val="nil"/>
              <w:right w:val="nil"/>
            </w:tcBorders>
            <w:tcMar>
              <w:top w:w="0" w:type="dxa"/>
              <w:left w:w="100" w:type="dxa"/>
              <w:bottom w:w="0" w:type="dxa"/>
              <w:right w:w="100" w:type="dxa"/>
            </w:tcMar>
          </w:tcPr>
          <w:p w14:paraId="7745ECB1"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1802" w:type="dxa"/>
            <w:tcBorders>
              <w:top w:val="nil"/>
              <w:left w:val="nil"/>
              <w:bottom w:val="nil"/>
              <w:right w:val="nil"/>
            </w:tcBorders>
            <w:tcMar>
              <w:top w:w="0" w:type="dxa"/>
              <w:left w:w="100" w:type="dxa"/>
              <w:bottom w:w="0" w:type="dxa"/>
              <w:right w:w="100" w:type="dxa"/>
            </w:tcMar>
          </w:tcPr>
          <w:p w14:paraId="50964B1F"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r>
      <w:tr w:rsidR="00DA7E40" w:rsidRPr="00D800F0" w14:paraId="54AC39EB" w14:textId="77777777" w:rsidTr="0000614D">
        <w:trPr>
          <w:cantSplit/>
          <w:trHeight w:val="44"/>
        </w:trPr>
        <w:tc>
          <w:tcPr>
            <w:tcW w:w="3085" w:type="dxa"/>
            <w:tcBorders>
              <w:top w:val="nil"/>
              <w:left w:val="single" w:sz="8" w:space="0" w:color="F7F7F8"/>
              <w:bottom w:val="single" w:sz="8" w:space="0" w:color="000000"/>
              <w:right w:val="single" w:sz="8" w:space="0" w:color="F7F7F8"/>
            </w:tcBorders>
            <w:tcMar>
              <w:top w:w="0" w:type="dxa"/>
              <w:left w:w="100" w:type="dxa"/>
              <w:bottom w:w="0" w:type="dxa"/>
              <w:right w:w="100" w:type="dxa"/>
            </w:tcMar>
          </w:tcPr>
          <w:p w14:paraId="37CE5254"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rPr>
                    </m:ctrlPr>
                  </m:sSubPr>
                  <m:e>
                    <m:r>
                      <w:rPr>
                        <w:rFonts w:ascii="Cambria Math" w:eastAsia="Cambria Math" w:hAnsi="Cambria Math" w:cs="Arial"/>
                      </w:rPr>
                      <m:t>H</m:t>
                    </m:r>
                  </m:e>
                  <m:sub>
                    <m:r>
                      <w:rPr>
                        <w:rFonts w:ascii="Cambria Math" w:eastAsia="Cambria Math" w:hAnsi="Cambria Math" w:cs="Arial"/>
                      </w:rPr>
                      <m:t>dp</m:t>
                    </m:r>
                  </m:sub>
                </m:sSub>
              </m:oMath>
            </m:oMathPara>
          </w:p>
        </w:tc>
        <w:tc>
          <w:tcPr>
            <w:tcW w:w="2537" w:type="dxa"/>
            <w:tcBorders>
              <w:top w:val="nil"/>
              <w:left w:val="single" w:sz="8" w:space="0" w:color="F7F7F8"/>
              <w:bottom w:val="single" w:sz="8" w:space="0" w:color="000000"/>
              <w:right w:val="single" w:sz="8" w:space="0" w:color="F7F7F8"/>
            </w:tcBorders>
            <w:tcMar>
              <w:top w:w="0" w:type="dxa"/>
              <w:left w:w="100" w:type="dxa"/>
              <w:bottom w:w="0" w:type="dxa"/>
              <w:right w:w="100" w:type="dxa"/>
            </w:tcMar>
          </w:tcPr>
          <w:p w14:paraId="01392B39" w14:textId="77777777" w:rsidR="00DA7E40" w:rsidRPr="00D800F0" w:rsidRDefault="00DA7E40" w:rsidP="0000614D">
            <w:pPr>
              <w:spacing w:line="256" w:lineRule="auto"/>
              <w:jc w:val="center"/>
              <w:rPr>
                <w:rFonts w:ascii="Arial" w:hAnsi="Arial" w:cs="Arial"/>
              </w:rPr>
            </w:pPr>
            <w:r w:rsidRPr="00D800F0">
              <w:rPr>
                <w:rFonts w:ascii="Arial" w:hAnsi="Arial" w:cs="Arial"/>
              </w:rPr>
              <w:t>55</w:t>
            </w:r>
          </w:p>
        </w:tc>
        <w:tc>
          <w:tcPr>
            <w:tcW w:w="1936" w:type="dxa"/>
            <w:tcBorders>
              <w:top w:val="nil"/>
              <w:left w:val="single" w:sz="8" w:space="0" w:color="F7F7F8"/>
              <w:bottom w:val="single" w:sz="8" w:space="0" w:color="000000"/>
              <w:right w:val="single" w:sz="8" w:space="0" w:color="F7F7F8"/>
            </w:tcBorders>
            <w:tcMar>
              <w:top w:w="0" w:type="dxa"/>
              <w:left w:w="100" w:type="dxa"/>
              <w:bottom w:w="0" w:type="dxa"/>
              <w:right w:w="100" w:type="dxa"/>
            </w:tcMar>
          </w:tcPr>
          <w:p w14:paraId="093BE0DC" w14:textId="77777777" w:rsidR="00DA7E40" w:rsidRPr="00D800F0" w:rsidRDefault="00DA7E40" w:rsidP="0000614D">
            <w:pPr>
              <w:spacing w:line="256" w:lineRule="auto"/>
              <w:jc w:val="center"/>
              <w:rPr>
                <w:rFonts w:ascii="Arial" w:hAnsi="Arial" w:cs="Arial"/>
              </w:rPr>
            </w:pPr>
          </w:p>
        </w:tc>
        <w:tc>
          <w:tcPr>
            <w:tcW w:w="1802" w:type="dxa"/>
            <w:tcBorders>
              <w:top w:val="nil"/>
              <w:left w:val="single" w:sz="8" w:space="0" w:color="F7F7F8"/>
              <w:bottom w:val="single" w:sz="8" w:space="0" w:color="000000"/>
              <w:right w:val="single" w:sz="8" w:space="0" w:color="F7F7F8"/>
            </w:tcBorders>
            <w:tcMar>
              <w:top w:w="0" w:type="dxa"/>
              <w:left w:w="100" w:type="dxa"/>
              <w:bottom w:w="0" w:type="dxa"/>
              <w:right w:w="100" w:type="dxa"/>
            </w:tcMar>
          </w:tcPr>
          <w:p w14:paraId="592DFF69" w14:textId="77777777" w:rsidR="00DA7E40" w:rsidRPr="00D800F0" w:rsidRDefault="00DA7E40" w:rsidP="0000614D">
            <w:pPr>
              <w:spacing w:line="256" w:lineRule="auto"/>
              <w:jc w:val="center"/>
              <w:rPr>
                <w:rFonts w:ascii="Arial" w:hAnsi="Arial" w:cs="Arial"/>
              </w:rPr>
            </w:pPr>
          </w:p>
        </w:tc>
      </w:tr>
    </w:tbl>
    <w:p w14:paraId="6E36DB90" w14:textId="77777777" w:rsidR="00DA7E40" w:rsidRPr="00D800F0" w:rsidRDefault="00DA7E40" w:rsidP="00DA7E40">
      <w:pPr>
        <w:spacing w:after="200" w:line="276" w:lineRule="auto"/>
        <w:rPr>
          <w:rFonts w:ascii="Arial" w:hAnsi="Arial" w:cs="Arial"/>
          <w:i/>
          <w:sz w:val="20"/>
          <w:szCs w:val="20"/>
        </w:rPr>
      </w:pPr>
      <w:r w:rsidRPr="00D800F0">
        <w:rPr>
          <w:rFonts w:ascii="Arial" w:hAnsi="Arial" w:cs="Arial"/>
          <w:i/>
          <w:sz w:val="20"/>
          <w:szCs w:val="20"/>
        </w:rPr>
        <w:t xml:space="preserve">Processing steps of each AP process. Used for labor cost calculations. All values are assumptions estimated from the process flow diagrams of Lewis et al. (2022), Spath et al. (2005), Brasington et al. (2011), and Young et al. (2021). </w:t>
      </w:r>
    </w:p>
    <w:p w14:paraId="4992126E"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6</w:t>
      </w:r>
      <w:r w:rsidRPr="00D800F0">
        <w:rPr>
          <w:rFonts w:ascii="Arial" w:hAnsi="Arial" w:cs="Arial"/>
          <w:noProof/>
        </w:rPr>
        <w:fldChar w:fldCharType="end"/>
      </w:r>
      <w:r w:rsidRPr="00D800F0">
        <w:rPr>
          <w:rFonts w:ascii="Arial" w:hAnsi="Arial" w:cs="Arial"/>
        </w:rPr>
        <w:t>: Heuristics factors for OPEX.</w:t>
      </w:r>
    </w:p>
    <w:tbl>
      <w:tblPr>
        <w:tblW w:w="86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20"/>
        <w:gridCol w:w="2970"/>
        <w:gridCol w:w="2160"/>
        <w:gridCol w:w="1980"/>
      </w:tblGrid>
      <w:tr w:rsidR="00DA7E40" w:rsidRPr="00D800F0" w14:paraId="7F0106E8" w14:textId="77777777" w:rsidTr="0000614D">
        <w:trPr>
          <w:cantSplit/>
          <w:trHeight w:val="57"/>
        </w:trPr>
        <w:tc>
          <w:tcPr>
            <w:tcW w:w="152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3D9EE31"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297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5A937450" w14:textId="77777777" w:rsidR="00DA7E40" w:rsidRPr="00D800F0" w:rsidRDefault="00DA7E40" w:rsidP="0000614D">
            <w:pPr>
              <w:spacing w:line="256" w:lineRule="auto"/>
              <w:jc w:val="center"/>
              <w:rPr>
                <w:rFonts w:ascii="Arial" w:hAnsi="Arial" w:cs="Arial"/>
                <w:b/>
              </w:rPr>
            </w:pPr>
            <w:r w:rsidRPr="00D800F0">
              <w:rPr>
                <w:rFonts w:ascii="Arial" w:hAnsi="Arial" w:cs="Arial"/>
                <w:b/>
              </w:rPr>
              <w:t>Value</w:t>
            </w:r>
          </w:p>
        </w:tc>
        <w:tc>
          <w:tcPr>
            <w:tcW w:w="216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65E208D6"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198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2B79E989"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tr w:rsidR="00DA7E40" w:rsidRPr="00D800F0" w14:paraId="74636675" w14:textId="77777777" w:rsidTr="0000614D">
        <w:trPr>
          <w:cantSplit/>
          <w:trHeight w:val="169"/>
        </w:trPr>
        <w:tc>
          <w:tcPr>
            <w:tcW w:w="1520" w:type="dxa"/>
            <w:tcBorders>
              <w:left w:val="single" w:sz="8" w:space="0" w:color="F7F7F8"/>
              <w:bottom w:val="single" w:sz="8" w:space="0" w:color="F7F7F8"/>
              <w:right w:val="single" w:sz="8" w:space="0" w:color="F7F7F8"/>
            </w:tcBorders>
            <w:tcMar>
              <w:top w:w="0" w:type="dxa"/>
              <w:left w:w="100" w:type="dxa"/>
              <w:bottom w:w="0" w:type="dxa"/>
              <w:right w:w="100" w:type="dxa"/>
            </w:tcMar>
          </w:tcPr>
          <w:p w14:paraId="6572DFD3"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MT</m:t>
                    </m:r>
                  </m:sub>
                </m:sSub>
              </m:oMath>
            </m:oMathPara>
          </w:p>
        </w:tc>
        <w:tc>
          <w:tcPr>
            <w:tcW w:w="2970" w:type="dxa"/>
            <w:tcBorders>
              <w:left w:val="single" w:sz="8" w:space="0" w:color="F7F7F8"/>
              <w:bottom w:val="single" w:sz="8" w:space="0" w:color="F7F7F8"/>
              <w:right w:val="single" w:sz="8" w:space="0" w:color="F7F7F8"/>
            </w:tcBorders>
            <w:tcMar>
              <w:top w:w="0" w:type="dxa"/>
              <w:left w:w="100" w:type="dxa"/>
              <w:bottom w:w="0" w:type="dxa"/>
              <w:right w:w="100" w:type="dxa"/>
            </w:tcMar>
          </w:tcPr>
          <w:p w14:paraId="03019113" w14:textId="77777777" w:rsidR="00DA7E40" w:rsidRPr="00D800F0" w:rsidRDefault="00DA7E40" w:rsidP="0000614D">
            <w:pPr>
              <w:spacing w:line="256" w:lineRule="auto"/>
              <w:jc w:val="center"/>
              <w:rPr>
                <w:rFonts w:ascii="Arial" w:hAnsi="Arial" w:cs="Arial"/>
              </w:rPr>
            </w:pPr>
            <w:r w:rsidRPr="00D800F0">
              <w:rPr>
                <w:rFonts w:ascii="Arial" w:hAnsi="Arial" w:cs="Arial"/>
              </w:rPr>
              <w:t>0.0286</w:t>
            </w:r>
          </w:p>
        </w:tc>
        <w:tc>
          <w:tcPr>
            <w:tcW w:w="2160" w:type="dxa"/>
            <w:tcBorders>
              <w:left w:val="single" w:sz="8" w:space="0" w:color="F7F7F8"/>
              <w:bottom w:val="single" w:sz="8" w:space="0" w:color="F7F7F8"/>
              <w:right w:val="single" w:sz="8" w:space="0" w:color="F7F7F8"/>
            </w:tcBorders>
            <w:tcMar>
              <w:top w:w="0" w:type="dxa"/>
              <w:left w:w="100" w:type="dxa"/>
              <w:bottom w:w="0" w:type="dxa"/>
              <w:right w:w="100" w:type="dxa"/>
            </w:tcMar>
          </w:tcPr>
          <w:p w14:paraId="6E273D32" w14:textId="77777777" w:rsidR="00DA7E40" w:rsidRPr="00D800F0" w:rsidRDefault="00DA7E40" w:rsidP="0000614D">
            <w:pPr>
              <w:spacing w:line="256" w:lineRule="auto"/>
              <w:jc w:val="center"/>
              <w:rPr>
                <w:rFonts w:ascii="Arial" w:hAnsi="Arial" w:cs="Arial"/>
              </w:rPr>
            </w:pPr>
            <w:r w:rsidRPr="00D800F0">
              <w:rPr>
                <w:rFonts w:ascii="Arial" w:hAnsi="Arial" w:cs="Arial"/>
              </w:rPr>
              <w:t>%</w:t>
            </w:r>
            <w:r w:rsidRPr="00D800F0">
              <w:rPr>
                <w:rFonts w:ascii="Arial" w:hAnsi="Arial" w:cs="Arial"/>
                <w:b/>
                <w:i/>
              </w:rPr>
              <w:t xml:space="preserve"> </w:t>
            </w:r>
            <m:oMath>
              <m:r>
                <m:rPr>
                  <m:sty m:val="bi"/>
                </m:rPr>
                <w:rPr>
                  <w:rFonts w:ascii="Cambria Math" w:hAnsi="Cambria Math" w:cs="Arial"/>
                </w:rPr>
                <m:t>CAPE</m:t>
              </m:r>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j</m:t>
                  </m:r>
                </m:sub>
              </m:sSub>
            </m:oMath>
          </w:p>
        </w:tc>
        <w:tc>
          <w:tcPr>
            <w:tcW w:w="1980" w:type="dxa"/>
            <w:tcBorders>
              <w:left w:val="single" w:sz="8" w:space="0" w:color="F7F7F8"/>
              <w:bottom w:val="single" w:sz="8" w:space="0" w:color="F7F7F8"/>
              <w:right w:val="single" w:sz="8" w:space="0" w:color="F7F7F8"/>
            </w:tcBorders>
            <w:tcMar>
              <w:top w:w="0" w:type="dxa"/>
              <w:left w:w="100" w:type="dxa"/>
              <w:bottom w:w="0" w:type="dxa"/>
              <w:right w:w="100" w:type="dxa"/>
            </w:tcMar>
          </w:tcPr>
          <w:p w14:paraId="7263A950"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rPr>
              <w:t>Peters et al., 2003</w:t>
            </w:r>
          </w:p>
        </w:tc>
      </w:tr>
      <w:tr w:rsidR="00DA7E40" w:rsidRPr="00D800F0" w14:paraId="080BA84B" w14:textId="77777777" w:rsidTr="0000614D">
        <w:trPr>
          <w:cantSplit/>
          <w:trHeight w:val="44"/>
        </w:trPr>
        <w:tc>
          <w:tcPr>
            <w:tcW w:w="152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245E9536"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sup</m:t>
                    </m:r>
                  </m:sub>
                </m:sSub>
              </m:oMath>
            </m:oMathPara>
          </w:p>
        </w:tc>
        <w:tc>
          <w:tcPr>
            <w:tcW w:w="297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5B8EF216" w14:textId="77777777" w:rsidR="00DA7E40" w:rsidRPr="00D800F0" w:rsidRDefault="00DA7E40" w:rsidP="0000614D">
            <w:pPr>
              <w:spacing w:line="256" w:lineRule="auto"/>
              <w:jc w:val="center"/>
              <w:rPr>
                <w:rFonts w:ascii="Arial" w:hAnsi="Arial" w:cs="Arial"/>
              </w:rPr>
            </w:pPr>
            <w:r w:rsidRPr="00D800F0">
              <w:rPr>
                <w:rFonts w:ascii="Arial" w:hAnsi="Arial" w:cs="Arial"/>
              </w:rPr>
              <w:t>0.15</w:t>
            </w:r>
          </w:p>
        </w:tc>
        <w:tc>
          <w:tcPr>
            <w:tcW w:w="2160" w:type="dxa"/>
            <w:tcBorders>
              <w:left w:val="single" w:sz="8" w:space="0" w:color="F7F7F8"/>
              <w:bottom w:val="single" w:sz="8" w:space="0" w:color="F7F7F8"/>
              <w:right w:val="single" w:sz="8" w:space="0" w:color="F7F7F8"/>
            </w:tcBorders>
            <w:tcMar>
              <w:top w:w="0" w:type="dxa"/>
              <w:left w:w="100" w:type="dxa"/>
              <w:bottom w:w="0" w:type="dxa"/>
              <w:right w:w="100" w:type="dxa"/>
            </w:tcMar>
          </w:tcPr>
          <w:p w14:paraId="15EA1C0C" w14:textId="77777777" w:rsidR="00DA7E40" w:rsidRPr="00D800F0" w:rsidRDefault="00DA7E40" w:rsidP="0000614D">
            <w:pPr>
              <w:spacing w:line="256" w:lineRule="auto"/>
              <w:jc w:val="center"/>
              <w:rPr>
                <w:rFonts w:ascii="Arial" w:hAnsi="Arial" w:cs="Arial"/>
              </w:rPr>
            </w:pPr>
            <w:r w:rsidRPr="00D800F0">
              <w:rPr>
                <w:rFonts w:ascii="Arial" w:hAnsi="Arial" w:cs="Arial"/>
              </w:rPr>
              <w:t>%</w:t>
            </w:r>
            <m:oMath>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oMath>
          </w:p>
        </w:tc>
        <w:tc>
          <w:tcPr>
            <w:tcW w:w="198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5142BAF8"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rPr>
              <w:t>Peters et al., 2003</w:t>
            </w:r>
          </w:p>
        </w:tc>
      </w:tr>
      <w:tr w:rsidR="00DA7E40" w:rsidRPr="00D800F0" w14:paraId="33814F58" w14:textId="77777777" w:rsidTr="0000614D">
        <w:trPr>
          <w:cantSplit/>
          <w:trHeight w:val="405"/>
        </w:trPr>
        <w:tc>
          <w:tcPr>
            <w:tcW w:w="152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424403D0"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os</m:t>
                    </m:r>
                  </m:sub>
                </m:sSub>
              </m:oMath>
            </m:oMathPara>
          </w:p>
        </w:tc>
        <w:tc>
          <w:tcPr>
            <w:tcW w:w="297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46530FBD" w14:textId="77777777" w:rsidR="00DA7E40" w:rsidRPr="00D800F0" w:rsidRDefault="00DA7E40" w:rsidP="0000614D">
            <w:pPr>
              <w:spacing w:line="256" w:lineRule="auto"/>
              <w:jc w:val="center"/>
              <w:rPr>
                <w:rFonts w:ascii="Arial" w:hAnsi="Arial" w:cs="Arial"/>
              </w:rPr>
            </w:pPr>
            <w:r w:rsidRPr="00D800F0">
              <w:rPr>
                <w:rFonts w:ascii="Arial" w:hAnsi="Arial" w:cs="Arial"/>
              </w:rPr>
              <w:t>0.1</w:t>
            </w:r>
          </w:p>
        </w:tc>
        <w:tc>
          <w:tcPr>
            <w:tcW w:w="2160" w:type="dxa"/>
            <w:tcBorders>
              <w:left w:val="single" w:sz="8" w:space="0" w:color="F7F7F8"/>
              <w:bottom w:val="single" w:sz="8" w:space="0" w:color="F7F7F8"/>
              <w:right w:val="single" w:sz="8" w:space="0" w:color="F7F7F8"/>
            </w:tcBorders>
            <w:tcMar>
              <w:top w:w="0" w:type="dxa"/>
              <w:left w:w="100" w:type="dxa"/>
              <w:bottom w:w="0" w:type="dxa"/>
              <w:right w:w="100" w:type="dxa"/>
            </w:tcMar>
          </w:tcPr>
          <w:p w14:paraId="7B8FA2F1" w14:textId="77777777" w:rsidR="00DA7E40" w:rsidRPr="00D800F0" w:rsidRDefault="00DA7E40" w:rsidP="0000614D">
            <w:pPr>
              <w:spacing w:line="256" w:lineRule="auto"/>
              <w:jc w:val="center"/>
              <w:rPr>
                <w:rFonts w:ascii="Arial" w:hAnsi="Arial" w:cs="Arial"/>
              </w:rPr>
            </w:pPr>
            <w:r w:rsidRPr="00D800F0">
              <w:rPr>
                <w:rFonts w:ascii="Arial" w:hAnsi="Arial" w:cs="Arial"/>
              </w:rPr>
              <w:t>%</w:t>
            </w:r>
            <w:r w:rsidRPr="00D800F0">
              <w:rPr>
                <w:rFonts w:ascii="Arial" w:eastAsia="Cambria Math" w:hAnsi="Arial" w:cs="Arial"/>
                <w:b/>
                <w:i/>
              </w:rPr>
              <w:t xml:space="preserve"> </w:t>
            </w:r>
            <m:oMath>
              <m:r>
                <m:rPr>
                  <m:sty m:val="bi"/>
                </m:rPr>
                <w:rPr>
                  <w:rFonts w:ascii="Cambria Math" w:eastAsia="Cambria Math" w:hAnsi="Cambria Math" w:cs="Arial"/>
                </w:rPr>
                <m:t>FC</m:t>
              </m:r>
              <m:sSub>
                <m:sSubPr>
                  <m:ctrlPr>
                    <w:rPr>
                      <w:rFonts w:ascii="Cambria Math" w:eastAsia="Cambria Math" w:hAnsi="Cambria Math" w:cs="Arial"/>
                      <w:b/>
                      <w:i/>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m:t>
              </m:r>
              <m:f>
                <m:fPr>
                  <m:ctrlPr>
                    <w:rPr>
                      <w:rFonts w:ascii="Cambria Math" w:eastAsia="Cambria Math" w:hAnsi="Cambria Math" w:cs="Arial"/>
                      <w:b/>
                      <w:i/>
                    </w:rPr>
                  </m:ctrlPr>
                </m:fPr>
                <m:num>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MT</m:t>
                      </m:r>
                    </m:sub>
                  </m:sSub>
                </m:num>
                <m:den>
                  <m:r>
                    <m:rPr>
                      <m:sty m:val="bi"/>
                    </m:rPr>
                    <w:rPr>
                      <w:rFonts w:ascii="Cambria Math" w:eastAsia="Cambria Math" w:hAnsi="Cambria Math" w:cs="Arial"/>
                    </w:rPr>
                    <m:t>12</m:t>
                  </m:r>
                </m:den>
              </m:f>
            </m:oMath>
          </w:p>
        </w:tc>
        <w:tc>
          <w:tcPr>
            <w:tcW w:w="198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506AFD39"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0F344DAB" w14:textId="77777777" w:rsidTr="0000614D">
        <w:trPr>
          <w:cantSplit/>
          <w:trHeight w:val="44"/>
        </w:trPr>
        <w:tc>
          <w:tcPr>
            <w:tcW w:w="152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2CDC26E"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LC</m:t>
                    </m:r>
                  </m:sub>
                </m:sSub>
              </m:oMath>
            </m:oMathPara>
          </w:p>
        </w:tc>
        <w:tc>
          <w:tcPr>
            <w:tcW w:w="297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2AA8B92C" w14:textId="77777777" w:rsidR="00DA7E40" w:rsidRPr="00D800F0" w:rsidRDefault="00DA7E40" w:rsidP="0000614D">
            <w:pPr>
              <w:spacing w:line="256" w:lineRule="auto"/>
              <w:jc w:val="center"/>
              <w:rPr>
                <w:rFonts w:ascii="Arial" w:hAnsi="Arial" w:cs="Arial"/>
              </w:rPr>
            </w:pPr>
            <w:r w:rsidRPr="00D800F0">
              <w:rPr>
                <w:rFonts w:ascii="Arial" w:hAnsi="Arial" w:cs="Arial"/>
              </w:rPr>
              <w:t>0.15</w:t>
            </w:r>
          </w:p>
        </w:tc>
        <w:tc>
          <w:tcPr>
            <w:tcW w:w="2160" w:type="dxa"/>
            <w:tcBorders>
              <w:left w:val="single" w:sz="8" w:space="0" w:color="F7F7F8"/>
              <w:bottom w:val="single" w:sz="8" w:space="0" w:color="F7F7F8"/>
              <w:right w:val="single" w:sz="8" w:space="0" w:color="F7F7F8"/>
            </w:tcBorders>
            <w:tcMar>
              <w:top w:w="0" w:type="dxa"/>
              <w:left w:w="100" w:type="dxa"/>
              <w:bottom w:w="0" w:type="dxa"/>
              <w:right w:w="100" w:type="dxa"/>
            </w:tcMar>
          </w:tcPr>
          <w:p w14:paraId="25D4A435" w14:textId="77777777" w:rsidR="00DA7E40" w:rsidRPr="00D800F0" w:rsidRDefault="00DA7E40" w:rsidP="0000614D">
            <w:pPr>
              <w:spacing w:line="256" w:lineRule="auto"/>
              <w:jc w:val="center"/>
              <w:rPr>
                <w:rFonts w:ascii="Arial" w:hAnsi="Arial" w:cs="Arial"/>
              </w:rPr>
            </w:pPr>
            <w:r w:rsidRPr="00D800F0">
              <w:rPr>
                <w:rFonts w:ascii="Arial" w:hAnsi="Arial" w:cs="Arial"/>
              </w:rPr>
              <w:t xml:space="preserve">% </w:t>
            </w:r>
            <m:oMath>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oMath>
          </w:p>
        </w:tc>
        <w:tc>
          <w:tcPr>
            <w:tcW w:w="198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69AC39DA"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1F1AC4D4" w14:textId="77777777" w:rsidTr="0000614D">
        <w:trPr>
          <w:cantSplit/>
          <w:trHeight w:val="44"/>
        </w:trPr>
        <w:tc>
          <w:tcPr>
            <w:tcW w:w="152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64945B0E" w14:textId="77777777" w:rsidR="00DA7E40" w:rsidRPr="00D800F0" w:rsidRDefault="00DA7E40" w:rsidP="0000614D">
            <w:pPr>
              <w:jc w:val="center"/>
              <w:rPr>
                <w:rFonts w:ascii="Arial" w:eastAsia="Cambria Math" w:hAnsi="Arial" w:cs="Arial"/>
              </w:rPr>
            </w:pPr>
            <m:oMathPara>
              <m:oMath>
                <m:r>
                  <m:rPr>
                    <m:sty m:val="bi"/>
                  </m:rPr>
                  <w:rPr>
                    <w:rFonts w:ascii="Cambria Math" w:eastAsia="Cambria Math" w:hAnsi="Cambria Math" w:cs="Arial"/>
                  </w:rPr>
                  <m:t xml:space="preserve"> </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P&amp;R</m:t>
                    </m:r>
                  </m:sub>
                </m:sSub>
              </m:oMath>
            </m:oMathPara>
          </w:p>
        </w:tc>
        <w:tc>
          <w:tcPr>
            <w:tcW w:w="297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2A76224C" w14:textId="77777777" w:rsidR="00DA7E40" w:rsidRPr="00D800F0" w:rsidRDefault="00DA7E40" w:rsidP="0000614D">
            <w:pPr>
              <w:spacing w:line="256" w:lineRule="auto"/>
              <w:jc w:val="center"/>
              <w:rPr>
                <w:rFonts w:ascii="Arial" w:hAnsi="Arial" w:cs="Arial"/>
              </w:rPr>
            </w:pPr>
            <w:r w:rsidRPr="00D800F0">
              <w:rPr>
                <w:rFonts w:ascii="Arial" w:hAnsi="Arial" w:cs="Arial"/>
              </w:rPr>
              <w:t>0.005</w:t>
            </w:r>
          </w:p>
        </w:tc>
        <w:tc>
          <w:tcPr>
            <w:tcW w:w="2160" w:type="dxa"/>
            <w:tcBorders>
              <w:left w:val="single" w:sz="8" w:space="0" w:color="F7F7F8"/>
              <w:bottom w:val="single" w:sz="8" w:space="0" w:color="F7F7F8"/>
              <w:right w:val="single" w:sz="8" w:space="0" w:color="F7F7F8"/>
            </w:tcBorders>
            <w:tcMar>
              <w:top w:w="0" w:type="dxa"/>
              <w:left w:w="100" w:type="dxa"/>
              <w:bottom w:w="0" w:type="dxa"/>
              <w:right w:w="100" w:type="dxa"/>
            </w:tcMar>
          </w:tcPr>
          <w:p w14:paraId="110E7AE7" w14:textId="77777777" w:rsidR="00DA7E40" w:rsidRPr="00D800F0" w:rsidRDefault="00DA7E40" w:rsidP="0000614D">
            <w:pPr>
              <w:spacing w:line="256" w:lineRule="auto"/>
              <w:jc w:val="center"/>
              <w:rPr>
                <w:rFonts w:ascii="Arial" w:hAnsi="Arial" w:cs="Arial"/>
              </w:rPr>
            </w:pPr>
            <w:r w:rsidRPr="00D800F0">
              <w:rPr>
                <w:rFonts w:ascii="Arial" w:hAnsi="Arial" w:cs="Arial"/>
              </w:rPr>
              <w:t>%</w:t>
            </w:r>
            <w:r w:rsidRPr="00D800F0">
              <w:rPr>
                <w:rFonts w:ascii="Arial" w:hAnsi="Arial" w:cs="Arial"/>
                <w:b/>
                <w:i/>
              </w:rPr>
              <w:t xml:space="preserve"> </w:t>
            </w:r>
            <m:oMath>
              <m:r>
                <m:rPr>
                  <m:sty m:val="bi"/>
                </m:rPr>
                <w:rPr>
                  <w:rFonts w:ascii="Cambria Math" w:hAnsi="Cambria Math" w:cs="Arial"/>
                </w:rPr>
                <m:t>CAPE</m:t>
              </m:r>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j</m:t>
                  </m:r>
                </m:sub>
              </m:sSub>
            </m:oMath>
          </w:p>
        </w:tc>
        <w:tc>
          <w:tcPr>
            <w:tcW w:w="198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738DB9B8"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2F0D9B02" w14:textId="77777777" w:rsidTr="0000614D">
        <w:trPr>
          <w:cantSplit/>
          <w:trHeight w:val="44"/>
        </w:trPr>
        <w:tc>
          <w:tcPr>
            <w:tcW w:w="152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60FDAB97"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OH</m:t>
                    </m:r>
                  </m:sub>
                </m:sSub>
              </m:oMath>
            </m:oMathPara>
          </w:p>
        </w:tc>
        <w:tc>
          <w:tcPr>
            <w:tcW w:w="297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7EACB0FE" w14:textId="77777777" w:rsidR="00DA7E40" w:rsidRPr="00D800F0" w:rsidRDefault="00DA7E40" w:rsidP="0000614D">
            <w:pPr>
              <w:spacing w:line="256" w:lineRule="auto"/>
              <w:jc w:val="center"/>
              <w:rPr>
                <w:rFonts w:ascii="Arial" w:hAnsi="Arial" w:cs="Arial"/>
              </w:rPr>
            </w:pPr>
            <w:r w:rsidRPr="00D800F0">
              <w:rPr>
                <w:rFonts w:ascii="Arial" w:hAnsi="Arial" w:cs="Arial"/>
              </w:rPr>
              <w:t>0.70</w:t>
            </w:r>
          </w:p>
        </w:tc>
        <w:tc>
          <w:tcPr>
            <w:tcW w:w="216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420F0B1E" w14:textId="77777777" w:rsidR="00DA7E40" w:rsidRPr="00D800F0" w:rsidRDefault="00DA7E40" w:rsidP="0000614D">
            <w:pPr>
              <w:spacing w:line="256" w:lineRule="auto"/>
              <w:jc w:val="center"/>
              <w:rPr>
                <w:rFonts w:ascii="Arial" w:hAnsi="Arial" w:cs="Arial"/>
              </w:rPr>
            </w:pPr>
            <w:r w:rsidRPr="00D800F0">
              <w:rPr>
                <w:rFonts w:ascii="Arial" w:hAnsi="Arial" w:cs="Arial"/>
              </w:rPr>
              <w:t>%maintenance + supervision + labor</w:t>
            </w:r>
          </w:p>
        </w:tc>
        <w:tc>
          <w:tcPr>
            <w:tcW w:w="198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562A47B4"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4B1788A6" w14:textId="77777777" w:rsidTr="0000614D">
        <w:trPr>
          <w:cantSplit/>
          <w:trHeight w:val="44"/>
        </w:trPr>
        <w:tc>
          <w:tcPr>
            <w:tcW w:w="152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380074AB" w14:textId="77777777" w:rsidR="00DA7E40" w:rsidRPr="00D800F0" w:rsidRDefault="00000000" w:rsidP="0000614D">
            <w:pPr>
              <w:jc w:val="center"/>
              <w:rPr>
                <w:rFonts w:ascii="Arial" w:hAnsi="Arial" w:cs="Arial"/>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fin</m:t>
                    </m:r>
                  </m:sub>
                </m:sSub>
              </m:oMath>
            </m:oMathPara>
          </w:p>
        </w:tc>
        <w:tc>
          <w:tcPr>
            <w:tcW w:w="297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4888EE7" w14:textId="77777777" w:rsidR="00DA7E40" w:rsidRPr="00D800F0" w:rsidRDefault="00DA7E40" w:rsidP="0000614D">
            <w:pPr>
              <w:spacing w:line="256" w:lineRule="auto"/>
              <w:jc w:val="center"/>
              <w:rPr>
                <w:rFonts w:ascii="Arial" w:hAnsi="Arial" w:cs="Arial"/>
              </w:rPr>
            </w:pPr>
            <w:r w:rsidRPr="00D800F0">
              <w:rPr>
                <w:rFonts w:ascii="Arial" w:hAnsi="Arial" w:cs="Arial"/>
              </w:rPr>
              <w:t>0</w:t>
            </w:r>
          </w:p>
        </w:tc>
        <w:tc>
          <w:tcPr>
            <w:tcW w:w="216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5DEF20A" w14:textId="77777777" w:rsidR="00DA7E40" w:rsidRPr="00D800F0" w:rsidRDefault="00DA7E40" w:rsidP="0000614D">
            <w:pPr>
              <w:spacing w:line="256" w:lineRule="auto"/>
              <w:jc w:val="center"/>
              <w:rPr>
                <w:rFonts w:ascii="Arial" w:hAnsi="Arial" w:cs="Arial"/>
              </w:rPr>
            </w:pPr>
            <w:r w:rsidRPr="00D800F0">
              <w:rPr>
                <w:rFonts w:ascii="Arial" w:hAnsi="Arial" w:cs="Arial"/>
                <w:shd w:val="clear" w:color="auto" w:fill="F7F7F8"/>
              </w:rPr>
              <w:t>%</w:t>
            </w:r>
            <w:r w:rsidRPr="00D800F0">
              <w:rPr>
                <w:rFonts w:ascii="Arial" w:eastAsia="Cambria Math" w:hAnsi="Arial" w:cs="Arial"/>
                <w:b/>
                <w:i/>
              </w:rPr>
              <w:t xml:space="preserve"> </w:t>
            </w:r>
            <m:oMath>
              <m:r>
                <m:rPr>
                  <m:sty m:val="bi"/>
                </m:rPr>
                <w:rPr>
                  <w:rFonts w:ascii="Cambria Math" w:eastAsia="Cambria Math" w:hAnsi="Cambria Math" w:cs="Arial"/>
                </w:rPr>
                <m:t>CAPE</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oMath>
          </w:p>
        </w:tc>
        <w:tc>
          <w:tcPr>
            <w:tcW w:w="198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54F80CFF"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20D33EC6" w14:textId="77777777" w:rsidTr="0000614D">
        <w:trPr>
          <w:cantSplit/>
          <w:trHeight w:val="44"/>
        </w:trPr>
        <w:tc>
          <w:tcPr>
            <w:tcW w:w="152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60E2255D" w14:textId="77777777" w:rsidR="00DA7E40" w:rsidRPr="00D800F0" w:rsidRDefault="00000000" w:rsidP="0000614D">
            <w:pPr>
              <w:jc w:val="center"/>
              <w:rPr>
                <w:rFonts w:ascii="Arial" w:hAnsi="Arial" w:cs="Arial"/>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rent</m:t>
                    </m:r>
                  </m:sub>
                </m:sSub>
              </m:oMath>
            </m:oMathPara>
          </w:p>
        </w:tc>
        <w:tc>
          <w:tcPr>
            <w:tcW w:w="297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5EC0518D" w14:textId="77777777" w:rsidR="00DA7E40" w:rsidRPr="00D800F0" w:rsidRDefault="00DA7E40" w:rsidP="0000614D">
            <w:pPr>
              <w:spacing w:line="256" w:lineRule="auto"/>
              <w:jc w:val="center"/>
              <w:rPr>
                <w:rFonts w:ascii="Arial" w:hAnsi="Arial" w:cs="Arial"/>
              </w:rPr>
            </w:pPr>
            <w:r w:rsidRPr="00D800F0">
              <w:rPr>
                <w:rFonts w:ascii="Arial" w:hAnsi="Arial" w:cs="Arial"/>
              </w:rPr>
              <w:t>0.1</w:t>
            </w:r>
          </w:p>
        </w:tc>
        <w:tc>
          <w:tcPr>
            <w:tcW w:w="216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1305763A" w14:textId="77777777" w:rsidR="00DA7E40" w:rsidRPr="00D800F0" w:rsidRDefault="00DA7E40" w:rsidP="0000614D">
            <w:pPr>
              <w:spacing w:line="256" w:lineRule="auto"/>
              <w:jc w:val="center"/>
              <w:rPr>
                <w:rFonts w:ascii="Arial" w:hAnsi="Arial" w:cs="Arial"/>
              </w:rPr>
            </w:pPr>
            <w:r w:rsidRPr="00D800F0">
              <w:rPr>
                <w:rFonts w:ascii="Arial" w:hAnsi="Arial" w:cs="Arial"/>
                <w:bCs/>
              </w:rPr>
              <w:t>%</w:t>
            </w:r>
            <m:oMath>
              <m:sSub>
                <m:sSubPr>
                  <m:ctrlPr>
                    <w:rPr>
                      <w:rFonts w:ascii="Cambria Math" w:eastAsia="Cambria Math" w:hAnsi="Cambria Math" w:cs="Arial"/>
                      <w:b/>
                      <w:i/>
                    </w:rPr>
                  </m:ctrlPr>
                </m:sSubPr>
                <m:e>
                  <m:r>
                    <m:rPr>
                      <m:sty m:val="bi"/>
                    </m:rPr>
                    <w:rPr>
                      <w:rFonts w:ascii="Cambria Math" w:eastAsia="Cambria Math" w:hAnsi="Cambria Math" w:cs="Arial"/>
                    </w:rPr>
                    <m:t>C</m:t>
                  </m:r>
                </m:e>
                <m:sub>
                  <m:r>
                    <m:rPr>
                      <m:sty m:val="bi"/>
                    </m:rPr>
                    <w:rPr>
                      <w:rFonts w:ascii="Cambria Math" w:eastAsia="Cambria Math" w:hAnsi="Cambria Math" w:cs="Arial"/>
                    </w:rPr>
                    <m:t>land</m:t>
                  </m:r>
                </m:sub>
              </m:sSub>
            </m:oMath>
          </w:p>
        </w:tc>
        <w:tc>
          <w:tcPr>
            <w:tcW w:w="198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5395470A"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17115130" w14:textId="77777777" w:rsidTr="0000614D">
        <w:trPr>
          <w:cantSplit/>
          <w:trHeight w:val="44"/>
        </w:trPr>
        <w:tc>
          <w:tcPr>
            <w:tcW w:w="152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631BFA3C" w14:textId="77777777" w:rsidR="00DA7E40" w:rsidRPr="00D800F0" w:rsidRDefault="00000000" w:rsidP="0000614D">
            <w:pPr>
              <w:jc w:val="center"/>
              <w:rPr>
                <w:rFonts w:ascii="Arial" w:hAnsi="Arial" w:cs="Arial"/>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ptax</m:t>
                    </m:r>
                  </m:sub>
                </m:sSub>
              </m:oMath>
            </m:oMathPara>
          </w:p>
        </w:tc>
        <w:tc>
          <w:tcPr>
            <w:tcW w:w="297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435BB480" w14:textId="77777777" w:rsidR="00DA7E40" w:rsidRPr="00D800F0" w:rsidRDefault="00DA7E40" w:rsidP="0000614D">
            <w:pPr>
              <w:spacing w:line="256" w:lineRule="auto"/>
              <w:jc w:val="center"/>
              <w:rPr>
                <w:rFonts w:ascii="Arial" w:hAnsi="Arial" w:cs="Arial"/>
              </w:rPr>
            </w:pPr>
            <w:r w:rsidRPr="00D800F0">
              <w:rPr>
                <w:rFonts w:ascii="Arial" w:hAnsi="Arial" w:cs="Arial"/>
              </w:rPr>
              <w:t>0.005</w:t>
            </w:r>
          </w:p>
        </w:tc>
        <w:tc>
          <w:tcPr>
            <w:tcW w:w="216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30287123" w14:textId="77777777" w:rsidR="00DA7E40" w:rsidRPr="00D800F0" w:rsidRDefault="00DA7E40" w:rsidP="0000614D">
            <w:pPr>
              <w:spacing w:line="256" w:lineRule="auto"/>
              <w:jc w:val="center"/>
              <w:rPr>
                <w:rFonts w:ascii="Arial" w:hAnsi="Arial" w:cs="Arial"/>
              </w:rPr>
            </w:pPr>
            <w:r w:rsidRPr="00D800F0">
              <w:rPr>
                <w:rFonts w:ascii="Arial" w:hAnsi="Arial" w:cs="Arial"/>
                <w:shd w:val="clear" w:color="auto" w:fill="F7F7F8"/>
              </w:rPr>
              <w:t>%</w:t>
            </w:r>
            <w:r w:rsidRPr="00D800F0">
              <w:rPr>
                <w:rFonts w:ascii="Arial" w:eastAsia="Cambria Math" w:hAnsi="Arial" w:cs="Arial"/>
                <w:b/>
                <w:i/>
              </w:rPr>
              <w:t xml:space="preserve"> </w:t>
            </w:r>
            <m:oMath>
              <m:r>
                <m:rPr>
                  <m:sty m:val="bi"/>
                </m:rPr>
                <w:rPr>
                  <w:rFonts w:ascii="Cambria Math" w:eastAsia="Cambria Math" w:hAnsi="Cambria Math" w:cs="Arial"/>
                </w:rPr>
                <m:t>FC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oMath>
          </w:p>
        </w:tc>
        <w:tc>
          <w:tcPr>
            <w:tcW w:w="198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1A890F01"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251B24B3" w14:textId="77777777" w:rsidTr="0000614D">
        <w:trPr>
          <w:cantSplit/>
          <w:trHeight w:val="44"/>
        </w:trPr>
        <w:tc>
          <w:tcPr>
            <w:tcW w:w="152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E645E48" w14:textId="77777777" w:rsidR="00DA7E40" w:rsidRPr="00D800F0" w:rsidRDefault="00000000" w:rsidP="0000614D">
            <w:pPr>
              <w:jc w:val="center"/>
              <w:rPr>
                <w:rFonts w:ascii="Arial" w:hAnsi="Arial" w:cs="Arial"/>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admin</m:t>
                    </m:r>
                  </m:sub>
                </m:sSub>
              </m:oMath>
            </m:oMathPara>
          </w:p>
        </w:tc>
        <w:tc>
          <w:tcPr>
            <w:tcW w:w="297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3B819A57" w14:textId="77777777" w:rsidR="00DA7E40" w:rsidRPr="00D800F0" w:rsidRDefault="00DA7E40" w:rsidP="0000614D">
            <w:pPr>
              <w:spacing w:line="256" w:lineRule="auto"/>
              <w:jc w:val="center"/>
              <w:rPr>
                <w:rFonts w:ascii="Arial" w:hAnsi="Arial" w:cs="Arial"/>
              </w:rPr>
            </w:pPr>
            <w:r w:rsidRPr="00D800F0">
              <w:rPr>
                <w:rFonts w:ascii="Arial" w:hAnsi="Arial" w:cs="Arial"/>
              </w:rPr>
              <w:t>0.025</w:t>
            </w:r>
          </w:p>
        </w:tc>
        <w:tc>
          <w:tcPr>
            <w:tcW w:w="216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760ADF8F" w14:textId="77777777" w:rsidR="00DA7E40" w:rsidRPr="00D800F0" w:rsidRDefault="00DA7E40" w:rsidP="0000614D">
            <w:pPr>
              <w:spacing w:line="256" w:lineRule="auto"/>
              <w:jc w:val="center"/>
              <w:rPr>
                <w:rFonts w:ascii="Arial" w:hAnsi="Arial" w:cs="Arial"/>
              </w:rPr>
            </w:pPr>
            <w:r w:rsidRPr="00D800F0">
              <w:rPr>
                <w:rFonts w:ascii="Arial" w:hAnsi="Arial" w:cs="Arial"/>
                <w:shd w:val="clear" w:color="auto" w:fill="F7F7F8"/>
              </w:rPr>
              <w:t>%</w:t>
            </w:r>
            <w:r w:rsidRPr="00D800F0">
              <w:rPr>
                <w:rFonts w:ascii="Arial" w:eastAsia="Cambria Math" w:hAnsi="Arial" w:cs="Arial"/>
                <w:b/>
                <w:i/>
              </w:rPr>
              <w:t xml:space="preserve"> </w:t>
            </w:r>
            <m:oMath>
              <m:r>
                <m:rPr>
                  <m:sty m:val="bi"/>
                </m:rPr>
                <w:rPr>
                  <w:rFonts w:ascii="Cambria Math" w:eastAsia="Cambria Math" w:hAnsi="Cambria Math" w:cs="Arial"/>
                </w:rPr>
                <m:t>T</m:t>
              </m:r>
              <m:sSub>
                <m:sSubPr>
                  <m:ctrlPr>
                    <w:rPr>
                      <w:rFonts w:ascii="Cambria Math" w:eastAsia="Cambria Math" w:hAnsi="Cambria Math" w:cs="Arial"/>
                      <w:b/>
                      <w:i/>
                    </w:rPr>
                  </m:ctrlPr>
                </m:sSubPr>
                <m:e>
                  <m:r>
                    <m:rPr>
                      <m:sty m:val="bi"/>
                    </m:rPr>
                    <w:rPr>
                      <w:rFonts w:ascii="Cambria Math" w:eastAsia="Cambria Math" w:hAnsi="Cambria Math" w:cs="Arial"/>
                    </w:rPr>
                    <m:t>L</m:t>
                  </m:r>
                </m:e>
                <m:sub>
                  <m:r>
                    <m:rPr>
                      <m:sty m:val="bi"/>
                    </m:rPr>
                    <w:rPr>
                      <w:rFonts w:ascii="Cambria Math" w:eastAsia="Cambria Math" w:hAnsi="Cambria Math" w:cs="Arial"/>
                    </w:rPr>
                    <m:t>c</m:t>
                  </m:r>
                </m:sub>
              </m:sSub>
            </m:oMath>
          </w:p>
        </w:tc>
        <w:tc>
          <w:tcPr>
            <w:tcW w:w="198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1A2F56A1"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r w:rsidR="00DA7E40" w:rsidRPr="00D800F0" w14:paraId="395C5149" w14:textId="77777777" w:rsidTr="0000614D">
        <w:trPr>
          <w:cantSplit/>
          <w:trHeight w:val="44"/>
        </w:trPr>
        <w:tc>
          <w:tcPr>
            <w:tcW w:w="1520"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1D5BA213" w14:textId="77777777" w:rsidR="00DA7E40" w:rsidRPr="00D800F0" w:rsidRDefault="00000000" w:rsidP="0000614D">
            <w:pPr>
              <w:jc w:val="center"/>
              <w:rPr>
                <w:rFonts w:ascii="Arial" w:hAnsi="Arial" w:cs="Arial"/>
              </w:rPr>
            </w:pPr>
            <m:oMathPara>
              <m:oMath>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ins</m:t>
                    </m:r>
                  </m:sub>
                </m:sSub>
              </m:oMath>
            </m:oMathPara>
          </w:p>
        </w:tc>
        <w:tc>
          <w:tcPr>
            <w:tcW w:w="2970"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5F656B79" w14:textId="77777777" w:rsidR="00DA7E40" w:rsidRPr="00D800F0" w:rsidRDefault="00DA7E40" w:rsidP="0000614D">
            <w:pPr>
              <w:spacing w:line="256" w:lineRule="auto"/>
              <w:jc w:val="center"/>
              <w:rPr>
                <w:rFonts w:ascii="Arial" w:hAnsi="Arial" w:cs="Arial"/>
              </w:rPr>
            </w:pPr>
            <w:r w:rsidRPr="00D800F0">
              <w:rPr>
                <w:rFonts w:ascii="Arial" w:hAnsi="Arial" w:cs="Arial"/>
              </w:rPr>
              <w:t>0.2</w:t>
            </w:r>
          </w:p>
        </w:tc>
        <w:tc>
          <w:tcPr>
            <w:tcW w:w="2160"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50D8E01E" w14:textId="77777777" w:rsidR="00DA7E40" w:rsidRPr="00D800F0" w:rsidRDefault="00DA7E40" w:rsidP="0000614D">
            <w:pPr>
              <w:spacing w:line="256" w:lineRule="auto"/>
              <w:jc w:val="center"/>
              <w:rPr>
                <w:rFonts w:ascii="Arial" w:hAnsi="Arial" w:cs="Arial"/>
              </w:rPr>
            </w:pPr>
            <w:r w:rsidRPr="00D800F0">
              <w:rPr>
                <w:rFonts w:ascii="Arial" w:hAnsi="Arial" w:cs="Arial"/>
                <w:shd w:val="clear" w:color="auto" w:fill="F7F7F8"/>
              </w:rPr>
              <w:t>%</w:t>
            </w:r>
            <w:r w:rsidRPr="00D800F0">
              <w:rPr>
                <w:rFonts w:ascii="Arial" w:eastAsia="Cambria Math" w:hAnsi="Arial" w:cs="Arial"/>
                <w:b/>
                <w:i/>
              </w:rPr>
              <w:t xml:space="preserve"> </w:t>
            </w:r>
            <m:oMath>
              <m:r>
                <m:rPr>
                  <m:sty m:val="bi"/>
                </m:rPr>
                <w:rPr>
                  <w:rFonts w:ascii="Cambria Math" w:eastAsia="Cambria Math" w:hAnsi="Cambria Math" w:cs="Arial"/>
                </w:rPr>
                <m:t>FC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oMath>
          </w:p>
        </w:tc>
        <w:tc>
          <w:tcPr>
            <w:tcW w:w="1980" w:type="dxa"/>
            <w:tcBorders>
              <w:top w:val="single" w:sz="8" w:space="0" w:color="F7F7F8"/>
              <w:left w:val="single" w:sz="8" w:space="0" w:color="F7F7F8"/>
              <w:bottom w:val="single" w:sz="4" w:space="0" w:color="auto"/>
              <w:right w:val="single" w:sz="8" w:space="0" w:color="F7F7F8"/>
            </w:tcBorders>
            <w:tcMar>
              <w:top w:w="0" w:type="dxa"/>
              <w:left w:w="100" w:type="dxa"/>
              <w:bottom w:w="0" w:type="dxa"/>
              <w:right w:w="100" w:type="dxa"/>
            </w:tcMar>
          </w:tcPr>
          <w:p w14:paraId="2B1AAC9A" w14:textId="77777777" w:rsidR="00DA7E40" w:rsidRPr="00D800F0" w:rsidRDefault="00DA7E40" w:rsidP="0000614D">
            <w:pPr>
              <w:spacing w:line="256" w:lineRule="auto"/>
              <w:jc w:val="center"/>
              <w:rPr>
                <w:rFonts w:ascii="Arial" w:hAnsi="Arial" w:cs="Arial"/>
              </w:rPr>
            </w:pPr>
            <w:r w:rsidRPr="00D800F0">
              <w:rPr>
                <w:rFonts w:ascii="Arial" w:hAnsi="Arial" w:cs="Arial"/>
              </w:rPr>
              <w:t>Peters et al., 2003</w:t>
            </w:r>
          </w:p>
        </w:tc>
      </w:tr>
    </w:tbl>
    <w:p w14:paraId="25A71FFC" w14:textId="77777777" w:rsidR="00DA7E40" w:rsidRPr="00D800F0" w:rsidRDefault="00DA7E40" w:rsidP="00DA7E40">
      <w:pPr>
        <w:rPr>
          <w:rFonts w:ascii="Arial" w:hAnsi="Arial" w:cs="Arial"/>
        </w:rPr>
      </w:pPr>
    </w:p>
    <w:p w14:paraId="1782BE72"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7</w:t>
      </w:r>
      <w:r w:rsidRPr="00D800F0">
        <w:rPr>
          <w:rFonts w:ascii="Arial" w:hAnsi="Arial" w:cs="Arial"/>
          <w:noProof/>
        </w:rPr>
        <w:fldChar w:fldCharType="end"/>
      </w:r>
      <w:r w:rsidRPr="00D800F0">
        <w:rPr>
          <w:rFonts w:ascii="Arial" w:hAnsi="Arial" w:cs="Arial"/>
        </w:rPr>
        <w:t>: Miscellaneous raw materials costs.</w:t>
      </w:r>
    </w:p>
    <w:tbl>
      <w:tblPr>
        <w:tblW w:w="954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50"/>
        <w:gridCol w:w="1260"/>
        <w:gridCol w:w="900"/>
        <w:gridCol w:w="6030"/>
      </w:tblGrid>
      <w:tr w:rsidR="00DA7E40" w:rsidRPr="00D800F0" w14:paraId="47A4000A" w14:textId="77777777" w:rsidTr="0000614D">
        <w:trPr>
          <w:cantSplit/>
          <w:trHeight w:val="52"/>
        </w:trPr>
        <w:tc>
          <w:tcPr>
            <w:tcW w:w="135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0DD0E23A"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126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21837123" w14:textId="77777777" w:rsidR="00DA7E40" w:rsidRPr="00D800F0" w:rsidRDefault="00DA7E40" w:rsidP="0000614D">
            <w:pPr>
              <w:spacing w:line="256" w:lineRule="auto"/>
              <w:jc w:val="center"/>
              <w:rPr>
                <w:rFonts w:ascii="Arial" w:hAnsi="Arial" w:cs="Arial"/>
                <w:b/>
              </w:rPr>
            </w:pPr>
            <w:r w:rsidRPr="00D800F0">
              <w:rPr>
                <w:rFonts w:ascii="Arial" w:hAnsi="Arial" w:cs="Arial"/>
                <w:b/>
              </w:rPr>
              <w:t>Value</w:t>
            </w:r>
          </w:p>
        </w:tc>
        <w:tc>
          <w:tcPr>
            <w:tcW w:w="90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4A9809AE"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603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45B83A5E"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tr w:rsidR="00DA7E40" w:rsidRPr="00D800F0" w14:paraId="4C81368D" w14:textId="77777777" w:rsidTr="0000614D">
        <w:trPr>
          <w:cantSplit/>
          <w:trHeight w:val="417"/>
        </w:trPr>
        <w:tc>
          <w:tcPr>
            <w:tcW w:w="1350" w:type="dxa"/>
            <w:tcBorders>
              <w:left w:val="single" w:sz="8" w:space="0" w:color="F7F7F8"/>
              <w:bottom w:val="single" w:sz="8" w:space="0" w:color="F7F7F8"/>
              <w:right w:val="single" w:sz="8" w:space="0" w:color="F7F7F8"/>
            </w:tcBorders>
            <w:tcMar>
              <w:top w:w="0" w:type="dxa"/>
              <w:left w:w="100" w:type="dxa"/>
              <w:bottom w:w="0" w:type="dxa"/>
              <w:right w:w="100" w:type="dxa"/>
            </w:tcMar>
          </w:tcPr>
          <w:p w14:paraId="79A25BF1" w14:textId="77777777" w:rsidR="00DA7E40" w:rsidRPr="00D800F0" w:rsidRDefault="00DA7E40" w:rsidP="0000614D">
            <w:pPr>
              <w:spacing w:line="256" w:lineRule="auto"/>
              <w:jc w:val="center"/>
              <w:rPr>
                <w:rFonts w:ascii="Arial" w:hAnsi="Arial" w:cs="Arial"/>
              </w:rPr>
            </w:pPr>
            <w:r w:rsidRPr="00D800F0">
              <w:rPr>
                <w:rFonts w:ascii="Arial" w:hAnsi="Arial" w:cs="Arial"/>
              </w:rPr>
              <w:t>AP SMR</w:t>
            </w:r>
          </w:p>
        </w:tc>
        <w:tc>
          <w:tcPr>
            <w:tcW w:w="1260" w:type="dxa"/>
            <w:tcBorders>
              <w:left w:val="single" w:sz="8" w:space="0" w:color="F7F7F8"/>
              <w:bottom w:val="single" w:sz="8" w:space="0" w:color="F7F7F8"/>
              <w:right w:val="single" w:sz="8" w:space="0" w:color="F7F7F8"/>
            </w:tcBorders>
            <w:tcMar>
              <w:top w:w="0" w:type="dxa"/>
              <w:left w:w="100" w:type="dxa"/>
              <w:bottom w:w="0" w:type="dxa"/>
              <w:right w:w="100" w:type="dxa"/>
            </w:tcMar>
          </w:tcPr>
          <w:p w14:paraId="64AE245C" w14:textId="77777777" w:rsidR="00DA7E40" w:rsidRPr="00D800F0" w:rsidRDefault="00DA7E40" w:rsidP="0000614D">
            <w:pPr>
              <w:spacing w:line="256" w:lineRule="auto"/>
              <w:jc w:val="center"/>
              <w:rPr>
                <w:rFonts w:ascii="Arial" w:hAnsi="Arial" w:cs="Arial"/>
              </w:rPr>
            </w:pPr>
            <w:r w:rsidRPr="00D800F0">
              <w:rPr>
                <w:rFonts w:ascii="Arial" w:hAnsi="Arial" w:cs="Arial"/>
              </w:rPr>
              <w:t>6824075.7</w:t>
            </w:r>
          </w:p>
        </w:tc>
        <w:tc>
          <w:tcPr>
            <w:tcW w:w="900" w:type="dxa"/>
            <w:tcBorders>
              <w:left w:val="single" w:sz="8" w:space="0" w:color="F7F7F8"/>
              <w:bottom w:val="single" w:sz="8" w:space="0" w:color="F7F7F8"/>
              <w:right w:val="single" w:sz="8" w:space="0" w:color="F7F7F8"/>
            </w:tcBorders>
            <w:tcMar>
              <w:top w:w="0" w:type="dxa"/>
              <w:left w:w="100" w:type="dxa"/>
              <w:bottom w:w="0" w:type="dxa"/>
              <w:right w:w="100" w:type="dxa"/>
            </w:tcMar>
          </w:tcPr>
          <w:p w14:paraId="07B5C859"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shd w:val="clear" w:color="auto" w:fill="F7F7F8"/>
              </w:rPr>
              <w:t>$/year</w:t>
            </w:r>
          </w:p>
        </w:tc>
        <w:tc>
          <w:tcPr>
            <w:tcW w:w="6030" w:type="dxa"/>
            <w:tcBorders>
              <w:left w:val="single" w:sz="8" w:space="0" w:color="F7F7F8"/>
              <w:bottom w:val="single" w:sz="8" w:space="0" w:color="F7F7F8"/>
              <w:right w:val="single" w:sz="8" w:space="0" w:color="F7F7F8"/>
            </w:tcBorders>
            <w:tcMar>
              <w:top w:w="0" w:type="dxa"/>
              <w:left w:w="100" w:type="dxa"/>
              <w:bottom w:w="0" w:type="dxa"/>
              <w:right w:w="100" w:type="dxa"/>
            </w:tcMar>
          </w:tcPr>
          <w:p w14:paraId="63D3B986"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rPr>
              <w:t>Lewis et al., 2022; Brasington et al., 2011; A.F. Young et al., 2021</w:t>
            </w:r>
          </w:p>
        </w:tc>
      </w:tr>
      <w:tr w:rsidR="00DA7E40" w:rsidRPr="00D800F0" w14:paraId="45DBE55F" w14:textId="77777777" w:rsidTr="0000614D">
        <w:trPr>
          <w:cantSplit/>
          <w:trHeight w:val="630"/>
        </w:trPr>
        <w:tc>
          <w:tcPr>
            <w:tcW w:w="135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14169624" w14:textId="77777777" w:rsidR="00DA7E40" w:rsidRPr="00D800F0" w:rsidRDefault="00DA7E40" w:rsidP="0000614D">
            <w:pPr>
              <w:spacing w:line="256" w:lineRule="auto"/>
              <w:jc w:val="center"/>
              <w:rPr>
                <w:rFonts w:ascii="Arial" w:hAnsi="Arial" w:cs="Arial"/>
              </w:rPr>
            </w:pPr>
            <w:r w:rsidRPr="00D800F0">
              <w:rPr>
                <w:rFonts w:ascii="Arial" w:hAnsi="Arial" w:cs="Arial"/>
              </w:rPr>
              <w:t>AP CCS</w:t>
            </w:r>
          </w:p>
        </w:tc>
        <w:tc>
          <w:tcPr>
            <w:tcW w:w="126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418AB187" w14:textId="77777777" w:rsidR="00DA7E40" w:rsidRPr="00D800F0" w:rsidRDefault="00DA7E40" w:rsidP="0000614D">
            <w:pPr>
              <w:spacing w:line="256" w:lineRule="auto"/>
              <w:jc w:val="center"/>
              <w:rPr>
                <w:rFonts w:ascii="Arial" w:hAnsi="Arial" w:cs="Arial"/>
              </w:rPr>
            </w:pPr>
            <w:r w:rsidRPr="00D800F0">
              <w:rPr>
                <w:rFonts w:ascii="Arial" w:hAnsi="Arial" w:cs="Arial"/>
              </w:rPr>
              <w:t>12434783.5</w:t>
            </w:r>
          </w:p>
        </w:tc>
        <w:tc>
          <w:tcPr>
            <w:tcW w:w="90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0C968B4"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shd w:val="clear" w:color="auto" w:fill="F7F7F8"/>
              </w:rPr>
              <w:t>$/year</w:t>
            </w:r>
          </w:p>
        </w:tc>
        <w:tc>
          <w:tcPr>
            <w:tcW w:w="603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49C28101"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rPr>
              <w:t>Lewis et al., 2022; Brasington et al., 2011; A.F. Young et al., 2021</w:t>
            </w:r>
          </w:p>
        </w:tc>
      </w:tr>
      <w:tr w:rsidR="00DA7E40" w:rsidRPr="00D800F0" w14:paraId="575D2267" w14:textId="77777777" w:rsidTr="0000614D">
        <w:trPr>
          <w:cantSplit/>
          <w:trHeight w:val="405"/>
        </w:trPr>
        <w:tc>
          <w:tcPr>
            <w:tcW w:w="135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1FFB42EF" w14:textId="77777777" w:rsidR="00DA7E40" w:rsidRPr="00D800F0" w:rsidRDefault="00DA7E40" w:rsidP="0000614D">
            <w:pPr>
              <w:spacing w:line="256" w:lineRule="auto"/>
              <w:jc w:val="center"/>
              <w:rPr>
                <w:rFonts w:ascii="Arial" w:hAnsi="Arial" w:cs="Arial"/>
              </w:rPr>
            </w:pPr>
            <w:r w:rsidRPr="00D800F0">
              <w:rPr>
                <w:rFonts w:ascii="Arial" w:hAnsi="Arial" w:cs="Arial"/>
              </w:rPr>
              <w:t>AP BH2S</w:t>
            </w:r>
          </w:p>
        </w:tc>
        <w:tc>
          <w:tcPr>
            <w:tcW w:w="126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5438100" w14:textId="77777777" w:rsidR="00DA7E40" w:rsidRPr="00D800F0" w:rsidRDefault="00DA7E40" w:rsidP="0000614D">
            <w:pPr>
              <w:spacing w:line="256" w:lineRule="auto"/>
              <w:jc w:val="center"/>
              <w:rPr>
                <w:rFonts w:ascii="Arial" w:hAnsi="Arial" w:cs="Arial"/>
              </w:rPr>
            </w:pPr>
            <w:r w:rsidRPr="00D800F0">
              <w:rPr>
                <w:rFonts w:ascii="Arial" w:hAnsi="Arial" w:cs="Arial"/>
              </w:rPr>
              <w:t>27093089.5</w:t>
            </w:r>
          </w:p>
        </w:tc>
        <w:tc>
          <w:tcPr>
            <w:tcW w:w="90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9B89CFE" w14:textId="77777777" w:rsidR="00DA7E40" w:rsidRPr="00D800F0" w:rsidRDefault="00DA7E40" w:rsidP="0000614D">
            <w:pPr>
              <w:spacing w:line="256" w:lineRule="auto"/>
              <w:jc w:val="center"/>
              <w:rPr>
                <w:rFonts w:ascii="Arial" w:hAnsi="Arial" w:cs="Arial"/>
              </w:rPr>
            </w:pPr>
            <w:r w:rsidRPr="00D800F0">
              <w:rPr>
                <w:rFonts w:ascii="Arial" w:hAnsi="Arial" w:cs="Arial"/>
                <w:shd w:val="clear" w:color="auto" w:fill="F7F7F8"/>
              </w:rPr>
              <w:t>$/year</w:t>
            </w:r>
          </w:p>
        </w:tc>
        <w:tc>
          <w:tcPr>
            <w:tcW w:w="603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0A6B7466" w14:textId="77777777" w:rsidR="00DA7E40" w:rsidRPr="00D800F0" w:rsidRDefault="00DA7E40" w:rsidP="0000614D">
            <w:pPr>
              <w:spacing w:line="256" w:lineRule="auto"/>
              <w:jc w:val="center"/>
              <w:rPr>
                <w:rFonts w:ascii="Arial" w:hAnsi="Arial" w:cs="Arial"/>
              </w:rPr>
            </w:pPr>
            <w:r w:rsidRPr="00D800F0">
              <w:rPr>
                <w:rFonts w:ascii="Arial" w:hAnsi="Arial" w:cs="Arial"/>
              </w:rPr>
              <w:t>Lewis et al., 2022; Brasington et al., 2011; A.F. Young et al., 2021</w:t>
            </w:r>
          </w:p>
        </w:tc>
      </w:tr>
      <w:tr w:rsidR="00DA7E40" w:rsidRPr="00D800F0" w14:paraId="58E37B92" w14:textId="77777777" w:rsidTr="0000614D">
        <w:trPr>
          <w:cantSplit/>
          <w:trHeight w:val="462"/>
        </w:trPr>
        <w:tc>
          <w:tcPr>
            <w:tcW w:w="1350"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2AFDAFD9" w14:textId="77777777" w:rsidR="00DA7E40" w:rsidRPr="00D800F0" w:rsidRDefault="00DA7E40" w:rsidP="0000614D">
            <w:pPr>
              <w:spacing w:line="256" w:lineRule="auto"/>
              <w:jc w:val="center"/>
              <w:rPr>
                <w:rFonts w:ascii="Arial" w:hAnsi="Arial" w:cs="Arial"/>
              </w:rPr>
            </w:pPr>
            <w:r w:rsidRPr="00D800F0">
              <w:rPr>
                <w:rFonts w:ascii="Arial" w:hAnsi="Arial" w:cs="Arial"/>
              </w:rPr>
              <w:t>AP AEC</w:t>
            </w:r>
          </w:p>
        </w:tc>
        <w:tc>
          <w:tcPr>
            <w:tcW w:w="1260"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614FD6EC" w14:textId="77777777" w:rsidR="00DA7E40" w:rsidRPr="00D800F0" w:rsidRDefault="00DA7E40" w:rsidP="0000614D">
            <w:pPr>
              <w:spacing w:line="256" w:lineRule="auto"/>
              <w:jc w:val="center"/>
              <w:rPr>
                <w:rFonts w:ascii="Arial" w:hAnsi="Arial" w:cs="Arial"/>
              </w:rPr>
            </w:pPr>
            <w:r w:rsidRPr="00D800F0">
              <w:rPr>
                <w:rFonts w:ascii="Arial" w:hAnsi="Arial" w:cs="Arial"/>
              </w:rPr>
              <w:t>335267.1</w:t>
            </w:r>
          </w:p>
        </w:tc>
        <w:tc>
          <w:tcPr>
            <w:tcW w:w="900"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4EF4F353" w14:textId="77777777" w:rsidR="00DA7E40" w:rsidRPr="00D800F0" w:rsidRDefault="00DA7E40" w:rsidP="0000614D">
            <w:pPr>
              <w:spacing w:line="256" w:lineRule="auto"/>
              <w:jc w:val="center"/>
              <w:rPr>
                <w:rFonts w:ascii="Arial" w:hAnsi="Arial" w:cs="Arial"/>
              </w:rPr>
            </w:pPr>
            <w:r w:rsidRPr="00D800F0">
              <w:rPr>
                <w:rFonts w:ascii="Arial" w:hAnsi="Arial" w:cs="Arial"/>
                <w:shd w:val="clear" w:color="auto" w:fill="F7F7F8"/>
              </w:rPr>
              <w:t>$/year</w:t>
            </w:r>
          </w:p>
        </w:tc>
        <w:tc>
          <w:tcPr>
            <w:tcW w:w="6030"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26279DF5" w14:textId="77777777" w:rsidR="00DA7E40" w:rsidRPr="00D800F0" w:rsidRDefault="00DA7E40" w:rsidP="0000614D">
            <w:pPr>
              <w:spacing w:line="256" w:lineRule="auto"/>
              <w:jc w:val="center"/>
              <w:rPr>
                <w:rFonts w:ascii="Arial" w:hAnsi="Arial" w:cs="Arial"/>
              </w:rPr>
            </w:pPr>
            <w:r w:rsidRPr="00D800F0">
              <w:rPr>
                <w:rFonts w:ascii="Arial" w:hAnsi="Arial" w:cs="Arial"/>
              </w:rPr>
              <w:t>Lewis et al., 2022; Brasington et al., 2011; A.F. Young et al., 2021</w:t>
            </w:r>
          </w:p>
        </w:tc>
      </w:tr>
    </w:tbl>
    <w:p w14:paraId="2A087964" w14:textId="77777777" w:rsidR="00DA7E40" w:rsidRPr="00D800F0" w:rsidRDefault="00DA7E40" w:rsidP="00DA7E40">
      <w:pPr>
        <w:rPr>
          <w:rFonts w:ascii="Arial" w:hAnsi="Arial" w:cs="Arial"/>
        </w:rPr>
      </w:pPr>
    </w:p>
    <w:p w14:paraId="2225B3A4" w14:textId="77777777" w:rsidR="00DA7E40" w:rsidRPr="00D800F0" w:rsidRDefault="00DA7E40" w:rsidP="00DA7E40">
      <w:pPr>
        <w:pStyle w:val="Caption"/>
        <w:rPr>
          <w:rFonts w:ascii="Arial" w:hAnsi="Arial" w:cs="Arial"/>
        </w:rPr>
      </w:pPr>
      <w:bookmarkStart w:id="29" w:name="_Ref146926769"/>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8</w:t>
      </w:r>
      <w:r w:rsidRPr="00D800F0">
        <w:rPr>
          <w:rFonts w:ascii="Arial" w:hAnsi="Arial" w:cs="Arial"/>
          <w:noProof/>
        </w:rPr>
        <w:fldChar w:fldCharType="end"/>
      </w:r>
      <w:bookmarkEnd w:id="29"/>
      <w:r w:rsidRPr="00D800F0">
        <w:rPr>
          <w:rFonts w:ascii="Arial" w:hAnsi="Arial" w:cs="Arial"/>
        </w:rPr>
        <w:t>: Start-up costs</w:t>
      </w:r>
    </w:p>
    <w:tbl>
      <w:tblPr>
        <w:tblW w:w="8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30"/>
        <w:gridCol w:w="1890"/>
        <w:gridCol w:w="630"/>
        <w:gridCol w:w="4184"/>
      </w:tblGrid>
      <w:tr w:rsidR="00DA7E40" w:rsidRPr="00D800F0" w14:paraId="70588F43" w14:textId="77777777" w:rsidTr="0000614D">
        <w:trPr>
          <w:cantSplit/>
          <w:trHeight w:val="405"/>
        </w:trPr>
        <w:tc>
          <w:tcPr>
            <w:tcW w:w="143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1B696AE7"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189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3636EEF8" w14:textId="77777777" w:rsidR="00DA7E40" w:rsidRPr="00D800F0" w:rsidRDefault="00DA7E40" w:rsidP="0000614D">
            <w:pPr>
              <w:spacing w:line="256" w:lineRule="auto"/>
              <w:jc w:val="center"/>
              <w:rPr>
                <w:rFonts w:ascii="Arial" w:hAnsi="Arial" w:cs="Arial"/>
                <w:b/>
              </w:rPr>
            </w:pPr>
            <w:r w:rsidRPr="00D800F0">
              <w:rPr>
                <w:rFonts w:ascii="Arial" w:hAnsi="Arial" w:cs="Arial"/>
                <w:b/>
              </w:rPr>
              <w:t>Value</w:t>
            </w:r>
          </w:p>
        </w:tc>
        <w:tc>
          <w:tcPr>
            <w:tcW w:w="630"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747A6BC5"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4184"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17854FF1"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tr w:rsidR="00DA7E40" w:rsidRPr="00D800F0" w14:paraId="4FF08773" w14:textId="77777777" w:rsidTr="0000614D">
        <w:trPr>
          <w:cantSplit/>
          <w:trHeight w:val="44"/>
        </w:trPr>
        <w:tc>
          <w:tcPr>
            <w:tcW w:w="1430" w:type="dxa"/>
            <w:tcBorders>
              <w:left w:val="single" w:sz="8" w:space="0" w:color="F7F7F8"/>
              <w:bottom w:val="single" w:sz="8" w:space="0" w:color="F7F7F8"/>
              <w:right w:val="single" w:sz="8" w:space="0" w:color="F7F7F8"/>
            </w:tcBorders>
            <w:tcMar>
              <w:top w:w="0" w:type="dxa"/>
              <w:left w:w="100" w:type="dxa"/>
              <w:bottom w:w="0" w:type="dxa"/>
              <w:right w:w="100" w:type="dxa"/>
            </w:tcMar>
          </w:tcPr>
          <w:p w14:paraId="107CFED2" w14:textId="77777777" w:rsidR="00DA7E40" w:rsidRPr="00D800F0" w:rsidRDefault="00DA7E40" w:rsidP="0000614D">
            <w:pPr>
              <w:spacing w:line="256" w:lineRule="auto"/>
              <w:jc w:val="center"/>
              <w:rPr>
                <w:rFonts w:ascii="Arial" w:hAnsi="Arial" w:cs="Arial"/>
              </w:rPr>
            </w:pPr>
            <w:r w:rsidRPr="00D800F0">
              <w:rPr>
                <w:rFonts w:ascii="Arial" w:hAnsi="Arial" w:cs="Arial"/>
              </w:rPr>
              <w:t>AP SMR</w:t>
            </w:r>
          </w:p>
        </w:tc>
        <w:tc>
          <w:tcPr>
            <w:tcW w:w="1890" w:type="dxa"/>
            <w:tcBorders>
              <w:left w:val="single" w:sz="8" w:space="0" w:color="F7F7F8"/>
              <w:bottom w:val="single" w:sz="8" w:space="0" w:color="F7F7F8"/>
              <w:right w:val="single" w:sz="8" w:space="0" w:color="F7F7F8"/>
            </w:tcBorders>
            <w:tcMar>
              <w:top w:w="0" w:type="dxa"/>
              <w:left w:w="100" w:type="dxa"/>
              <w:bottom w:w="0" w:type="dxa"/>
              <w:right w:w="100" w:type="dxa"/>
            </w:tcMar>
          </w:tcPr>
          <w:p w14:paraId="26486CF9" w14:textId="77777777" w:rsidR="00DA7E40" w:rsidRPr="00D800F0" w:rsidRDefault="00DA7E40" w:rsidP="0000614D">
            <w:pPr>
              <w:spacing w:line="256" w:lineRule="auto"/>
              <w:jc w:val="center"/>
              <w:rPr>
                <w:rFonts w:ascii="Arial" w:hAnsi="Arial" w:cs="Arial"/>
              </w:rPr>
            </w:pPr>
            <w:r w:rsidRPr="00D800F0">
              <w:rPr>
                <w:rFonts w:ascii="Arial" w:hAnsi="Arial" w:cs="Arial"/>
              </w:rPr>
              <w:t>15413897.7</w:t>
            </w:r>
          </w:p>
        </w:tc>
        <w:tc>
          <w:tcPr>
            <w:tcW w:w="630" w:type="dxa"/>
            <w:tcBorders>
              <w:left w:val="single" w:sz="8" w:space="0" w:color="F7F7F8"/>
              <w:bottom w:val="single" w:sz="8" w:space="0" w:color="F7F7F8"/>
              <w:right w:val="single" w:sz="8" w:space="0" w:color="F7F7F8"/>
            </w:tcBorders>
            <w:tcMar>
              <w:top w:w="0" w:type="dxa"/>
              <w:left w:w="100" w:type="dxa"/>
              <w:bottom w:w="0" w:type="dxa"/>
              <w:right w:w="100" w:type="dxa"/>
            </w:tcMar>
          </w:tcPr>
          <w:p w14:paraId="43894627"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shd w:val="clear" w:color="auto" w:fill="F7F7F8"/>
              </w:rPr>
              <w:t>$</w:t>
            </w:r>
          </w:p>
        </w:tc>
        <w:tc>
          <w:tcPr>
            <w:tcW w:w="4184" w:type="dxa"/>
            <w:tcBorders>
              <w:left w:val="single" w:sz="8" w:space="0" w:color="F7F7F8"/>
              <w:bottom w:val="single" w:sz="8" w:space="0" w:color="F7F7F8"/>
              <w:right w:val="single" w:sz="8" w:space="0" w:color="F7F7F8"/>
            </w:tcBorders>
            <w:tcMar>
              <w:top w:w="0" w:type="dxa"/>
              <w:left w:w="100" w:type="dxa"/>
              <w:bottom w:w="0" w:type="dxa"/>
              <w:right w:w="100" w:type="dxa"/>
            </w:tcMar>
          </w:tcPr>
          <w:p w14:paraId="04551AC4" w14:textId="77777777" w:rsidR="00DA7E40" w:rsidRPr="00D800F0" w:rsidRDefault="00DA7E40" w:rsidP="0000614D">
            <w:pPr>
              <w:spacing w:line="256" w:lineRule="auto"/>
              <w:jc w:val="center"/>
              <w:rPr>
                <w:rFonts w:ascii="Arial" w:hAnsi="Arial" w:cs="Arial"/>
              </w:rPr>
            </w:pPr>
            <w:r w:rsidRPr="00D800F0">
              <w:rPr>
                <w:rFonts w:ascii="Arial" w:hAnsi="Arial" w:cs="Arial"/>
              </w:rPr>
              <w:t>Lewis et al., 2022; Brasington et al., 2011</w:t>
            </w:r>
          </w:p>
        </w:tc>
      </w:tr>
      <w:tr w:rsidR="00DA7E40" w:rsidRPr="00D800F0" w14:paraId="53851D80" w14:textId="77777777" w:rsidTr="0000614D">
        <w:trPr>
          <w:cantSplit/>
          <w:trHeight w:val="44"/>
        </w:trPr>
        <w:tc>
          <w:tcPr>
            <w:tcW w:w="143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59893419" w14:textId="77777777" w:rsidR="00DA7E40" w:rsidRPr="00D800F0" w:rsidRDefault="00DA7E40" w:rsidP="0000614D">
            <w:pPr>
              <w:spacing w:line="256" w:lineRule="auto"/>
              <w:jc w:val="center"/>
              <w:rPr>
                <w:rFonts w:ascii="Arial" w:hAnsi="Arial" w:cs="Arial"/>
              </w:rPr>
            </w:pPr>
            <w:r w:rsidRPr="00D800F0">
              <w:rPr>
                <w:rFonts w:ascii="Arial" w:hAnsi="Arial" w:cs="Arial"/>
              </w:rPr>
              <w:t>AP CCS</w:t>
            </w:r>
          </w:p>
        </w:tc>
        <w:tc>
          <w:tcPr>
            <w:tcW w:w="189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7FA07D71" w14:textId="77777777" w:rsidR="00DA7E40" w:rsidRPr="00D800F0" w:rsidRDefault="00DA7E40" w:rsidP="0000614D">
            <w:pPr>
              <w:spacing w:line="256" w:lineRule="auto"/>
              <w:jc w:val="center"/>
              <w:rPr>
                <w:rFonts w:ascii="Arial" w:hAnsi="Arial" w:cs="Arial"/>
              </w:rPr>
            </w:pPr>
            <w:r w:rsidRPr="00D800F0">
              <w:rPr>
                <w:rFonts w:ascii="Arial" w:hAnsi="Arial" w:cs="Arial"/>
              </w:rPr>
              <w:t>16514194.1</w:t>
            </w:r>
          </w:p>
        </w:tc>
        <w:tc>
          <w:tcPr>
            <w:tcW w:w="63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4AF95A80" w14:textId="77777777" w:rsidR="00DA7E40" w:rsidRPr="00D800F0" w:rsidRDefault="00DA7E40" w:rsidP="0000614D">
            <w:pPr>
              <w:spacing w:line="256" w:lineRule="auto"/>
              <w:jc w:val="center"/>
              <w:rPr>
                <w:rFonts w:ascii="Arial" w:hAnsi="Arial" w:cs="Arial"/>
                <w:shd w:val="clear" w:color="auto" w:fill="F7F7F8"/>
              </w:rPr>
            </w:pPr>
            <w:r w:rsidRPr="00D800F0">
              <w:rPr>
                <w:rFonts w:ascii="Arial" w:hAnsi="Arial" w:cs="Arial"/>
                <w:shd w:val="clear" w:color="auto" w:fill="F7F7F8"/>
              </w:rPr>
              <w:t>$</w:t>
            </w:r>
          </w:p>
        </w:tc>
        <w:tc>
          <w:tcPr>
            <w:tcW w:w="4184"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5B11C37B" w14:textId="77777777" w:rsidR="00DA7E40" w:rsidRPr="00D800F0" w:rsidRDefault="00DA7E40" w:rsidP="0000614D">
            <w:pPr>
              <w:spacing w:line="256" w:lineRule="auto"/>
              <w:jc w:val="center"/>
              <w:rPr>
                <w:rFonts w:ascii="Arial" w:hAnsi="Arial" w:cs="Arial"/>
              </w:rPr>
            </w:pPr>
            <w:r w:rsidRPr="00D800F0">
              <w:rPr>
                <w:rFonts w:ascii="Arial" w:hAnsi="Arial" w:cs="Arial"/>
              </w:rPr>
              <w:t>Lewis et al., 2022; Brasington et al., 2011</w:t>
            </w:r>
          </w:p>
        </w:tc>
      </w:tr>
      <w:tr w:rsidR="00DA7E40" w:rsidRPr="00D800F0" w14:paraId="430B7D96" w14:textId="77777777" w:rsidTr="0000614D">
        <w:trPr>
          <w:cantSplit/>
          <w:trHeight w:val="44"/>
        </w:trPr>
        <w:tc>
          <w:tcPr>
            <w:tcW w:w="143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34C98CD8" w14:textId="77777777" w:rsidR="00DA7E40" w:rsidRPr="00D800F0" w:rsidRDefault="00DA7E40" w:rsidP="0000614D">
            <w:pPr>
              <w:spacing w:line="256" w:lineRule="auto"/>
              <w:jc w:val="center"/>
              <w:rPr>
                <w:rFonts w:ascii="Arial" w:hAnsi="Arial" w:cs="Arial"/>
              </w:rPr>
            </w:pPr>
            <w:r w:rsidRPr="00D800F0">
              <w:rPr>
                <w:rFonts w:ascii="Arial" w:hAnsi="Arial" w:cs="Arial"/>
              </w:rPr>
              <w:t>AP BH2S</w:t>
            </w:r>
          </w:p>
        </w:tc>
        <w:tc>
          <w:tcPr>
            <w:tcW w:w="189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332D100A" w14:textId="77777777" w:rsidR="00DA7E40" w:rsidRPr="00D800F0" w:rsidRDefault="00DA7E40" w:rsidP="0000614D">
            <w:pPr>
              <w:spacing w:line="256" w:lineRule="auto"/>
              <w:jc w:val="center"/>
              <w:rPr>
                <w:rFonts w:ascii="Arial" w:hAnsi="Arial" w:cs="Arial"/>
              </w:rPr>
            </w:pPr>
            <w:r w:rsidRPr="00D800F0">
              <w:rPr>
                <w:rFonts w:ascii="Arial" w:hAnsi="Arial" w:cs="Arial"/>
              </w:rPr>
              <w:t>15532525.5</w:t>
            </w:r>
          </w:p>
        </w:tc>
        <w:tc>
          <w:tcPr>
            <w:tcW w:w="630"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62CD13BE"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4184" w:type="dxa"/>
            <w:tcBorders>
              <w:top w:val="single" w:sz="8" w:space="0" w:color="F7F7F8"/>
              <w:left w:val="single" w:sz="8" w:space="0" w:color="F7F7F8"/>
              <w:bottom w:val="single" w:sz="8" w:space="0" w:color="F7F7F8"/>
              <w:right w:val="single" w:sz="8" w:space="0" w:color="F7F7F8"/>
            </w:tcBorders>
            <w:tcMar>
              <w:top w:w="0" w:type="dxa"/>
              <w:left w:w="100" w:type="dxa"/>
              <w:bottom w:w="0" w:type="dxa"/>
              <w:right w:w="100" w:type="dxa"/>
            </w:tcMar>
          </w:tcPr>
          <w:p w14:paraId="707B3E21" w14:textId="77777777" w:rsidR="00DA7E40" w:rsidRPr="00D800F0" w:rsidRDefault="00DA7E40" w:rsidP="0000614D">
            <w:pPr>
              <w:spacing w:line="256" w:lineRule="auto"/>
              <w:jc w:val="center"/>
              <w:rPr>
                <w:rFonts w:ascii="Arial" w:hAnsi="Arial" w:cs="Arial"/>
              </w:rPr>
            </w:pPr>
            <w:r w:rsidRPr="00D800F0">
              <w:rPr>
                <w:rFonts w:ascii="Arial" w:hAnsi="Arial" w:cs="Arial"/>
              </w:rPr>
              <w:t>Lewis et al., 2022; Brasington et al., 2011</w:t>
            </w:r>
          </w:p>
        </w:tc>
      </w:tr>
      <w:tr w:rsidR="00DA7E40" w:rsidRPr="00D800F0" w14:paraId="60EFDF00" w14:textId="77777777" w:rsidTr="0000614D">
        <w:trPr>
          <w:cantSplit/>
          <w:trHeight w:val="44"/>
        </w:trPr>
        <w:tc>
          <w:tcPr>
            <w:tcW w:w="1430"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2ADDB83D" w14:textId="77777777" w:rsidR="00DA7E40" w:rsidRPr="00D800F0" w:rsidRDefault="00DA7E40" w:rsidP="0000614D">
            <w:pPr>
              <w:spacing w:line="256" w:lineRule="auto"/>
              <w:jc w:val="center"/>
              <w:rPr>
                <w:rFonts w:ascii="Arial" w:hAnsi="Arial" w:cs="Arial"/>
              </w:rPr>
            </w:pPr>
            <w:r w:rsidRPr="00D800F0">
              <w:rPr>
                <w:rFonts w:ascii="Arial" w:hAnsi="Arial" w:cs="Arial"/>
              </w:rPr>
              <w:t>AP AEC</w:t>
            </w:r>
          </w:p>
        </w:tc>
        <w:tc>
          <w:tcPr>
            <w:tcW w:w="1890"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16F1C059" w14:textId="77777777" w:rsidR="00DA7E40" w:rsidRPr="00D800F0" w:rsidRDefault="00DA7E40" w:rsidP="0000614D">
            <w:pPr>
              <w:spacing w:line="256" w:lineRule="auto"/>
              <w:jc w:val="center"/>
              <w:rPr>
                <w:rFonts w:ascii="Arial" w:hAnsi="Arial" w:cs="Arial"/>
              </w:rPr>
            </w:pPr>
            <w:r w:rsidRPr="00D800F0">
              <w:rPr>
                <w:rFonts w:ascii="Arial" w:hAnsi="Arial" w:cs="Arial"/>
              </w:rPr>
              <w:t>118627.7</w:t>
            </w:r>
          </w:p>
        </w:tc>
        <w:tc>
          <w:tcPr>
            <w:tcW w:w="630"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536CD50C"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4184"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1136087A" w14:textId="77777777" w:rsidR="00DA7E40" w:rsidRPr="00D800F0" w:rsidRDefault="00DA7E40" w:rsidP="0000614D">
            <w:pPr>
              <w:spacing w:line="256" w:lineRule="auto"/>
              <w:jc w:val="center"/>
              <w:rPr>
                <w:rFonts w:ascii="Arial" w:hAnsi="Arial" w:cs="Arial"/>
              </w:rPr>
            </w:pPr>
            <w:r w:rsidRPr="00D800F0">
              <w:rPr>
                <w:rFonts w:ascii="Arial" w:hAnsi="Arial" w:cs="Arial"/>
              </w:rPr>
              <w:t>Lewis et al., 2022; Brasington et al., 2011</w:t>
            </w:r>
          </w:p>
        </w:tc>
      </w:tr>
    </w:tbl>
    <w:p w14:paraId="6D4AE30E" w14:textId="77777777" w:rsidR="00DA7E40" w:rsidRPr="00D800F0" w:rsidRDefault="00DA7E40" w:rsidP="00DA7E40">
      <w:pPr>
        <w:rPr>
          <w:rFonts w:ascii="Arial" w:hAnsi="Arial" w:cs="Arial"/>
        </w:rPr>
      </w:pPr>
    </w:p>
    <w:p w14:paraId="6CF58B0A" w14:textId="77777777" w:rsidR="00DA7E40" w:rsidRPr="00D800F0" w:rsidRDefault="00DA7E40" w:rsidP="00DA7E40">
      <w:pPr>
        <w:pStyle w:val="Caption"/>
        <w:rPr>
          <w:rFonts w:ascii="Arial" w:hAnsi="Arial" w:cs="Arial"/>
        </w:rPr>
      </w:pPr>
      <w:r w:rsidRPr="00D800F0">
        <w:rPr>
          <w:rFonts w:ascii="Arial" w:hAnsi="Arial" w:cs="Arial"/>
        </w:rPr>
        <w:lastRenderedPageBreak/>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B</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9</w:t>
      </w:r>
      <w:r w:rsidRPr="00D800F0">
        <w:rPr>
          <w:rFonts w:ascii="Arial" w:hAnsi="Arial" w:cs="Arial"/>
          <w:noProof/>
        </w:rPr>
        <w:fldChar w:fldCharType="end"/>
      </w:r>
      <w:r w:rsidRPr="00D800F0">
        <w:rPr>
          <w:rFonts w:ascii="Arial" w:hAnsi="Arial" w:cs="Arial"/>
        </w:rPr>
        <w:t>: GBM inputs.</w:t>
      </w:r>
    </w:p>
    <w:tbl>
      <w:tblPr>
        <w:tblW w:w="9360" w:type="dxa"/>
        <w:tblBorders>
          <w:top w:val="single" w:sz="4" w:space="0" w:color="auto"/>
          <w:bottom w:val="single" w:sz="4" w:space="0" w:color="auto"/>
        </w:tblBorders>
        <w:tblLayout w:type="fixed"/>
        <w:tblLook w:val="0600" w:firstRow="0" w:lastRow="0" w:firstColumn="0" w:lastColumn="0" w:noHBand="1" w:noVBand="1"/>
      </w:tblPr>
      <w:tblGrid>
        <w:gridCol w:w="3085"/>
        <w:gridCol w:w="2537"/>
        <w:gridCol w:w="1936"/>
        <w:gridCol w:w="1802"/>
      </w:tblGrid>
      <w:tr w:rsidR="00DA7E40" w:rsidRPr="00D800F0" w14:paraId="2CEBBDA3" w14:textId="77777777" w:rsidTr="0000614D">
        <w:trPr>
          <w:cantSplit/>
          <w:trHeight w:val="405"/>
        </w:trPr>
        <w:tc>
          <w:tcPr>
            <w:tcW w:w="3085" w:type="dxa"/>
            <w:tcBorders>
              <w:bottom w:val="single" w:sz="4" w:space="0" w:color="auto"/>
            </w:tcBorders>
            <w:tcMar>
              <w:top w:w="0" w:type="dxa"/>
              <w:left w:w="100" w:type="dxa"/>
              <w:bottom w:w="0" w:type="dxa"/>
              <w:right w:w="100" w:type="dxa"/>
            </w:tcMar>
          </w:tcPr>
          <w:p w14:paraId="22E401AF"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2537" w:type="dxa"/>
            <w:tcBorders>
              <w:bottom w:val="single" w:sz="4" w:space="0" w:color="auto"/>
            </w:tcBorders>
            <w:tcMar>
              <w:top w:w="0" w:type="dxa"/>
              <w:left w:w="100" w:type="dxa"/>
              <w:bottom w:w="0" w:type="dxa"/>
              <w:right w:w="100" w:type="dxa"/>
            </w:tcMar>
          </w:tcPr>
          <w:p w14:paraId="20216494" w14:textId="77777777" w:rsidR="00DA7E40" w:rsidRPr="00D800F0" w:rsidRDefault="00DA7E40" w:rsidP="0000614D">
            <w:pPr>
              <w:spacing w:line="256" w:lineRule="auto"/>
              <w:jc w:val="center"/>
              <w:rPr>
                <w:rFonts w:ascii="Arial" w:hAnsi="Arial" w:cs="Arial"/>
                <w:b/>
              </w:rPr>
            </w:pPr>
            <w:r w:rsidRPr="00D800F0">
              <w:rPr>
                <w:rFonts w:ascii="Arial" w:hAnsi="Arial" w:cs="Arial"/>
                <w:b/>
              </w:rPr>
              <w:t>Value</w:t>
            </w:r>
          </w:p>
        </w:tc>
        <w:tc>
          <w:tcPr>
            <w:tcW w:w="1936" w:type="dxa"/>
            <w:tcBorders>
              <w:bottom w:val="single" w:sz="4" w:space="0" w:color="auto"/>
            </w:tcBorders>
            <w:tcMar>
              <w:top w:w="0" w:type="dxa"/>
              <w:left w:w="100" w:type="dxa"/>
              <w:bottom w:w="0" w:type="dxa"/>
              <w:right w:w="100" w:type="dxa"/>
            </w:tcMar>
          </w:tcPr>
          <w:p w14:paraId="3C1C389D"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1802" w:type="dxa"/>
            <w:tcBorders>
              <w:bottom w:val="single" w:sz="4" w:space="0" w:color="auto"/>
            </w:tcBorders>
            <w:tcMar>
              <w:top w:w="0" w:type="dxa"/>
              <w:left w:w="100" w:type="dxa"/>
              <w:bottom w:w="0" w:type="dxa"/>
              <w:right w:w="100" w:type="dxa"/>
            </w:tcMar>
          </w:tcPr>
          <w:p w14:paraId="21B4B761"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tr w:rsidR="00DA7E40" w:rsidRPr="00D800F0" w14:paraId="3B701308" w14:textId="77777777" w:rsidTr="0000614D">
        <w:trPr>
          <w:cantSplit/>
          <w:trHeight w:val="417"/>
        </w:trPr>
        <w:tc>
          <w:tcPr>
            <w:tcW w:w="3085" w:type="dxa"/>
            <w:tcBorders>
              <w:top w:val="single" w:sz="4" w:space="0" w:color="auto"/>
              <w:bottom w:val="nil"/>
            </w:tcBorders>
            <w:tcMar>
              <w:top w:w="0" w:type="dxa"/>
              <w:left w:w="100" w:type="dxa"/>
              <w:bottom w:w="0" w:type="dxa"/>
              <w:right w:w="100" w:type="dxa"/>
            </w:tcMar>
          </w:tcPr>
          <w:p w14:paraId="6AD6CEEF"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NG</m:t>
                    </m:r>
                  </m:sub>
                </m:sSub>
                <m:d>
                  <m:dPr>
                    <m:ctrlPr>
                      <w:rPr>
                        <w:rFonts w:ascii="Cambria Math" w:eastAsia="Cambria Math" w:hAnsi="Cambria Math" w:cs="Arial"/>
                        <w:b/>
                        <w:bCs/>
                      </w:rPr>
                    </m:ctrlPr>
                  </m:dPr>
                  <m:e>
                    <m:r>
                      <m:rPr>
                        <m:sty m:val="bi"/>
                      </m:rPr>
                      <w:rPr>
                        <w:rFonts w:ascii="Cambria Math" w:eastAsia="Cambria Math" w:hAnsi="Cambria Math" w:cs="Arial"/>
                      </w:rPr>
                      <m:t>T=0</m:t>
                    </m:r>
                  </m:e>
                </m:d>
              </m:oMath>
            </m:oMathPara>
          </w:p>
        </w:tc>
        <w:tc>
          <w:tcPr>
            <w:tcW w:w="2537" w:type="dxa"/>
            <w:tcBorders>
              <w:top w:val="single" w:sz="4" w:space="0" w:color="auto"/>
              <w:bottom w:val="nil"/>
            </w:tcBorders>
            <w:tcMar>
              <w:top w:w="0" w:type="dxa"/>
              <w:left w:w="100" w:type="dxa"/>
              <w:bottom w:w="0" w:type="dxa"/>
              <w:right w:w="100" w:type="dxa"/>
            </w:tcMar>
          </w:tcPr>
          <w:p w14:paraId="4DCD93EB" w14:textId="77777777" w:rsidR="00DA7E40" w:rsidRPr="00D800F0" w:rsidRDefault="00DA7E40" w:rsidP="0000614D">
            <w:pPr>
              <w:spacing w:line="256" w:lineRule="auto"/>
              <w:jc w:val="center"/>
              <w:rPr>
                <w:rFonts w:ascii="Arial" w:hAnsi="Arial" w:cs="Arial"/>
              </w:rPr>
            </w:pPr>
            <w:r w:rsidRPr="00D800F0">
              <w:rPr>
                <w:rFonts w:ascii="Arial" w:hAnsi="Arial" w:cs="Arial"/>
              </w:rPr>
              <w:t>7.753</w:t>
            </w:r>
          </w:p>
        </w:tc>
        <w:tc>
          <w:tcPr>
            <w:tcW w:w="1936" w:type="dxa"/>
            <w:tcBorders>
              <w:top w:val="single" w:sz="4" w:space="0" w:color="auto"/>
              <w:bottom w:val="nil"/>
            </w:tcBorders>
            <w:tcMar>
              <w:top w:w="0" w:type="dxa"/>
              <w:left w:w="100" w:type="dxa"/>
              <w:bottom w:w="0" w:type="dxa"/>
              <w:right w:w="100" w:type="dxa"/>
            </w:tcMar>
          </w:tcPr>
          <w:p w14:paraId="62B08A31" w14:textId="77777777" w:rsidR="00DA7E40" w:rsidRPr="00D800F0" w:rsidRDefault="00DA7E40" w:rsidP="0000614D">
            <w:pPr>
              <w:spacing w:line="256" w:lineRule="auto"/>
              <w:jc w:val="center"/>
              <w:rPr>
                <w:rFonts w:ascii="Arial" w:hAnsi="Arial" w:cs="Arial"/>
              </w:rPr>
            </w:pPr>
            <w:r w:rsidRPr="00D800F0">
              <w:rPr>
                <w:rFonts w:ascii="Arial" w:hAnsi="Arial" w:cs="Arial"/>
              </w:rPr>
              <w:t>$/mmBTU</w:t>
            </w:r>
          </w:p>
        </w:tc>
        <w:tc>
          <w:tcPr>
            <w:tcW w:w="1802" w:type="dxa"/>
            <w:tcBorders>
              <w:top w:val="single" w:sz="4" w:space="0" w:color="auto"/>
              <w:bottom w:val="nil"/>
            </w:tcBorders>
            <w:tcMar>
              <w:top w:w="0" w:type="dxa"/>
              <w:left w:w="100" w:type="dxa"/>
              <w:bottom w:w="0" w:type="dxa"/>
              <w:right w:w="100" w:type="dxa"/>
            </w:tcMar>
          </w:tcPr>
          <w:p w14:paraId="29B26241" w14:textId="5C4B734E" w:rsidR="00DA7E40" w:rsidRPr="00D800F0" w:rsidRDefault="00DA7E40" w:rsidP="0000614D">
            <w:pPr>
              <w:spacing w:line="256" w:lineRule="auto"/>
              <w:jc w:val="center"/>
              <w:rPr>
                <w:rFonts w:ascii="Arial" w:hAnsi="Arial" w:cs="Arial"/>
              </w:rPr>
            </w:pPr>
            <w:r w:rsidRPr="00D800F0">
              <w:rPr>
                <w:rFonts w:ascii="Arial" w:hAnsi="Arial" w:cs="Arial"/>
              </w:rPr>
              <w:t>EIA, 2023</w:t>
            </w:r>
            <w:r w:rsidR="00A61D93" w:rsidRPr="00D800F0">
              <w:rPr>
                <w:rFonts w:ascii="Arial" w:hAnsi="Arial" w:cs="Arial"/>
              </w:rPr>
              <w:t>a</w:t>
            </w:r>
          </w:p>
        </w:tc>
      </w:tr>
      <w:tr w:rsidR="00DA7E40" w:rsidRPr="00D800F0" w14:paraId="0734D162" w14:textId="77777777" w:rsidTr="0000614D">
        <w:trPr>
          <w:cantSplit/>
          <w:trHeight w:val="630"/>
        </w:trPr>
        <w:tc>
          <w:tcPr>
            <w:tcW w:w="3085" w:type="dxa"/>
            <w:tcBorders>
              <w:top w:val="nil"/>
              <w:bottom w:val="nil"/>
            </w:tcBorders>
            <w:tcMar>
              <w:top w:w="0" w:type="dxa"/>
              <w:left w:w="100" w:type="dxa"/>
              <w:bottom w:w="0" w:type="dxa"/>
              <w:right w:w="100" w:type="dxa"/>
            </w:tcMar>
          </w:tcPr>
          <w:p w14:paraId="5596F551" w14:textId="77777777" w:rsidR="00DA7E40" w:rsidRPr="00D800F0" w:rsidRDefault="00DA7E40" w:rsidP="0000614D">
            <w:pPr>
              <w:jc w:val="center"/>
              <w:rPr>
                <w:rFonts w:ascii="Arial" w:hAnsi="Arial" w:cs="Arial"/>
                <w:b/>
                <w:bCs/>
                <w:vertAlign w:val="superscript"/>
              </w:rPr>
            </w:pPr>
            <w:r w:rsidRPr="00D800F0">
              <w:rPr>
                <w:rFonts w:ascii="Arial" w:hAnsi="Arial" w:cs="Arial"/>
              </w:rPr>
              <w:t xml:space="preserve"> </w:t>
            </w:r>
            <m:oMath>
              <m:sSub>
                <m:sSubPr>
                  <m:ctrlPr>
                    <w:rPr>
                      <w:rFonts w:ascii="Cambria Math" w:eastAsia="Cambria Math" w:hAnsi="Cambria Math" w:cs="Arial"/>
                      <w:b/>
                      <w:bCs/>
                    </w:rPr>
                  </m:ctrlPr>
                </m:sSubPr>
                <m:e>
                  <m:r>
                    <m:rPr>
                      <m:sty m:val="bi"/>
                    </m:rPr>
                    <w:rPr>
                      <w:rFonts w:ascii="Cambria Math" w:hAnsi="Cambria Math" w:cs="Arial"/>
                    </w:rPr>
                    <m:t>μ</m:t>
                  </m:r>
                </m:e>
                <m:sub>
                  <m:r>
                    <m:rPr>
                      <m:sty m:val="bi"/>
                    </m:rPr>
                    <w:rPr>
                      <w:rFonts w:ascii="Cambria Math" w:eastAsia="Cambria Math" w:hAnsi="Cambria Math" w:cs="Arial"/>
                    </w:rPr>
                    <m:t>NG</m:t>
                  </m:r>
                </m:sub>
              </m:sSub>
            </m:oMath>
            <w:r w:rsidRPr="00D800F0">
              <w:rPr>
                <w:rFonts w:ascii="Arial" w:hAnsi="Arial" w:cs="Arial"/>
                <w:b/>
                <w:bCs/>
                <w:vertAlign w:val="superscript"/>
              </w:rPr>
              <w:t>A</w:t>
            </w:r>
          </w:p>
        </w:tc>
        <w:tc>
          <w:tcPr>
            <w:tcW w:w="2537" w:type="dxa"/>
            <w:tcBorders>
              <w:top w:val="nil"/>
              <w:bottom w:val="nil"/>
            </w:tcBorders>
            <w:tcMar>
              <w:top w:w="0" w:type="dxa"/>
              <w:left w:w="100" w:type="dxa"/>
              <w:bottom w:w="0" w:type="dxa"/>
              <w:right w:w="100" w:type="dxa"/>
            </w:tcMar>
          </w:tcPr>
          <w:p w14:paraId="1B4E1558" w14:textId="77777777" w:rsidR="00DA7E40" w:rsidRPr="00D800F0" w:rsidRDefault="00DA7E40" w:rsidP="0000614D">
            <w:pPr>
              <w:spacing w:line="256" w:lineRule="auto"/>
              <w:jc w:val="center"/>
              <w:rPr>
                <w:rFonts w:ascii="Arial" w:hAnsi="Arial" w:cs="Arial"/>
              </w:rPr>
            </w:pPr>
            <w:r w:rsidRPr="00D800F0">
              <w:rPr>
                <w:rFonts w:ascii="Arial" w:hAnsi="Arial" w:cs="Arial"/>
              </w:rPr>
              <w:t>-0.0016</w:t>
            </w:r>
          </w:p>
        </w:tc>
        <w:tc>
          <w:tcPr>
            <w:tcW w:w="1936" w:type="dxa"/>
            <w:tcBorders>
              <w:top w:val="nil"/>
              <w:bottom w:val="nil"/>
            </w:tcBorders>
            <w:tcMar>
              <w:top w:w="0" w:type="dxa"/>
              <w:left w:w="100" w:type="dxa"/>
              <w:bottom w:w="0" w:type="dxa"/>
              <w:right w:w="100" w:type="dxa"/>
            </w:tcMar>
          </w:tcPr>
          <w:p w14:paraId="1D95A08C"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1802" w:type="dxa"/>
            <w:tcBorders>
              <w:top w:val="nil"/>
              <w:bottom w:val="nil"/>
            </w:tcBorders>
            <w:tcMar>
              <w:top w:w="0" w:type="dxa"/>
              <w:left w:w="100" w:type="dxa"/>
              <w:bottom w:w="0" w:type="dxa"/>
              <w:right w:w="100" w:type="dxa"/>
            </w:tcMar>
          </w:tcPr>
          <w:p w14:paraId="103CCA98" w14:textId="1332F3C5" w:rsidR="00DA7E40" w:rsidRPr="00D800F0" w:rsidRDefault="00DA7E40" w:rsidP="0000614D">
            <w:pPr>
              <w:spacing w:line="256" w:lineRule="auto"/>
              <w:jc w:val="center"/>
              <w:rPr>
                <w:rFonts w:ascii="Arial" w:hAnsi="Arial" w:cs="Arial"/>
              </w:rPr>
            </w:pPr>
            <w:r w:rsidRPr="00D800F0">
              <w:rPr>
                <w:rFonts w:ascii="Arial" w:hAnsi="Arial" w:cs="Arial"/>
              </w:rPr>
              <w:t>EIA, 2023</w:t>
            </w:r>
            <w:r w:rsidR="00A61D93" w:rsidRPr="00D800F0">
              <w:rPr>
                <w:rFonts w:ascii="Arial" w:hAnsi="Arial" w:cs="Arial"/>
              </w:rPr>
              <w:t>a</w:t>
            </w:r>
          </w:p>
        </w:tc>
      </w:tr>
      <w:tr w:rsidR="00DA7E40" w:rsidRPr="00D800F0" w14:paraId="5A0986EB" w14:textId="77777777" w:rsidTr="0000614D">
        <w:trPr>
          <w:cantSplit/>
          <w:trHeight w:val="630"/>
        </w:trPr>
        <w:tc>
          <w:tcPr>
            <w:tcW w:w="3085" w:type="dxa"/>
            <w:tcBorders>
              <w:top w:val="nil"/>
              <w:bottom w:val="nil"/>
            </w:tcBorders>
            <w:tcMar>
              <w:top w:w="0" w:type="dxa"/>
              <w:left w:w="100" w:type="dxa"/>
              <w:bottom w:w="0" w:type="dxa"/>
              <w:right w:w="100" w:type="dxa"/>
            </w:tcMar>
          </w:tcPr>
          <w:p w14:paraId="10515DDE"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hAnsi="Cambria Math" w:cs="Arial"/>
                      </w:rPr>
                      <m:t>σ</m:t>
                    </m:r>
                  </m:e>
                  <m:sub>
                    <m:r>
                      <m:rPr>
                        <m:sty m:val="bi"/>
                      </m:rPr>
                      <w:rPr>
                        <w:rFonts w:ascii="Cambria Math" w:eastAsia="Cambria Math" w:hAnsi="Cambria Math" w:cs="Arial"/>
                      </w:rPr>
                      <m:t>NG</m:t>
                    </m:r>
                  </m:sub>
                </m:sSub>
              </m:oMath>
            </m:oMathPara>
          </w:p>
        </w:tc>
        <w:tc>
          <w:tcPr>
            <w:tcW w:w="2537" w:type="dxa"/>
            <w:tcBorders>
              <w:top w:val="nil"/>
              <w:bottom w:val="nil"/>
            </w:tcBorders>
            <w:tcMar>
              <w:top w:w="0" w:type="dxa"/>
              <w:left w:w="100" w:type="dxa"/>
              <w:bottom w:w="0" w:type="dxa"/>
              <w:right w:w="100" w:type="dxa"/>
            </w:tcMar>
          </w:tcPr>
          <w:p w14:paraId="1C8AC925" w14:textId="77777777" w:rsidR="00DA7E40" w:rsidRPr="00D800F0" w:rsidRDefault="00DA7E40" w:rsidP="0000614D">
            <w:pPr>
              <w:spacing w:line="256" w:lineRule="auto"/>
              <w:jc w:val="center"/>
              <w:rPr>
                <w:rFonts w:ascii="Arial" w:hAnsi="Arial" w:cs="Arial"/>
              </w:rPr>
            </w:pPr>
            <w:r w:rsidRPr="00D800F0">
              <w:rPr>
                <w:rFonts w:ascii="Arial" w:hAnsi="Arial" w:cs="Arial"/>
              </w:rPr>
              <w:t>0.039683</w:t>
            </w:r>
          </w:p>
        </w:tc>
        <w:tc>
          <w:tcPr>
            <w:tcW w:w="1936" w:type="dxa"/>
            <w:tcBorders>
              <w:top w:val="nil"/>
              <w:bottom w:val="nil"/>
            </w:tcBorders>
            <w:tcMar>
              <w:top w:w="0" w:type="dxa"/>
              <w:left w:w="100" w:type="dxa"/>
              <w:bottom w:w="0" w:type="dxa"/>
              <w:right w:w="100" w:type="dxa"/>
            </w:tcMar>
          </w:tcPr>
          <w:p w14:paraId="13534C76"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1802" w:type="dxa"/>
            <w:tcBorders>
              <w:top w:val="nil"/>
              <w:bottom w:val="nil"/>
            </w:tcBorders>
            <w:tcMar>
              <w:top w:w="0" w:type="dxa"/>
              <w:left w:w="100" w:type="dxa"/>
              <w:bottom w:w="0" w:type="dxa"/>
              <w:right w:w="100" w:type="dxa"/>
            </w:tcMar>
          </w:tcPr>
          <w:p w14:paraId="7DA9114C" w14:textId="604BAF46" w:rsidR="00DA7E40" w:rsidRPr="00D800F0" w:rsidRDefault="00DA7E40" w:rsidP="0000614D">
            <w:pPr>
              <w:spacing w:line="256" w:lineRule="auto"/>
              <w:jc w:val="center"/>
              <w:rPr>
                <w:rFonts w:ascii="Arial" w:hAnsi="Arial" w:cs="Arial"/>
              </w:rPr>
            </w:pPr>
            <w:r w:rsidRPr="00D800F0">
              <w:rPr>
                <w:rFonts w:ascii="Arial" w:hAnsi="Arial" w:cs="Arial"/>
              </w:rPr>
              <w:t>EIA, 2023</w:t>
            </w:r>
            <w:r w:rsidR="00A61D93" w:rsidRPr="00D800F0">
              <w:rPr>
                <w:rFonts w:ascii="Arial" w:hAnsi="Arial" w:cs="Arial"/>
              </w:rPr>
              <w:t>b</w:t>
            </w:r>
          </w:p>
        </w:tc>
      </w:tr>
      <w:tr w:rsidR="00DA7E40" w:rsidRPr="00D800F0" w14:paraId="2DD61D4A" w14:textId="77777777" w:rsidTr="0000614D">
        <w:trPr>
          <w:cantSplit/>
          <w:trHeight w:val="405"/>
        </w:trPr>
        <w:tc>
          <w:tcPr>
            <w:tcW w:w="3085" w:type="dxa"/>
            <w:tcBorders>
              <w:top w:val="nil"/>
              <w:bottom w:val="nil"/>
            </w:tcBorders>
            <w:tcMar>
              <w:top w:w="0" w:type="dxa"/>
              <w:left w:w="100" w:type="dxa"/>
              <w:bottom w:w="0" w:type="dxa"/>
              <w:right w:w="100" w:type="dxa"/>
            </w:tcMar>
          </w:tcPr>
          <w:p w14:paraId="3A89DE62"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EL</m:t>
                    </m:r>
                  </m:sub>
                </m:sSub>
                <m:d>
                  <m:dPr>
                    <m:ctrlPr>
                      <w:rPr>
                        <w:rFonts w:ascii="Cambria Math" w:eastAsia="Cambria Math" w:hAnsi="Cambria Math" w:cs="Arial"/>
                        <w:b/>
                        <w:bCs/>
                      </w:rPr>
                    </m:ctrlPr>
                  </m:dPr>
                  <m:e>
                    <m:r>
                      <m:rPr>
                        <m:sty m:val="bi"/>
                      </m:rPr>
                      <w:rPr>
                        <w:rFonts w:ascii="Cambria Math" w:eastAsia="Cambria Math" w:hAnsi="Cambria Math" w:cs="Arial"/>
                      </w:rPr>
                      <m:t>T=0</m:t>
                    </m:r>
                  </m:e>
                </m:d>
              </m:oMath>
            </m:oMathPara>
          </w:p>
        </w:tc>
        <w:tc>
          <w:tcPr>
            <w:tcW w:w="2537" w:type="dxa"/>
            <w:tcBorders>
              <w:top w:val="nil"/>
              <w:bottom w:val="nil"/>
            </w:tcBorders>
            <w:tcMar>
              <w:top w:w="0" w:type="dxa"/>
              <w:left w:w="100" w:type="dxa"/>
              <w:bottom w:w="0" w:type="dxa"/>
              <w:right w:w="100" w:type="dxa"/>
            </w:tcMar>
          </w:tcPr>
          <w:p w14:paraId="5625167D" w14:textId="77777777" w:rsidR="00DA7E40" w:rsidRPr="00D800F0" w:rsidRDefault="00DA7E40" w:rsidP="0000614D">
            <w:pPr>
              <w:spacing w:line="256" w:lineRule="auto"/>
              <w:jc w:val="center"/>
              <w:rPr>
                <w:rFonts w:ascii="Arial" w:hAnsi="Arial" w:cs="Arial"/>
              </w:rPr>
            </w:pPr>
            <w:r w:rsidRPr="00D800F0">
              <w:rPr>
                <w:rFonts w:ascii="Arial" w:hAnsi="Arial" w:cs="Arial"/>
              </w:rPr>
              <w:t>0.083</w:t>
            </w:r>
          </w:p>
        </w:tc>
        <w:tc>
          <w:tcPr>
            <w:tcW w:w="1936" w:type="dxa"/>
            <w:tcBorders>
              <w:top w:val="nil"/>
              <w:bottom w:val="nil"/>
            </w:tcBorders>
            <w:tcMar>
              <w:top w:w="0" w:type="dxa"/>
              <w:left w:w="100" w:type="dxa"/>
              <w:bottom w:w="0" w:type="dxa"/>
              <w:right w:w="100" w:type="dxa"/>
            </w:tcMar>
          </w:tcPr>
          <w:p w14:paraId="67DC9EC9" w14:textId="77777777" w:rsidR="00DA7E40" w:rsidRPr="00D800F0" w:rsidRDefault="00DA7E40" w:rsidP="0000614D">
            <w:pPr>
              <w:spacing w:line="256" w:lineRule="auto"/>
              <w:jc w:val="center"/>
              <w:rPr>
                <w:rFonts w:ascii="Arial" w:hAnsi="Arial" w:cs="Arial"/>
              </w:rPr>
            </w:pPr>
            <w:r w:rsidRPr="00D800F0">
              <w:rPr>
                <w:rFonts w:ascii="Arial" w:hAnsi="Arial" w:cs="Arial"/>
              </w:rPr>
              <w:t>$/kWh</w:t>
            </w:r>
          </w:p>
        </w:tc>
        <w:tc>
          <w:tcPr>
            <w:tcW w:w="1802" w:type="dxa"/>
            <w:tcBorders>
              <w:top w:val="nil"/>
              <w:bottom w:val="nil"/>
            </w:tcBorders>
            <w:tcMar>
              <w:top w:w="0" w:type="dxa"/>
              <w:left w:w="100" w:type="dxa"/>
              <w:bottom w:w="0" w:type="dxa"/>
              <w:right w:w="100" w:type="dxa"/>
            </w:tcMar>
          </w:tcPr>
          <w:p w14:paraId="15C47C02" w14:textId="63C43F7D" w:rsidR="00DA7E40" w:rsidRPr="00D800F0" w:rsidRDefault="00DA7E40" w:rsidP="0000614D">
            <w:pPr>
              <w:spacing w:line="256" w:lineRule="auto"/>
              <w:jc w:val="center"/>
              <w:rPr>
                <w:rFonts w:ascii="Arial" w:hAnsi="Arial" w:cs="Arial"/>
              </w:rPr>
            </w:pPr>
            <w:r w:rsidRPr="00D800F0">
              <w:rPr>
                <w:rFonts w:ascii="Arial" w:hAnsi="Arial" w:cs="Arial"/>
              </w:rPr>
              <w:t>EIA, 2023</w:t>
            </w:r>
            <w:r w:rsidR="00A61D93" w:rsidRPr="00D800F0">
              <w:rPr>
                <w:rFonts w:ascii="Arial" w:hAnsi="Arial" w:cs="Arial"/>
              </w:rPr>
              <w:t>a</w:t>
            </w:r>
          </w:p>
        </w:tc>
      </w:tr>
      <w:tr w:rsidR="00DA7E40" w:rsidRPr="00D800F0" w14:paraId="77E707D0" w14:textId="77777777" w:rsidTr="0000614D">
        <w:trPr>
          <w:cantSplit/>
          <w:trHeight w:val="405"/>
        </w:trPr>
        <w:tc>
          <w:tcPr>
            <w:tcW w:w="3085" w:type="dxa"/>
            <w:tcBorders>
              <w:top w:val="nil"/>
              <w:bottom w:val="nil"/>
            </w:tcBorders>
            <w:tcMar>
              <w:top w:w="0" w:type="dxa"/>
              <w:left w:w="100" w:type="dxa"/>
              <w:bottom w:w="0" w:type="dxa"/>
              <w:right w:w="100" w:type="dxa"/>
            </w:tcMar>
          </w:tcPr>
          <w:p w14:paraId="0A2E5B14" w14:textId="77777777" w:rsidR="00DA7E40" w:rsidRPr="00D800F0" w:rsidRDefault="00000000" w:rsidP="0000614D">
            <w:pPr>
              <w:jc w:val="center"/>
              <w:rPr>
                <w:rFonts w:ascii="Arial" w:eastAsia="Cambria Math" w:hAnsi="Arial" w:cs="Arial"/>
                <w:b/>
                <w:bCs/>
                <w:vertAlign w:val="superscript"/>
              </w:rPr>
            </w:pPr>
            <m:oMath>
              <m:sSub>
                <m:sSubPr>
                  <m:ctrlPr>
                    <w:rPr>
                      <w:rFonts w:ascii="Cambria Math" w:eastAsia="Cambria Math" w:hAnsi="Cambria Math" w:cs="Arial"/>
                      <w:b/>
                      <w:bCs/>
                    </w:rPr>
                  </m:ctrlPr>
                </m:sSubPr>
                <m:e>
                  <m:r>
                    <m:rPr>
                      <m:sty m:val="bi"/>
                    </m:rPr>
                    <w:rPr>
                      <w:rFonts w:ascii="Cambria Math" w:hAnsi="Cambria Math" w:cs="Arial"/>
                    </w:rPr>
                    <m:t>μ</m:t>
                  </m:r>
                </m:e>
                <m:sub>
                  <m:r>
                    <m:rPr>
                      <m:sty m:val="bi"/>
                    </m:rPr>
                    <w:rPr>
                      <w:rFonts w:ascii="Cambria Math" w:eastAsia="Cambria Math" w:hAnsi="Cambria Math" w:cs="Arial"/>
                    </w:rPr>
                    <m:t>EL</m:t>
                  </m:r>
                </m:sub>
              </m:sSub>
            </m:oMath>
            <w:r w:rsidR="00DA7E40" w:rsidRPr="00D800F0">
              <w:rPr>
                <w:rFonts w:ascii="Arial" w:eastAsia="Cambria Math" w:hAnsi="Arial" w:cs="Arial"/>
                <w:b/>
                <w:bCs/>
                <w:vertAlign w:val="superscript"/>
              </w:rPr>
              <w:t>A</w:t>
            </w:r>
          </w:p>
        </w:tc>
        <w:tc>
          <w:tcPr>
            <w:tcW w:w="2537" w:type="dxa"/>
            <w:tcBorders>
              <w:top w:val="nil"/>
              <w:bottom w:val="nil"/>
            </w:tcBorders>
            <w:tcMar>
              <w:top w:w="0" w:type="dxa"/>
              <w:left w:w="100" w:type="dxa"/>
              <w:bottom w:w="0" w:type="dxa"/>
              <w:right w:w="100" w:type="dxa"/>
            </w:tcMar>
          </w:tcPr>
          <w:p w14:paraId="2F68D4C6" w14:textId="77777777" w:rsidR="00DA7E40" w:rsidRPr="00D800F0" w:rsidRDefault="00DA7E40" w:rsidP="0000614D">
            <w:pPr>
              <w:spacing w:line="256" w:lineRule="auto"/>
              <w:jc w:val="center"/>
              <w:rPr>
                <w:rFonts w:ascii="Arial" w:hAnsi="Arial" w:cs="Arial"/>
              </w:rPr>
            </w:pPr>
            <w:r w:rsidRPr="00D800F0">
              <w:rPr>
                <w:rFonts w:ascii="Arial" w:hAnsi="Arial" w:cs="Arial"/>
              </w:rPr>
              <w:t>-0.0006</w:t>
            </w:r>
          </w:p>
        </w:tc>
        <w:tc>
          <w:tcPr>
            <w:tcW w:w="1936" w:type="dxa"/>
            <w:tcBorders>
              <w:top w:val="nil"/>
              <w:bottom w:val="nil"/>
            </w:tcBorders>
            <w:tcMar>
              <w:top w:w="0" w:type="dxa"/>
              <w:left w:w="100" w:type="dxa"/>
              <w:bottom w:w="0" w:type="dxa"/>
              <w:right w:w="100" w:type="dxa"/>
            </w:tcMar>
          </w:tcPr>
          <w:p w14:paraId="63B786D8"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1802" w:type="dxa"/>
            <w:tcBorders>
              <w:top w:val="nil"/>
              <w:bottom w:val="nil"/>
            </w:tcBorders>
            <w:tcMar>
              <w:top w:w="0" w:type="dxa"/>
              <w:left w:w="100" w:type="dxa"/>
              <w:bottom w:w="0" w:type="dxa"/>
              <w:right w:w="100" w:type="dxa"/>
            </w:tcMar>
          </w:tcPr>
          <w:p w14:paraId="12BD0149" w14:textId="7AC4832F" w:rsidR="00DA7E40" w:rsidRPr="00D800F0" w:rsidRDefault="00DA7E40" w:rsidP="0000614D">
            <w:pPr>
              <w:spacing w:line="256" w:lineRule="auto"/>
              <w:jc w:val="center"/>
              <w:rPr>
                <w:rFonts w:ascii="Arial" w:hAnsi="Arial" w:cs="Arial"/>
              </w:rPr>
            </w:pPr>
            <w:r w:rsidRPr="00D800F0">
              <w:rPr>
                <w:rFonts w:ascii="Arial" w:hAnsi="Arial" w:cs="Arial"/>
              </w:rPr>
              <w:t>EIA, 2023</w:t>
            </w:r>
            <w:r w:rsidR="00A61D93" w:rsidRPr="00D800F0">
              <w:rPr>
                <w:rFonts w:ascii="Arial" w:hAnsi="Arial" w:cs="Arial"/>
              </w:rPr>
              <w:t>a</w:t>
            </w:r>
          </w:p>
        </w:tc>
      </w:tr>
      <w:tr w:rsidR="00DA7E40" w:rsidRPr="00D800F0" w14:paraId="1D348788" w14:textId="77777777" w:rsidTr="0000614D">
        <w:trPr>
          <w:cantSplit/>
          <w:trHeight w:val="405"/>
        </w:trPr>
        <w:tc>
          <w:tcPr>
            <w:tcW w:w="3085" w:type="dxa"/>
            <w:tcBorders>
              <w:top w:val="nil"/>
              <w:bottom w:val="single" w:sz="4" w:space="0" w:color="auto"/>
            </w:tcBorders>
            <w:tcMar>
              <w:top w:w="0" w:type="dxa"/>
              <w:left w:w="100" w:type="dxa"/>
              <w:bottom w:w="0" w:type="dxa"/>
              <w:right w:w="100" w:type="dxa"/>
            </w:tcMar>
          </w:tcPr>
          <w:p w14:paraId="75239C89"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hAnsi="Cambria Math" w:cs="Arial"/>
                      </w:rPr>
                      <m:t>σ</m:t>
                    </m:r>
                  </m:e>
                  <m:sub>
                    <m:r>
                      <m:rPr>
                        <m:sty m:val="bi"/>
                      </m:rPr>
                      <w:rPr>
                        <w:rFonts w:ascii="Cambria Math" w:eastAsia="Cambria Math" w:hAnsi="Cambria Math" w:cs="Arial"/>
                      </w:rPr>
                      <m:t>EL</m:t>
                    </m:r>
                  </m:sub>
                </m:sSub>
              </m:oMath>
            </m:oMathPara>
          </w:p>
        </w:tc>
        <w:tc>
          <w:tcPr>
            <w:tcW w:w="2537" w:type="dxa"/>
            <w:tcBorders>
              <w:top w:val="nil"/>
              <w:bottom w:val="single" w:sz="4" w:space="0" w:color="auto"/>
            </w:tcBorders>
            <w:tcMar>
              <w:top w:w="0" w:type="dxa"/>
              <w:left w:w="100" w:type="dxa"/>
              <w:bottom w:w="0" w:type="dxa"/>
              <w:right w:w="100" w:type="dxa"/>
            </w:tcMar>
          </w:tcPr>
          <w:p w14:paraId="72393C36" w14:textId="77777777" w:rsidR="00DA7E40" w:rsidRPr="00D800F0" w:rsidRDefault="00DA7E40" w:rsidP="0000614D">
            <w:pPr>
              <w:spacing w:line="256" w:lineRule="auto"/>
              <w:jc w:val="center"/>
              <w:rPr>
                <w:rFonts w:ascii="Arial" w:hAnsi="Arial" w:cs="Arial"/>
              </w:rPr>
            </w:pPr>
            <w:r w:rsidRPr="00D800F0">
              <w:rPr>
                <w:rFonts w:ascii="Arial" w:hAnsi="Arial" w:cs="Arial"/>
              </w:rPr>
              <w:t>0.00536</w:t>
            </w:r>
          </w:p>
        </w:tc>
        <w:tc>
          <w:tcPr>
            <w:tcW w:w="1936" w:type="dxa"/>
            <w:tcBorders>
              <w:top w:val="nil"/>
              <w:bottom w:val="single" w:sz="4" w:space="0" w:color="auto"/>
            </w:tcBorders>
            <w:tcMar>
              <w:top w:w="0" w:type="dxa"/>
              <w:left w:w="100" w:type="dxa"/>
              <w:bottom w:w="0" w:type="dxa"/>
              <w:right w:w="100" w:type="dxa"/>
            </w:tcMar>
          </w:tcPr>
          <w:p w14:paraId="18C7DAFB"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1802" w:type="dxa"/>
            <w:tcBorders>
              <w:top w:val="nil"/>
              <w:bottom w:val="single" w:sz="4" w:space="0" w:color="auto"/>
            </w:tcBorders>
            <w:tcMar>
              <w:top w:w="0" w:type="dxa"/>
              <w:left w:w="100" w:type="dxa"/>
              <w:bottom w:w="0" w:type="dxa"/>
              <w:right w:w="100" w:type="dxa"/>
            </w:tcMar>
          </w:tcPr>
          <w:p w14:paraId="4628904C" w14:textId="5FE9AE0A" w:rsidR="00DA7E40" w:rsidRPr="00D800F0" w:rsidRDefault="00DA7E40" w:rsidP="0000614D">
            <w:pPr>
              <w:spacing w:line="256" w:lineRule="auto"/>
              <w:jc w:val="center"/>
              <w:rPr>
                <w:rFonts w:ascii="Arial" w:hAnsi="Arial" w:cs="Arial"/>
              </w:rPr>
            </w:pPr>
            <w:r w:rsidRPr="00D800F0">
              <w:rPr>
                <w:rFonts w:ascii="Arial" w:hAnsi="Arial" w:cs="Arial"/>
              </w:rPr>
              <w:t>EIA, 2023</w:t>
            </w:r>
            <w:r w:rsidR="00A61D93" w:rsidRPr="00D800F0">
              <w:rPr>
                <w:rFonts w:ascii="Arial" w:hAnsi="Arial" w:cs="Arial"/>
              </w:rPr>
              <w:t>a</w:t>
            </w:r>
          </w:p>
        </w:tc>
      </w:tr>
      <w:tr w:rsidR="00DA7E40" w:rsidRPr="00D800F0" w14:paraId="5097D5CE" w14:textId="77777777" w:rsidTr="0000614D">
        <w:trPr>
          <w:cantSplit/>
          <w:trHeight w:val="405"/>
        </w:trPr>
        <w:tc>
          <w:tcPr>
            <w:tcW w:w="9360" w:type="dxa"/>
            <w:gridSpan w:val="4"/>
            <w:tcBorders>
              <w:top w:val="single" w:sz="4" w:space="0" w:color="auto"/>
              <w:bottom w:val="single" w:sz="4" w:space="0" w:color="auto"/>
            </w:tcBorders>
            <w:tcMar>
              <w:top w:w="0" w:type="dxa"/>
              <w:left w:w="100" w:type="dxa"/>
              <w:bottom w:w="0" w:type="dxa"/>
              <w:right w:w="100" w:type="dxa"/>
            </w:tcMar>
          </w:tcPr>
          <w:p w14:paraId="034030AC" w14:textId="24BE7554" w:rsidR="00DA7E40" w:rsidRPr="00D800F0" w:rsidRDefault="00DA7E40" w:rsidP="0000614D">
            <w:pPr>
              <w:rPr>
                <w:rFonts w:ascii="Arial" w:hAnsi="Arial" w:cs="Arial"/>
              </w:rPr>
            </w:pPr>
            <w:r w:rsidRPr="00D800F0">
              <w:rPr>
                <w:rFonts w:ascii="Arial" w:hAnsi="Arial" w:cs="Arial"/>
                <w:b/>
                <w:bCs/>
                <w:vertAlign w:val="superscript"/>
              </w:rPr>
              <w:t xml:space="preserve">A </w:t>
            </w:r>
            <w:r w:rsidRPr="00D800F0">
              <w:rPr>
                <w:rFonts w:ascii="Arial" w:hAnsi="Arial" w:cs="Arial"/>
              </w:rPr>
              <w:t xml:space="preserve">The drift terms were obtained by calibrating the GBM model to the average price of commodity </w:t>
            </w:r>
            <m:oMath>
              <m:r>
                <w:rPr>
                  <w:rFonts w:ascii="Cambria Math" w:hAnsi="Cambria Math" w:cs="Arial"/>
                </w:rPr>
                <m:t>i</m:t>
              </m:r>
            </m:oMath>
            <w:r w:rsidRPr="00D800F0">
              <w:rPr>
                <w:rFonts w:ascii="Arial" w:hAnsi="Arial" w:cs="Arial"/>
              </w:rPr>
              <w:t xml:space="preserve"> in 2050 to the EIA’s Annual Energy Outlook 2023 predictions (EIA, 2023</w:t>
            </w:r>
            <w:r w:rsidR="00A61D93" w:rsidRPr="00D800F0">
              <w:rPr>
                <w:rFonts w:ascii="Arial" w:hAnsi="Arial" w:cs="Arial"/>
              </w:rPr>
              <w:t>a</w:t>
            </w:r>
            <w:r w:rsidRPr="00D800F0">
              <w:rPr>
                <w:rFonts w:ascii="Arial" w:hAnsi="Arial" w:cs="Arial"/>
              </w:rPr>
              <w:t xml:space="preserve">). Electricity was picked as the industrial electricity price in the baseline scenario. Natural gas was picked as the industrial natural gas price in the baseline scenario. </w:t>
            </w:r>
          </w:p>
        </w:tc>
      </w:tr>
    </w:tbl>
    <w:p w14:paraId="67C8FA82" w14:textId="567F3B7D" w:rsidR="00DA7E40" w:rsidRPr="00D800F0" w:rsidRDefault="00DA7E40" w:rsidP="00DA7E40">
      <w:pPr>
        <w:rPr>
          <w:rFonts w:ascii="Arial" w:hAnsi="Arial" w:cs="Arial"/>
          <w:sz w:val="24"/>
          <w:szCs w:val="24"/>
        </w:rPr>
      </w:pPr>
    </w:p>
    <w:p w14:paraId="243F354E" w14:textId="77777777" w:rsidR="00DA7E40" w:rsidRPr="00D800F0" w:rsidRDefault="00DA7E40" w:rsidP="006864F3">
      <w:pPr>
        <w:pStyle w:val="Heading2"/>
        <w:rPr>
          <w:rFonts w:ascii="Arial" w:hAnsi="Arial" w:cs="Arial"/>
        </w:rPr>
      </w:pPr>
      <w:bookmarkStart w:id="30" w:name="_Toc148296622"/>
      <w:r w:rsidRPr="00D800F0">
        <w:rPr>
          <w:rFonts w:ascii="Arial" w:hAnsi="Arial" w:cs="Arial"/>
        </w:rPr>
        <w:t>Stochastic DCF Model Based on Techno-Economic Quantities</w:t>
      </w:r>
      <w:bookmarkEnd w:id="30"/>
    </w:p>
    <w:p w14:paraId="27ECB047" w14:textId="77777777" w:rsidR="00DA7E40" w:rsidRPr="00D800F0" w:rsidRDefault="00DA7E40" w:rsidP="006864F3">
      <w:pPr>
        <w:pStyle w:val="Heading3"/>
        <w:rPr>
          <w:rFonts w:ascii="Arial" w:hAnsi="Arial" w:cs="Arial"/>
        </w:rPr>
      </w:pPr>
      <w:bookmarkStart w:id="31" w:name="_Toc148296623"/>
      <w:r w:rsidRPr="00D800F0">
        <w:rPr>
          <w:rFonts w:ascii="Arial" w:hAnsi="Arial" w:cs="Arial"/>
        </w:rPr>
        <w:t>Problem statement</w:t>
      </w:r>
      <w:bookmarkEnd w:id="31"/>
      <w:r w:rsidRPr="00D800F0">
        <w:rPr>
          <w:rFonts w:ascii="Arial" w:hAnsi="Arial" w:cs="Arial"/>
        </w:rPr>
        <w:t xml:space="preserve"> </w:t>
      </w:r>
    </w:p>
    <w:p w14:paraId="3E335D73" w14:textId="77777777" w:rsidR="00DA7E40" w:rsidRPr="00D800F0" w:rsidRDefault="00DA7E40" w:rsidP="00DA7E40">
      <w:pPr>
        <w:rPr>
          <w:rFonts w:ascii="Arial" w:hAnsi="Arial" w:cs="Arial"/>
        </w:rPr>
      </w:pPr>
      <w:r w:rsidRPr="00D800F0">
        <w:rPr>
          <w:rFonts w:ascii="Arial" w:hAnsi="Arial" w:cs="Arial"/>
        </w:rPr>
        <w:t>This analysis employs a Stochastic Discounted Cash Flow (DCF) model to evaluate the economic viability of various technology pathways for ammonia production. This assessment aims to provide a comprehensive understanding of the economic performance by considering various uncertain factors and their impact on the Net Present Value (</w:t>
      </w:r>
      <m:oMath>
        <m:r>
          <m:rPr>
            <m:sty m:val="bi"/>
          </m:rPr>
          <w:rPr>
            <w:rFonts w:ascii="Cambria Math" w:eastAsia="Cambria Math" w:hAnsi="Cambria Math" w:cs="Arial"/>
          </w:rPr>
          <m:t>NPV</m:t>
        </m:r>
      </m:oMath>
      <w:r w:rsidRPr="00D800F0">
        <w:rPr>
          <w:rFonts w:ascii="Arial" w:hAnsi="Arial" w:cs="Arial"/>
        </w:rPr>
        <w:t>) per lifetime ammonia produced metric. The NPV calculation factors in different cash flows, discount rates, and probabilities, enabling a robust evaluation of the pathways in a stochastic context.</w:t>
      </w:r>
    </w:p>
    <w:p w14:paraId="5394CD75" w14:textId="77777777" w:rsidR="00DA7E40" w:rsidRPr="00D800F0" w:rsidRDefault="00DA7E40" w:rsidP="00DA7E40">
      <w:pPr>
        <w:ind w:firstLine="720"/>
        <w:rPr>
          <w:rFonts w:ascii="Arial" w:hAnsi="Arial" w:cs="Arial"/>
        </w:rPr>
      </w:pPr>
      <w:r w:rsidRPr="00D800F0">
        <w:rPr>
          <w:rFonts w:ascii="Arial" w:hAnsi="Arial" w:cs="Arial"/>
        </w:rPr>
        <w:t>The nomenclature for a Stochastic Discounted Cash Flow (DCF) model encompasses key financial and economic parameters used to evaluate investments and projects under uncertain conditions. These parameters define discount rates, costs, revenues, emissions, and various financial factors. These parameters are essential for assessing the potential financial outcomes of an investment while considering factors like inflation, tax credits, cash flows, and environmental impacts.</w:t>
      </w:r>
    </w:p>
    <w:p w14:paraId="0E9AE2B0"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C</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1</w:t>
      </w:r>
      <w:r w:rsidRPr="00D800F0">
        <w:rPr>
          <w:rFonts w:ascii="Arial" w:hAnsi="Arial" w:cs="Arial"/>
          <w:noProof/>
        </w:rPr>
        <w:fldChar w:fldCharType="end"/>
      </w:r>
      <w:r w:rsidRPr="00D800F0">
        <w:rPr>
          <w:rFonts w:ascii="Arial" w:hAnsi="Arial" w:cs="Arial"/>
        </w:rPr>
        <w:t>: Nomenclature for DCF section.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900"/>
        <w:gridCol w:w="2340"/>
      </w:tblGrid>
      <w:tr w:rsidR="00DA7E40" w:rsidRPr="00D800F0" w14:paraId="3B943BB4" w14:textId="77777777" w:rsidTr="0000614D">
        <w:trPr>
          <w:cantSplit/>
        </w:trPr>
        <w:tc>
          <w:tcPr>
            <w:tcW w:w="3120" w:type="dxa"/>
            <w:tcBorders>
              <w:top w:val="single" w:sz="4" w:space="0" w:color="000000"/>
              <w:left w:val="nil"/>
              <w:bottom w:val="single" w:sz="4" w:space="0" w:color="auto"/>
              <w:right w:val="nil"/>
            </w:tcBorders>
            <w:tcMar>
              <w:top w:w="0" w:type="dxa"/>
              <w:left w:w="108" w:type="dxa"/>
              <w:bottom w:w="0" w:type="dxa"/>
              <w:right w:w="108" w:type="dxa"/>
            </w:tcMar>
          </w:tcPr>
          <w:p w14:paraId="66F743F7" w14:textId="77777777" w:rsidR="00DA7E40" w:rsidRPr="00D800F0" w:rsidRDefault="00DA7E40" w:rsidP="0000614D">
            <w:pPr>
              <w:rPr>
                <w:rFonts w:ascii="Arial" w:hAnsi="Arial" w:cs="Arial"/>
                <w:i/>
              </w:rPr>
            </w:pPr>
            <w:r w:rsidRPr="00D800F0">
              <w:rPr>
                <w:rFonts w:ascii="Arial" w:hAnsi="Arial" w:cs="Arial"/>
                <w:i/>
              </w:rPr>
              <w:t>Parameters</w:t>
            </w:r>
          </w:p>
        </w:tc>
        <w:tc>
          <w:tcPr>
            <w:tcW w:w="3900" w:type="dxa"/>
            <w:tcBorders>
              <w:top w:val="single" w:sz="4" w:space="0" w:color="000000"/>
              <w:left w:val="nil"/>
              <w:bottom w:val="single" w:sz="4" w:space="0" w:color="auto"/>
              <w:right w:val="nil"/>
            </w:tcBorders>
            <w:tcMar>
              <w:top w:w="0" w:type="dxa"/>
              <w:left w:w="108" w:type="dxa"/>
              <w:bottom w:w="0" w:type="dxa"/>
              <w:right w:w="108" w:type="dxa"/>
            </w:tcMar>
          </w:tcPr>
          <w:p w14:paraId="36F74641" w14:textId="77777777" w:rsidR="00DA7E40" w:rsidRPr="00D800F0" w:rsidRDefault="00DA7E40" w:rsidP="0000614D">
            <w:pPr>
              <w:rPr>
                <w:rFonts w:ascii="Arial" w:hAnsi="Arial" w:cs="Arial"/>
                <w:i/>
              </w:rPr>
            </w:pPr>
            <w:r w:rsidRPr="00D800F0">
              <w:rPr>
                <w:rFonts w:ascii="Arial" w:hAnsi="Arial" w:cs="Arial"/>
                <w:i/>
              </w:rPr>
              <w:t>Description</w:t>
            </w:r>
          </w:p>
        </w:tc>
        <w:tc>
          <w:tcPr>
            <w:tcW w:w="2340" w:type="dxa"/>
            <w:tcBorders>
              <w:top w:val="single" w:sz="4" w:space="0" w:color="000000"/>
              <w:left w:val="nil"/>
              <w:bottom w:val="single" w:sz="4" w:space="0" w:color="auto"/>
              <w:right w:val="nil"/>
            </w:tcBorders>
            <w:tcMar>
              <w:top w:w="0" w:type="dxa"/>
              <w:left w:w="108" w:type="dxa"/>
              <w:bottom w:w="0" w:type="dxa"/>
              <w:right w:w="108" w:type="dxa"/>
            </w:tcMar>
          </w:tcPr>
          <w:p w14:paraId="474EF831" w14:textId="77777777" w:rsidR="00DA7E40" w:rsidRPr="00D800F0" w:rsidRDefault="00DA7E40" w:rsidP="0000614D">
            <w:pPr>
              <w:rPr>
                <w:rFonts w:ascii="Arial" w:hAnsi="Arial" w:cs="Arial"/>
                <w:i/>
              </w:rPr>
            </w:pPr>
            <w:r w:rsidRPr="00D800F0">
              <w:rPr>
                <w:rFonts w:ascii="Arial" w:hAnsi="Arial" w:cs="Arial"/>
                <w:i/>
              </w:rPr>
              <w:t>Units</w:t>
            </w:r>
          </w:p>
        </w:tc>
      </w:tr>
      <w:tr w:rsidR="00DA7E40" w:rsidRPr="00D800F0" w14:paraId="03A8EEF6" w14:textId="77777777" w:rsidTr="0000614D">
        <w:trPr>
          <w:cantSplit/>
          <w:trHeight w:val="21"/>
        </w:trPr>
        <w:tc>
          <w:tcPr>
            <w:tcW w:w="3120" w:type="dxa"/>
            <w:tcBorders>
              <w:top w:val="single" w:sz="4" w:space="0" w:color="auto"/>
              <w:left w:val="nil"/>
              <w:bottom w:val="nil"/>
              <w:right w:val="nil"/>
            </w:tcBorders>
            <w:shd w:val="clear" w:color="auto" w:fill="auto"/>
            <w:tcMar>
              <w:top w:w="100" w:type="dxa"/>
              <w:left w:w="100" w:type="dxa"/>
              <w:bottom w:w="100" w:type="dxa"/>
              <w:right w:w="100" w:type="dxa"/>
            </w:tcMar>
          </w:tcPr>
          <w:p w14:paraId="40C3424E"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p</m:t>
                    </m:r>
                  </m:sub>
                </m:sSub>
              </m:oMath>
            </m:oMathPara>
          </w:p>
        </w:tc>
        <w:tc>
          <w:tcPr>
            <w:tcW w:w="3900" w:type="dxa"/>
            <w:tcBorders>
              <w:top w:val="single" w:sz="4" w:space="0" w:color="auto"/>
              <w:left w:val="nil"/>
              <w:bottom w:val="nil"/>
              <w:right w:val="nil"/>
            </w:tcBorders>
            <w:shd w:val="clear" w:color="auto" w:fill="auto"/>
            <w:tcMar>
              <w:top w:w="100" w:type="dxa"/>
              <w:left w:w="100" w:type="dxa"/>
              <w:bottom w:w="100" w:type="dxa"/>
              <w:right w:w="100" w:type="dxa"/>
            </w:tcMar>
          </w:tcPr>
          <w:p w14:paraId="1DD382FB" w14:textId="77777777" w:rsidR="00DA7E40" w:rsidRPr="00D800F0" w:rsidRDefault="00DA7E40" w:rsidP="0000614D">
            <w:pPr>
              <w:rPr>
                <w:rFonts w:ascii="Arial" w:hAnsi="Arial" w:cs="Arial"/>
              </w:rPr>
            </w:pPr>
            <w:r w:rsidRPr="00D800F0">
              <w:rPr>
                <w:rFonts w:ascii="Arial" w:hAnsi="Arial" w:cs="Arial"/>
              </w:rPr>
              <w:t>Private discount rate</w:t>
            </w:r>
          </w:p>
        </w:tc>
        <w:tc>
          <w:tcPr>
            <w:tcW w:w="2340" w:type="dxa"/>
            <w:tcBorders>
              <w:top w:val="single" w:sz="4" w:space="0" w:color="auto"/>
              <w:left w:val="nil"/>
              <w:bottom w:val="nil"/>
              <w:right w:val="nil"/>
            </w:tcBorders>
            <w:shd w:val="clear" w:color="auto" w:fill="auto"/>
            <w:tcMar>
              <w:top w:w="100" w:type="dxa"/>
              <w:left w:w="100" w:type="dxa"/>
              <w:bottom w:w="100" w:type="dxa"/>
              <w:right w:w="100" w:type="dxa"/>
            </w:tcMar>
          </w:tcPr>
          <w:p w14:paraId="56548616"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46F4953F" w14:textId="77777777" w:rsidTr="0000614D">
        <w:trPr>
          <w:cantSplit/>
          <w:trHeight w:val="20"/>
        </w:trPr>
        <w:tc>
          <w:tcPr>
            <w:tcW w:w="3120" w:type="dxa"/>
            <w:tcBorders>
              <w:top w:val="nil"/>
              <w:left w:val="nil"/>
              <w:bottom w:val="nil"/>
              <w:right w:val="nil"/>
            </w:tcBorders>
            <w:shd w:val="clear" w:color="auto" w:fill="auto"/>
            <w:tcMar>
              <w:top w:w="100" w:type="dxa"/>
              <w:left w:w="100" w:type="dxa"/>
              <w:bottom w:w="100" w:type="dxa"/>
              <w:right w:w="100" w:type="dxa"/>
            </w:tcMar>
          </w:tcPr>
          <w:p w14:paraId="02E3F53D"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s</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7E43DC87" w14:textId="77777777" w:rsidR="00DA7E40" w:rsidRPr="00D800F0" w:rsidRDefault="00DA7E40" w:rsidP="0000614D">
            <w:pPr>
              <w:rPr>
                <w:rFonts w:ascii="Arial" w:hAnsi="Arial" w:cs="Arial"/>
              </w:rPr>
            </w:pPr>
            <w:r w:rsidRPr="00D800F0">
              <w:rPr>
                <w:rFonts w:ascii="Arial" w:hAnsi="Arial" w:cs="Arial"/>
              </w:rPr>
              <w:t>Social discount rate</w:t>
            </w:r>
          </w:p>
        </w:tc>
        <w:tc>
          <w:tcPr>
            <w:tcW w:w="2340" w:type="dxa"/>
            <w:tcBorders>
              <w:top w:val="nil"/>
              <w:left w:val="nil"/>
              <w:bottom w:val="nil"/>
              <w:right w:val="nil"/>
            </w:tcBorders>
            <w:shd w:val="clear" w:color="auto" w:fill="auto"/>
            <w:tcMar>
              <w:top w:w="100" w:type="dxa"/>
              <w:left w:w="100" w:type="dxa"/>
              <w:bottom w:w="100" w:type="dxa"/>
              <w:right w:w="100" w:type="dxa"/>
            </w:tcMar>
          </w:tcPr>
          <w:p w14:paraId="0C70302B" w14:textId="77777777" w:rsidR="00DA7E40" w:rsidRPr="00D800F0" w:rsidRDefault="00DA7E40" w:rsidP="0000614D">
            <w:pPr>
              <w:widowControl w:val="0"/>
              <w:rPr>
                <w:rFonts w:ascii="Arial" w:hAnsi="Arial" w:cs="Arial"/>
              </w:rPr>
            </w:pPr>
          </w:p>
        </w:tc>
      </w:tr>
      <w:tr w:rsidR="00DA7E40" w:rsidRPr="00D800F0" w14:paraId="0AE0C5D9" w14:textId="77777777" w:rsidTr="0000614D">
        <w:trPr>
          <w:cantSplit/>
          <w:trHeight w:val="20"/>
        </w:trPr>
        <w:tc>
          <w:tcPr>
            <w:tcW w:w="3120" w:type="dxa"/>
            <w:tcBorders>
              <w:top w:val="nil"/>
              <w:left w:val="nil"/>
              <w:bottom w:val="nil"/>
              <w:right w:val="nil"/>
            </w:tcBorders>
            <w:shd w:val="clear" w:color="auto" w:fill="auto"/>
            <w:tcMar>
              <w:top w:w="100" w:type="dxa"/>
              <w:left w:w="100" w:type="dxa"/>
              <w:bottom w:w="100" w:type="dxa"/>
              <w:right w:w="100" w:type="dxa"/>
            </w:tcMar>
          </w:tcPr>
          <w:p w14:paraId="300E717F"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e</m:t>
                </m:r>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3524E649" w14:textId="77777777" w:rsidR="00DA7E40" w:rsidRPr="00D800F0" w:rsidRDefault="00DA7E40" w:rsidP="0000614D">
            <w:pPr>
              <w:rPr>
                <w:rFonts w:ascii="Arial" w:hAnsi="Arial" w:cs="Arial"/>
              </w:rPr>
            </w:pPr>
            <w:r w:rsidRPr="00D800F0">
              <w:rPr>
                <w:rFonts w:ascii="Arial" w:hAnsi="Arial" w:cs="Arial"/>
              </w:rPr>
              <w:t>equity</w:t>
            </w:r>
          </w:p>
        </w:tc>
        <w:tc>
          <w:tcPr>
            <w:tcW w:w="2340" w:type="dxa"/>
            <w:tcBorders>
              <w:top w:val="nil"/>
              <w:left w:val="nil"/>
              <w:bottom w:val="nil"/>
              <w:right w:val="nil"/>
            </w:tcBorders>
            <w:shd w:val="clear" w:color="auto" w:fill="auto"/>
            <w:tcMar>
              <w:top w:w="100" w:type="dxa"/>
              <w:left w:w="100" w:type="dxa"/>
              <w:bottom w:w="100" w:type="dxa"/>
              <w:right w:w="100" w:type="dxa"/>
            </w:tcMar>
          </w:tcPr>
          <w:p w14:paraId="63A34D7E"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79174C9C"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C12DEF6"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e</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2B0067FF" w14:textId="77777777" w:rsidR="00DA7E40" w:rsidRPr="00D800F0" w:rsidRDefault="00DA7E40" w:rsidP="0000614D">
            <w:pPr>
              <w:rPr>
                <w:rFonts w:ascii="Arial" w:hAnsi="Arial" w:cs="Arial"/>
              </w:rPr>
            </w:pPr>
            <w:r w:rsidRPr="00D800F0">
              <w:rPr>
                <w:rFonts w:ascii="Arial" w:hAnsi="Arial" w:cs="Arial"/>
              </w:rPr>
              <w:t>cost of equity</w:t>
            </w:r>
          </w:p>
        </w:tc>
        <w:tc>
          <w:tcPr>
            <w:tcW w:w="2340" w:type="dxa"/>
            <w:tcBorders>
              <w:top w:val="nil"/>
              <w:left w:val="nil"/>
              <w:bottom w:val="nil"/>
              <w:right w:val="nil"/>
            </w:tcBorders>
            <w:shd w:val="clear" w:color="auto" w:fill="auto"/>
            <w:tcMar>
              <w:top w:w="100" w:type="dxa"/>
              <w:left w:w="100" w:type="dxa"/>
              <w:bottom w:w="100" w:type="dxa"/>
              <w:right w:w="100" w:type="dxa"/>
            </w:tcMar>
          </w:tcPr>
          <w:p w14:paraId="49A27961"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4578F576"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0DE2FCBA"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d</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58062F61" w14:textId="77777777" w:rsidR="00DA7E40" w:rsidRPr="00D800F0" w:rsidRDefault="00DA7E40" w:rsidP="0000614D">
            <w:pPr>
              <w:rPr>
                <w:rFonts w:ascii="Arial" w:hAnsi="Arial" w:cs="Arial"/>
              </w:rPr>
            </w:pPr>
            <w:r w:rsidRPr="00D800F0">
              <w:rPr>
                <w:rFonts w:ascii="Arial" w:hAnsi="Arial" w:cs="Arial"/>
              </w:rPr>
              <w:t>cost of debt</w:t>
            </w:r>
          </w:p>
        </w:tc>
        <w:tc>
          <w:tcPr>
            <w:tcW w:w="2340" w:type="dxa"/>
            <w:tcBorders>
              <w:top w:val="nil"/>
              <w:left w:val="nil"/>
              <w:bottom w:val="nil"/>
              <w:right w:val="nil"/>
            </w:tcBorders>
            <w:shd w:val="clear" w:color="auto" w:fill="auto"/>
            <w:tcMar>
              <w:top w:w="100" w:type="dxa"/>
              <w:left w:w="100" w:type="dxa"/>
              <w:bottom w:w="100" w:type="dxa"/>
              <w:right w:w="100" w:type="dxa"/>
            </w:tcMar>
          </w:tcPr>
          <w:p w14:paraId="005484D8"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735CDD18"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4C6D830A"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hAnsi="Cambria Math" w:cs="Arial"/>
                      </w:rPr>
                      <m:t>φ</m:t>
                    </m:r>
                  </m:e>
                  <m:sub>
                    <m:r>
                      <m:rPr>
                        <m:sty m:val="bi"/>
                      </m:rPr>
                      <w:rPr>
                        <w:rFonts w:ascii="Cambria Math" w:eastAsia="Cambria Math" w:hAnsi="Cambria Math" w:cs="Arial"/>
                      </w:rPr>
                      <m:t>state</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2048F053" w14:textId="77777777" w:rsidR="00DA7E40" w:rsidRPr="00D800F0" w:rsidRDefault="00DA7E40" w:rsidP="0000614D">
            <w:pPr>
              <w:rPr>
                <w:rFonts w:ascii="Arial" w:hAnsi="Arial" w:cs="Arial"/>
              </w:rPr>
            </w:pPr>
            <w:r w:rsidRPr="00D800F0">
              <w:rPr>
                <w:rFonts w:ascii="Arial" w:hAnsi="Arial" w:cs="Arial"/>
              </w:rPr>
              <w:t>state income taxes</w:t>
            </w:r>
          </w:p>
        </w:tc>
        <w:tc>
          <w:tcPr>
            <w:tcW w:w="2340" w:type="dxa"/>
            <w:tcBorders>
              <w:top w:val="nil"/>
              <w:left w:val="nil"/>
              <w:bottom w:val="nil"/>
              <w:right w:val="nil"/>
            </w:tcBorders>
            <w:shd w:val="clear" w:color="auto" w:fill="auto"/>
            <w:tcMar>
              <w:top w:w="100" w:type="dxa"/>
              <w:left w:w="100" w:type="dxa"/>
              <w:bottom w:w="100" w:type="dxa"/>
              <w:right w:w="100" w:type="dxa"/>
            </w:tcMar>
          </w:tcPr>
          <w:p w14:paraId="293863E4"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579527AF"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4C9AD58F"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hAnsi="Cambria Math" w:cs="Arial"/>
                      </w:rPr>
                      <m:t>φ</m:t>
                    </m:r>
                  </m:e>
                  <m:sub>
                    <m:r>
                      <m:rPr>
                        <m:sty m:val="bi"/>
                      </m:rPr>
                      <w:rPr>
                        <w:rFonts w:ascii="Cambria Math" w:eastAsia="Cambria Math" w:hAnsi="Cambria Math" w:cs="Arial"/>
                      </w:rPr>
                      <m:t>federal</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6AFFA1E4" w14:textId="77777777" w:rsidR="00DA7E40" w:rsidRPr="00D800F0" w:rsidRDefault="00DA7E40" w:rsidP="0000614D">
            <w:pPr>
              <w:rPr>
                <w:rFonts w:ascii="Arial" w:hAnsi="Arial" w:cs="Arial"/>
              </w:rPr>
            </w:pPr>
            <w:r w:rsidRPr="00D800F0">
              <w:rPr>
                <w:rFonts w:ascii="Arial" w:hAnsi="Arial" w:cs="Arial"/>
              </w:rPr>
              <w:t>federal income taxes</w:t>
            </w:r>
          </w:p>
        </w:tc>
        <w:tc>
          <w:tcPr>
            <w:tcW w:w="2340" w:type="dxa"/>
            <w:tcBorders>
              <w:top w:val="nil"/>
              <w:left w:val="nil"/>
              <w:bottom w:val="nil"/>
              <w:right w:val="nil"/>
            </w:tcBorders>
            <w:shd w:val="clear" w:color="auto" w:fill="auto"/>
            <w:tcMar>
              <w:top w:w="100" w:type="dxa"/>
              <w:left w:w="100" w:type="dxa"/>
              <w:bottom w:w="100" w:type="dxa"/>
              <w:right w:w="100" w:type="dxa"/>
            </w:tcMar>
          </w:tcPr>
          <w:p w14:paraId="6BF2AAF3"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55F994B4"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02044B6"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r</m:t>
                </m:r>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40F8AF51" w14:textId="77777777" w:rsidR="00DA7E40" w:rsidRPr="00D800F0" w:rsidRDefault="00DA7E40" w:rsidP="0000614D">
            <w:pPr>
              <w:rPr>
                <w:rFonts w:ascii="Arial" w:hAnsi="Arial" w:cs="Arial"/>
              </w:rPr>
            </w:pPr>
            <w:r w:rsidRPr="00D800F0">
              <w:rPr>
                <w:rFonts w:ascii="Arial" w:hAnsi="Arial" w:cs="Arial"/>
              </w:rPr>
              <w:t>interest rate</w:t>
            </w:r>
          </w:p>
        </w:tc>
        <w:tc>
          <w:tcPr>
            <w:tcW w:w="2340" w:type="dxa"/>
            <w:tcBorders>
              <w:top w:val="nil"/>
              <w:left w:val="nil"/>
              <w:bottom w:val="nil"/>
              <w:right w:val="nil"/>
            </w:tcBorders>
            <w:shd w:val="clear" w:color="auto" w:fill="auto"/>
            <w:tcMar>
              <w:top w:w="100" w:type="dxa"/>
              <w:left w:w="100" w:type="dxa"/>
              <w:bottom w:w="100" w:type="dxa"/>
              <w:right w:w="100" w:type="dxa"/>
            </w:tcMar>
          </w:tcPr>
          <w:p w14:paraId="1F6A8EEB"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6FFCBFA4"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2CA943B"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NH</m:t>
                    </m:r>
                    <m:r>
                      <m:rPr>
                        <m:sty m:val="bi"/>
                      </m:rPr>
                      <w:rPr>
                        <w:rFonts w:ascii="Cambria Math" w:eastAsia="Cambria Math" w:hAnsi="Cambria Math" w:cs="Arial"/>
                      </w:rPr>
                      <m:t>3</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10A58948" w14:textId="77777777" w:rsidR="00DA7E40" w:rsidRPr="00D800F0" w:rsidRDefault="00DA7E40" w:rsidP="0000614D">
            <w:pPr>
              <w:rPr>
                <w:rFonts w:ascii="Arial" w:hAnsi="Arial" w:cs="Arial"/>
              </w:rPr>
            </w:pPr>
            <w:r w:rsidRPr="00D800F0">
              <w:rPr>
                <w:rFonts w:ascii="Arial" w:hAnsi="Arial" w:cs="Arial"/>
              </w:rPr>
              <w:t>Monthly ammonia production</w:t>
            </w:r>
          </w:p>
        </w:tc>
        <w:tc>
          <w:tcPr>
            <w:tcW w:w="2340" w:type="dxa"/>
            <w:tcBorders>
              <w:top w:val="nil"/>
              <w:left w:val="nil"/>
              <w:bottom w:val="nil"/>
              <w:right w:val="nil"/>
            </w:tcBorders>
            <w:shd w:val="clear" w:color="auto" w:fill="auto"/>
            <w:tcMar>
              <w:top w:w="100" w:type="dxa"/>
              <w:left w:w="100" w:type="dxa"/>
              <w:bottom w:w="100" w:type="dxa"/>
              <w:right w:w="100" w:type="dxa"/>
            </w:tcMar>
          </w:tcPr>
          <w:p w14:paraId="39904D92" w14:textId="77777777" w:rsidR="00DA7E40" w:rsidRPr="00D800F0" w:rsidRDefault="00DA7E40" w:rsidP="0000614D">
            <w:pPr>
              <w:widowControl w:val="0"/>
              <w:rPr>
                <w:rFonts w:ascii="Arial" w:hAnsi="Arial" w:cs="Arial"/>
              </w:rPr>
            </w:pPr>
            <w:r w:rsidRPr="00D800F0">
              <w:rPr>
                <w:rFonts w:ascii="Arial" w:hAnsi="Arial" w:cs="Arial"/>
              </w:rPr>
              <w:t>Tonne/day</w:t>
            </w:r>
          </w:p>
        </w:tc>
      </w:tr>
      <w:tr w:rsidR="00DA7E40" w:rsidRPr="00D800F0" w14:paraId="3D8D2F36"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4E50DC1B" w14:textId="77777777" w:rsidR="00DA7E40" w:rsidRPr="00D800F0" w:rsidRDefault="00DA7E40" w:rsidP="0000614D">
            <w:pPr>
              <w:jc w:val="center"/>
              <w:rPr>
                <w:rFonts w:ascii="Arial" w:hAnsi="Arial" w:cs="Arial"/>
                <w:b/>
                <w:bCs/>
              </w:rPr>
            </w:pPr>
            <m:oMathPara>
              <m:oMath>
                <m:r>
                  <m:rPr>
                    <m:sty m:val="bi"/>
                  </m:rPr>
                  <w:rPr>
                    <w:rFonts w:ascii="Cambria Math" w:hAnsi="Cambria Math" w:cs="Arial"/>
                  </w:rPr>
                  <m:t>S</m:t>
                </m:r>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0F18D672" w14:textId="77777777" w:rsidR="00DA7E40" w:rsidRPr="00D800F0" w:rsidRDefault="00DA7E40" w:rsidP="0000614D">
            <w:pPr>
              <w:rPr>
                <w:rFonts w:ascii="Arial" w:hAnsi="Arial" w:cs="Arial"/>
              </w:rPr>
            </w:pPr>
            <w:r w:rsidRPr="00D800F0">
              <w:rPr>
                <w:rFonts w:ascii="Arial" w:hAnsi="Arial" w:cs="Arial"/>
              </w:rPr>
              <w:t>Month of project start</w:t>
            </w:r>
          </w:p>
        </w:tc>
        <w:tc>
          <w:tcPr>
            <w:tcW w:w="2340" w:type="dxa"/>
            <w:tcBorders>
              <w:top w:val="nil"/>
              <w:left w:val="nil"/>
              <w:bottom w:val="nil"/>
              <w:right w:val="nil"/>
            </w:tcBorders>
            <w:shd w:val="clear" w:color="auto" w:fill="auto"/>
            <w:tcMar>
              <w:top w:w="100" w:type="dxa"/>
              <w:left w:w="100" w:type="dxa"/>
              <w:bottom w:w="100" w:type="dxa"/>
              <w:right w:w="100" w:type="dxa"/>
            </w:tcMar>
          </w:tcPr>
          <w:p w14:paraId="46E796B3" w14:textId="77777777" w:rsidR="00DA7E40" w:rsidRPr="00D800F0" w:rsidRDefault="00DA7E40" w:rsidP="0000614D">
            <w:pPr>
              <w:widowControl w:val="0"/>
              <w:rPr>
                <w:rFonts w:ascii="Arial" w:hAnsi="Arial" w:cs="Arial"/>
              </w:rPr>
            </w:pPr>
            <w:r w:rsidRPr="00D800F0">
              <w:rPr>
                <w:rFonts w:ascii="Arial" w:hAnsi="Arial" w:cs="Arial"/>
              </w:rPr>
              <w:t>month</w:t>
            </w:r>
          </w:p>
        </w:tc>
      </w:tr>
      <w:tr w:rsidR="00DA7E40" w:rsidRPr="00D800F0" w14:paraId="48074B36"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C5910D1" w14:textId="77777777" w:rsidR="00DA7E40" w:rsidRPr="00D800F0" w:rsidRDefault="00DA7E40" w:rsidP="0000614D">
            <w:pPr>
              <w:jc w:val="center"/>
              <w:rPr>
                <w:rFonts w:ascii="Arial" w:hAnsi="Arial" w:cs="Arial"/>
                <w:b/>
                <w:bCs/>
              </w:rPr>
            </w:pPr>
            <m:oMathPara>
              <m:oMath>
                <m:r>
                  <m:rPr>
                    <m:sty m:val="bi"/>
                  </m:rPr>
                  <w:rPr>
                    <w:rFonts w:ascii="Cambria Math" w:hAnsi="Cambria Math" w:cs="Arial"/>
                  </w:rPr>
                  <m:t>C</m:t>
                </m:r>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2FE718D7" w14:textId="77777777" w:rsidR="00DA7E40" w:rsidRPr="00D800F0" w:rsidRDefault="00DA7E40" w:rsidP="0000614D">
            <w:pPr>
              <w:rPr>
                <w:rFonts w:ascii="Arial" w:hAnsi="Arial" w:cs="Arial"/>
              </w:rPr>
            </w:pPr>
            <w:r w:rsidRPr="00D800F0">
              <w:rPr>
                <w:rFonts w:ascii="Arial" w:hAnsi="Arial" w:cs="Arial"/>
              </w:rPr>
              <w:t>Construction time</w:t>
            </w:r>
          </w:p>
        </w:tc>
        <w:tc>
          <w:tcPr>
            <w:tcW w:w="2340" w:type="dxa"/>
            <w:tcBorders>
              <w:top w:val="nil"/>
              <w:left w:val="nil"/>
              <w:bottom w:val="nil"/>
              <w:right w:val="nil"/>
            </w:tcBorders>
            <w:shd w:val="clear" w:color="auto" w:fill="auto"/>
            <w:tcMar>
              <w:top w:w="100" w:type="dxa"/>
              <w:left w:w="100" w:type="dxa"/>
              <w:bottom w:w="100" w:type="dxa"/>
              <w:right w:w="100" w:type="dxa"/>
            </w:tcMar>
          </w:tcPr>
          <w:p w14:paraId="4FB0ADC5" w14:textId="77777777" w:rsidR="00DA7E40" w:rsidRPr="00D800F0" w:rsidRDefault="00DA7E40" w:rsidP="0000614D">
            <w:pPr>
              <w:widowControl w:val="0"/>
              <w:rPr>
                <w:rFonts w:ascii="Arial" w:hAnsi="Arial" w:cs="Arial"/>
              </w:rPr>
            </w:pPr>
            <w:r w:rsidRPr="00D800F0">
              <w:rPr>
                <w:rFonts w:ascii="Arial" w:hAnsi="Arial" w:cs="Arial"/>
              </w:rPr>
              <w:t>months</w:t>
            </w:r>
          </w:p>
        </w:tc>
      </w:tr>
      <w:tr w:rsidR="00DA7E40" w:rsidRPr="00D800F0" w14:paraId="569E5D4C"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5ADD3EFE" w14:textId="77777777" w:rsidR="00DA7E40" w:rsidRPr="00D800F0" w:rsidRDefault="00DA7E40" w:rsidP="0000614D">
            <w:pPr>
              <w:jc w:val="center"/>
              <w:rPr>
                <w:rFonts w:ascii="Arial" w:hAnsi="Arial" w:cs="Arial"/>
                <w:b/>
                <w:bCs/>
              </w:rPr>
            </w:pPr>
            <m:oMathPara>
              <m:oMath>
                <m:r>
                  <m:rPr>
                    <m:sty m:val="bi"/>
                  </m:rPr>
                  <w:rPr>
                    <w:rFonts w:ascii="Cambria Math" w:hAnsi="Cambria Math" w:cs="Arial"/>
                  </w:rPr>
                  <m:t>L</m:t>
                </m:r>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74C67115" w14:textId="77777777" w:rsidR="00DA7E40" w:rsidRPr="00D800F0" w:rsidRDefault="00DA7E40" w:rsidP="0000614D">
            <w:pPr>
              <w:rPr>
                <w:rFonts w:ascii="Arial" w:hAnsi="Arial" w:cs="Arial"/>
              </w:rPr>
            </w:pPr>
            <w:r w:rsidRPr="00D800F0">
              <w:rPr>
                <w:rFonts w:ascii="Arial" w:hAnsi="Arial" w:cs="Arial"/>
              </w:rPr>
              <w:t>Operating lifetime (duration)</w:t>
            </w:r>
          </w:p>
        </w:tc>
        <w:tc>
          <w:tcPr>
            <w:tcW w:w="2340" w:type="dxa"/>
            <w:tcBorders>
              <w:top w:val="nil"/>
              <w:left w:val="nil"/>
              <w:bottom w:val="nil"/>
              <w:right w:val="nil"/>
            </w:tcBorders>
            <w:shd w:val="clear" w:color="auto" w:fill="auto"/>
            <w:tcMar>
              <w:top w:w="100" w:type="dxa"/>
              <w:left w:w="100" w:type="dxa"/>
              <w:bottom w:w="100" w:type="dxa"/>
              <w:right w:w="100" w:type="dxa"/>
            </w:tcMar>
          </w:tcPr>
          <w:p w14:paraId="7BED3886" w14:textId="77777777" w:rsidR="00DA7E40" w:rsidRPr="00D800F0" w:rsidRDefault="00DA7E40" w:rsidP="0000614D">
            <w:pPr>
              <w:widowControl w:val="0"/>
              <w:rPr>
                <w:rFonts w:ascii="Arial" w:hAnsi="Arial" w:cs="Arial"/>
              </w:rPr>
            </w:pPr>
            <w:r w:rsidRPr="00D800F0">
              <w:rPr>
                <w:rFonts w:ascii="Arial" w:hAnsi="Arial" w:cs="Arial"/>
              </w:rPr>
              <w:t>months</w:t>
            </w:r>
          </w:p>
        </w:tc>
      </w:tr>
      <w:tr w:rsidR="00DA7E40" w:rsidRPr="00D800F0" w14:paraId="735774A8"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46E06C0"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NPV</m:t>
                </m:r>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5C05BAEE" w14:textId="77777777" w:rsidR="00DA7E40" w:rsidRPr="00D800F0" w:rsidRDefault="00DA7E40" w:rsidP="0000614D">
            <w:pPr>
              <w:rPr>
                <w:rFonts w:ascii="Arial" w:hAnsi="Arial" w:cs="Arial"/>
              </w:rPr>
            </w:pPr>
            <w:r w:rsidRPr="00D800F0">
              <w:rPr>
                <w:rFonts w:ascii="Arial" w:hAnsi="Arial" w:cs="Arial"/>
              </w:rPr>
              <w:t xml:space="preserve">Net Present Value </w:t>
            </w:r>
          </w:p>
        </w:tc>
        <w:tc>
          <w:tcPr>
            <w:tcW w:w="2340" w:type="dxa"/>
            <w:tcBorders>
              <w:top w:val="nil"/>
              <w:left w:val="nil"/>
              <w:bottom w:val="nil"/>
              <w:right w:val="nil"/>
            </w:tcBorders>
            <w:shd w:val="clear" w:color="auto" w:fill="auto"/>
            <w:tcMar>
              <w:top w:w="100" w:type="dxa"/>
              <w:left w:w="100" w:type="dxa"/>
              <w:bottom w:w="100" w:type="dxa"/>
              <w:right w:w="100" w:type="dxa"/>
            </w:tcMar>
          </w:tcPr>
          <w:p w14:paraId="62E12BBA"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39FC2F4B"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7D23350F"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CF</m:t>
                </m:r>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4AB76D2B" w14:textId="77777777" w:rsidR="00DA7E40" w:rsidRPr="00D800F0" w:rsidRDefault="00DA7E40" w:rsidP="0000614D">
            <w:pPr>
              <w:rPr>
                <w:rFonts w:ascii="Arial" w:hAnsi="Arial" w:cs="Arial"/>
              </w:rPr>
            </w:pPr>
            <w:r w:rsidRPr="00D800F0">
              <w:rPr>
                <w:rFonts w:ascii="Arial" w:hAnsi="Arial" w:cs="Arial"/>
              </w:rPr>
              <w:t xml:space="preserve">cash flow at time </w:t>
            </w:r>
            <m:oMath>
              <m:r>
                <w:rPr>
                  <w:rFonts w:ascii="Cambria Math" w:eastAsia="Cambria Math" w:hAnsi="Cambria Math" w:cs="Arial"/>
                </w:rPr>
                <m:t>T</m:t>
              </m:r>
            </m:oMath>
          </w:p>
        </w:tc>
        <w:tc>
          <w:tcPr>
            <w:tcW w:w="2340" w:type="dxa"/>
            <w:tcBorders>
              <w:top w:val="nil"/>
              <w:left w:val="nil"/>
              <w:bottom w:val="nil"/>
              <w:right w:val="nil"/>
            </w:tcBorders>
            <w:shd w:val="clear" w:color="auto" w:fill="auto"/>
            <w:tcMar>
              <w:top w:w="100" w:type="dxa"/>
              <w:left w:w="100" w:type="dxa"/>
              <w:bottom w:w="100" w:type="dxa"/>
              <w:right w:w="100" w:type="dxa"/>
            </w:tcMar>
          </w:tcPr>
          <w:p w14:paraId="79E3FA09"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48F503B5"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AAF2C30"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Land</m:t>
                </m:r>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4D3EDC0B" w14:textId="77777777" w:rsidR="00DA7E40" w:rsidRPr="00D800F0" w:rsidRDefault="00DA7E40" w:rsidP="0000614D">
            <w:pPr>
              <w:rPr>
                <w:rFonts w:ascii="Arial" w:hAnsi="Arial" w:cs="Arial"/>
              </w:rPr>
            </w:pPr>
            <w:r w:rsidRPr="00D800F0">
              <w:rPr>
                <w:rFonts w:ascii="Arial" w:hAnsi="Arial" w:cs="Arial"/>
              </w:rPr>
              <w:t>costs of purchasing land at time T</w:t>
            </w:r>
          </w:p>
        </w:tc>
        <w:tc>
          <w:tcPr>
            <w:tcW w:w="2340" w:type="dxa"/>
            <w:tcBorders>
              <w:top w:val="nil"/>
              <w:left w:val="nil"/>
              <w:bottom w:val="nil"/>
              <w:right w:val="nil"/>
            </w:tcBorders>
            <w:shd w:val="clear" w:color="auto" w:fill="auto"/>
            <w:tcMar>
              <w:top w:w="100" w:type="dxa"/>
              <w:left w:w="100" w:type="dxa"/>
              <w:bottom w:w="100" w:type="dxa"/>
              <w:right w:w="100" w:type="dxa"/>
            </w:tcMar>
          </w:tcPr>
          <w:p w14:paraId="7F8C6B15"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5F0814CC"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7A9C12FD"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land</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509164C0" w14:textId="77777777" w:rsidR="00DA7E40" w:rsidRPr="00D800F0" w:rsidRDefault="00DA7E40" w:rsidP="0000614D">
            <w:pPr>
              <w:rPr>
                <w:rFonts w:ascii="Arial" w:hAnsi="Arial" w:cs="Arial"/>
              </w:rPr>
            </w:pPr>
            <w:r w:rsidRPr="00D800F0">
              <w:rPr>
                <w:rFonts w:ascii="Arial" w:hAnsi="Arial" w:cs="Arial"/>
              </w:rPr>
              <w:t>Land cost</w:t>
            </w:r>
          </w:p>
        </w:tc>
        <w:tc>
          <w:tcPr>
            <w:tcW w:w="2340" w:type="dxa"/>
            <w:tcBorders>
              <w:top w:val="nil"/>
              <w:left w:val="nil"/>
              <w:bottom w:val="nil"/>
              <w:right w:val="nil"/>
            </w:tcBorders>
            <w:shd w:val="clear" w:color="auto" w:fill="auto"/>
            <w:tcMar>
              <w:top w:w="100" w:type="dxa"/>
              <w:left w:w="100" w:type="dxa"/>
              <w:bottom w:w="100" w:type="dxa"/>
              <w:right w:w="100" w:type="dxa"/>
            </w:tcMar>
          </w:tcPr>
          <w:p w14:paraId="74D308DE"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2F3735B5"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5412C288"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WC(T)</m:t>
                </m:r>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6EBDAEE0" w14:textId="77777777" w:rsidR="00DA7E40" w:rsidRPr="00D800F0" w:rsidRDefault="00DA7E40" w:rsidP="0000614D">
            <w:pPr>
              <w:rPr>
                <w:rFonts w:ascii="Arial" w:hAnsi="Arial" w:cs="Arial"/>
              </w:rPr>
            </w:pPr>
            <w:r w:rsidRPr="00D800F0">
              <w:rPr>
                <w:rFonts w:ascii="Arial" w:hAnsi="Arial" w:cs="Arial"/>
              </w:rPr>
              <w:t>costs of injecting working capital at time T</w:t>
            </w:r>
          </w:p>
        </w:tc>
        <w:tc>
          <w:tcPr>
            <w:tcW w:w="2340" w:type="dxa"/>
            <w:tcBorders>
              <w:top w:val="nil"/>
              <w:left w:val="nil"/>
              <w:bottom w:val="nil"/>
              <w:right w:val="nil"/>
            </w:tcBorders>
            <w:shd w:val="clear" w:color="auto" w:fill="auto"/>
            <w:tcMar>
              <w:top w:w="100" w:type="dxa"/>
              <w:left w:w="100" w:type="dxa"/>
              <w:bottom w:w="100" w:type="dxa"/>
              <w:right w:w="100" w:type="dxa"/>
            </w:tcMar>
          </w:tcPr>
          <w:p w14:paraId="7DEAAE8C"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296145D8"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74143C8A"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L</m:t>
                    </m:r>
                  </m:e>
                  <m:sub>
                    <m:r>
                      <m:rPr>
                        <m:sty m:val="bi"/>
                      </m:rPr>
                      <w:rPr>
                        <w:rFonts w:ascii="Cambria Math" w:eastAsia="Cambria Math" w:hAnsi="Cambria Math" w:cs="Arial"/>
                      </w:rPr>
                      <m:t>loan</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47636787" w14:textId="77777777" w:rsidR="00DA7E40" w:rsidRPr="00D800F0" w:rsidRDefault="00DA7E40" w:rsidP="0000614D">
            <w:pPr>
              <w:rPr>
                <w:rFonts w:ascii="Arial" w:hAnsi="Arial" w:cs="Arial"/>
              </w:rPr>
            </w:pPr>
            <w:r w:rsidRPr="00D800F0">
              <w:rPr>
                <w:rFonts w:ascii="Arial" w:hAnsi="Arial" w:cs="Arial"/>
              </w:rPr>
              <w:t>loan lifetime</w:t>
            </w:r>
          </w:p>
        </w:tc>
        <w:tc>
          <w:tcPr>
            <w:tcW w:w="2340" w:type="dxa"/>
            <w:tcBorders>
              <w:top w:val="nil"/>
              <w:left w:val="nil"/>
              <w:bottom w:val="nil"/>
              <w:right w:val="nil"/>
            </w:tcBorders>
            <w:shd w:val="clear" w:color="auto" w:fill="auto"/>
            <w:tcMar>
              <w:top w:w="100" w:type="dxa"/>
              <w:left w:w="100" w:type="dxa"/>
              <w:bottom w:w="100" w:type="dxa"/>
              <w:right w:w="100" w:type="dxa"/>
            </w:tcMar>
          </w:tcPr>
          <w:p w14:paraId="4B878760" w14:textId="77777777" w:rsidR="00DA7E40" w:rsidRPr="00D800F0" w:rsidRDefault="00DA7E40" w:rsidP="0000614D">
            <w:pPr>
              <w:widowControl w:val="0"/>
              <w:rPr>
                <w:rFonts w:ascii="Arial" w:hAnsi="Arial" w:cs="Arial"/>
              </w:rPr>
            </w:pPr>
            <w:r w:rsidRPr="00D800F0">
              <w:rPr>
                <w:rFonts w:ascii="Arial" w:hAnsi="Arial" w:cs="Arial"/>
              </w:rPr>
              <w:t>years</w:t>
            </w:r>
          </w:p>
        </w:tc>
      </w:tr>
      <w:tr w:rsidR="00DA7E40" w:rsidRPr="00D800F0" w14:paraId="614573F3"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3C12C63"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y</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74D09F4A" w14:textId="77777777" w:rsidR="00DA7E40" w:rsidRPr="00D800F0" w:rsidRDefault="00DA7E40" w:rsidP="0000614D">
            <w:pPr>
              <w:rPr>
                <w:rFonts w:ascii="Arial" w:hAnsi="Arial" w:cs="Arial"/>
              </w:rPr>
            </w:pPr>
            <w:r w:rsidRPr="00D800F0">
              <w:rPr>
                <w:rFonts w:ascii="Arial" w:hAnsi="Arial" w:cs="Arial"/>
              </w:rPr>
              <w:t>Hours per year (365 * 24)</w:t>
            </w:r>
          </w:p>
        </w:tc>
        <w:tc>
          <w:tcPr>
            <w:tcW w:w="2340" w:type="dxa"/>
            <w:tcBorders>
              <w:top w:val="nil"/>
              <w:left w:val="nil"/>
              <w:bottom w:val="nil"/>
              <w:right w:val="nil"/>
            </w:tcBorders>
            <w:shd w:val="clear" w:color="auto" w:fill="auto"/>
            <w:tcMar>
              <w:top w:w="100" w:type="dxa"/>
              <w:left w:w="100" w:type="dxa"/>
              <w:bottom w:w="100" w:type="dxa"/>
              <w:right w:w="100" w:type="dxa"/>
            </w:tcMar>
          </w:tcPr>
          <w:p w14:paraId="027BC51C" w14:textId="77777777" w:rsidR="00DA7E40" w:rsidRPr="00D800F0" w:rsidRDefault="00DA7E40" w:rsidP="0000614D">
            <w:pPr>
              <w:widowControl w:val="0"/>
              <w:rPr>
                <w:rFonts w:ascii="Arial" w:hAnsi="Arial" w:cs="Arial"/>
              </w:rPr>
            </w:pPr>
            <w:r w:rsidRPr="00D800F0">
              <w:rPr>
                <w:rFonts w:ascii="Arial" w:hAnsi="Arial" w:cs="Arial"/>
              </w:rPr>
              <w:t>hour/year</w:t>
            </w:r>
          </w:p>
        </w:tc>
      </w:tr>
      <w:tr w:rsidR="00DA7E40" w:rsidRPr="00D800F0" w14:paraId="0459A960"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407E14A3"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sSub>
                      <m:sSubPr>
                        <m:ctrlPr>
                          <w:rPr>
                            <w:rFonts w:ascii="Cambria Math" w:eastAsia="Cambria Math" w:hAnsi="Cambria Math" w:cs="Arial"/>
                            <w:b/>
                            <w:bCs/>
                          </w:rPr>
                        </m:ctrlPr>
                      </m:sSubPr>
                      <m:e>
                        <m:r>
                          <m:rPr>
                            <m:sty m:val="bi"/>
                          </m:rPr>
                          <w:rPr>
                            <w:rFonts w:ascii="Cambria Math" w:eastAsia="Cambria Math" w:hAnsi="Cambria Math" w:cs="Arial"/>
                          </w:rPr>
                          <m:t>j</m:t>
                        </m:r>
                      </m:e>
                      <m:sub>
                        <m:r>
                          <m:rPr>
                            <m:sty m:val="bi"/>
                          </m:rPr>
                          <w:rPr>
                            <w:rFonts w:ascii="Cambria Math" w:eastAsia="Cambria Math" w:hAnsi="Cambria Math" w:cs="Arial"/>
                          </w:rPr>
                          <m:t>direct</m:t>
                        </m:r>
                      </m:sub>
                    </m:sSub>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3FEA7626" w14:textId="77777777" w:rsidR="00DA7E40" w:rsidRPr="00D800F0" w:rsidRDefault="00DA7E40" w:rsidP="0000614D">
            <w:pPr>
              <w:rPr>
                <w:rFonts w:ascii="Arial" w:hAnsi="Arial" w:cs="Arial"/>
              </w:rPr>
            </w:pPr>
            <w:r w:rsidRPr="00D800F0">
              <w:rPr>
                <w:rFonts w:ascii="Arial" w:hAnsi="Arial" w:cs="Arial"/>
              </w:rPr>
              <w:t xml:space="preserve">direct emission </w:t>
            </w:r>
          </w:p>
        </w:tc>
        <w:tc>
          <w:tcPr>
            <w:tcW w:w="2340" w:type="dxa"/>
            <w:tcBorders>
              <w:top w:val="nil"/>
              <w:left w:val="nil"/>
              <w:bottom w:val="nil"/>
              <w:right w:val="nil"/>
            </w:tcBorders>
            <w:shd w:val="clear" w:color="auto" w:fill="auto"/>
            <w:tcMar>
              <w:top w:w="100" w:type="dxa"/>
              <w:left w:w="100" w:type="dxa"/>
              <w:bottom w:w="100" w:type="dxa"/>
              <w:right w:w="100" w:type="dxa"/>
            </w:tcMar>
          </w:tcPr>
          <w:p w14:paraId="20C36DD8" w14:textId="77777777" w:rsidR="00DA7E40" w:rsidRPr="00D800F0" w:rsidRDefault="00DA7E40" w:rsidP="0000614D">
            <w:pPr>
              <w:widowControl w:val="0"/>
              <w:rPr>
                <w:rFonts w:ascii="Arial" w:hAnsi="Arial" w:cs="Arial"/>
              </w:rPr>
            </w:pPr>
            <w:r w:rsidRPr="00D800F0">
              <w:rPr>
                <w:rFonts w:ascii="Arial" w:hAnsi="Arial" w:cs="Arial"/>
              </w:rPr>
              <w:t>kgCO2/KgH2</w:t>
            </w:r>
          </w:p>
        </w:tc>
      </w:tr>
      <w:tr w:rsidR="00DA7E40" w:rsidRPr="00D800F0" w14:paraId="3D5E9185"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7EC37A4C"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sSub>
                      <m:sSubPr>
                        <m:ctrlPr>
                          <w:rPr>
                            <w:rFonts w:ascii="Cambria Math" w:eastAsia="Cambria Math" w:hAnsi="Cambria Math" w:cs="Arial"/>
                            <w:b/>
                            <w:bCs/>
                          </w:rPr>
                        </m:ctrlPr>
                      </m:sSubPr>
                      <m:e>
                        <m:r>
                          <m:rPr>
                            <m:sty m:val="bi"/>
                          </m:rPr>
                          <w:rPr>
                            <w:rFonts w:ascii="Cambria Math" w:eastAsia="Cambria Math" w:hAnsi="Cambria Math" w:cs="Arial"/>
                          </w:rPr>
                          <m:t>j</m:t>
                        </m:r>
                      </m:e>
                      <m:sub>
                        <m:r>
                          <m:rPr>
                            <m:sty m:val="bi"/>
                          </m:rPr>
                          <w:rPr>
                            <w:rFonts w:ascii="Cambria Math" w:eastAsia="Cambria Math" w:hAnsi="Cambria Math" w:cs="Arial"/>
                          </w:rPr>
                          <m:t>NG</m:t>
                        </m:r>
                      </m:sub>
                    </m:sSub>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2C37BF2E" w14:textId="77777777" w:rsidR="00DA7E40" w:rsidRPr="00D800F0" w:rsidRDefault="00DA7E40" w:rsidP="0000614D">
            <w:pPr>
              <w:rPr>
                <w:rFonts w:ascii="Arial" w:hAnsi="Arial" w:cs="Arial"/>
              </w:rPr>
            </w:pPr>
            <w:r w:rsidRPr="00D800F0">
              <w:rPr>
                <w:rFonts w:ascii="Arial" w:hAnsi="Arial" w:cs="Arial"/>
              </w:rPr>
              <w:t xml:space="preserve">Natural gas emission </w:t>
            </w:r>
          </w:p>
        </w:tc>
        <w:tc>
          <w:tcPr>
            <w:tcW w:w="2340" w:type="dxa"/>
            <w:tcBorders>
              <w:top w:val="nil"/>
              <w:left w:val="nil"/>
              <w:bottom w:val="nil"/>
              <w:right w:val="nil"/>
            </w:tcBorders>
            <w:shd w:val="clear" w:color="auto" w:fill="auto"/>
            <w:tcMar>
              <w:top w:w="100" w:type="dxa"/>
              <w:left w:w="100" w:type="dxa"/>
              <w:bottom w:w="100" w:type="dxa"/>
              <w:right w:w="100" w:type="dxa"/>
            </w:tcMar>
          </w:tcPr>
          <w:p w14:paraId="71AE0E11" w14:textId="77777777" w:rsidR="00DA7E40" w:rsidRPr="00D800F0" w:rsidRDefault="00DA7E40" w:rsidP="0000614D">
            <w:pPr>
              <w:widowControl w:val="0"/>
              <w:rPr>
                <w:rFonts w:ascii="Arial" w:hAnsi="Arial" w:cs="Arial"/>
              </w:rPr>
            </w:pPr>
            <w:r w:rsidRPr="00D800F0">
              <w:rPr>
                <w:rFonts w:ascii="Arial" w:hAnsi="Arial" w:cs="Arial"/>
              </w:rPr>
              <w:t>kgCO2/KgH2</w:t>
            </w:r>
          </w:p>
        </w:tc>
      </w:tr>
      <w:tr w:rsidR="00DA7E40" w:rsidRPr="00D800F0" w14:paraId="15CCFD04"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70017228"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e>
                  <m:sub>
                    <m:r>
                      <m:rPr>
                        <m:sty m:val="bi"/>
                      </m:rPr>
                      <w:rPr>
                        <w:rFonts w:ascii="Cambria Math" w:eastAsia="Cambria Math" w:hAnsi="Cambria Math" w:cs="Arial"/>
                      </w:rPr>
                      <m:t>Biomass</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02855661" w14:textId="77777777" w:rsidR="00DA7E40" w:rsidRPr="00D800F0" w:rsidRDefault="00DA7E40" w:rsidP="0000614D">
            <w:pPr>
              <w:rPr>
                <w:rFonts w:ascii="Arial" w:hAnsi="Arial" w:cs="Arial"/>
              </w:rPr>
            </w:pPr>
            <w:r w:rsidRPr="00D800F0">
              <w:rPr>
                <w:rFonts w:ascii="Arial" w:hAnsi="Arial" w:cs="Arial"/>
              </w:rPr>
              <w:t>Biomass emission</w:t>
            </w:r>
          </w:p>
        </w:tc>
        <w:tc>
          <w:tcPr>
            <w:tcW w:w="2340" w:type="dxa"/>
            <w:tcBorders>
              <w:top w:val="nil"/>
              <w:left w:val="nil"/>
              <w:bottom w:val="nil"/>
              <w:right w:val="nil"/>
            </w:tcBorders>
            <w:shd w:val="clear" w:color="auto" w:fill="auto"/>
            <w:tcMar>
              <w:top w:w="100" w:type="dxa"/>
              <w:left w:w="100" w:type="dxa"/>
              <w:bottom w:w="100" w:type="dxa"/>
              <w:right w:w="100" w:type="dxa"/>
            </w:tcMar>
          </w:tcPr>
          <w:p w14:paraId="504F85CE" w14:textId="77777777" w:rsidR="00DA7E40" w:rsidRPr="00D800F0" w:rsidRDefault="00DA7E40" w:rsidP="0000614D">
            <w:pPr>
              <w:widowControl w:val="0"/>
              <w:rPr>
                <w:rFonts w:ascii="Arial" w:hAnsi="Arial" w:cs="Arial"/>
              </w:rPr>
            </w:pPr>
            <w:r w:rsidRPr="00D800F0">
              <w:rPr>
                <w:rFonts w:ascii="Arial" w:hAnsi="Arial" w:cs="Arial"/>
              </w:rPr>
              <w:t>kgCO2/KgH2</w:t>
            </w:r>
          </w:p>
        </w:tc>
      </w:tr>
      <w:tr w:rsidR="00DA7E40" w:rsidRPr="00D800F0" w14:paraId="4416B0B2"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74135060"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oil</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23FF6F7C" w14:textId="77777777" w:rsidR="00DA7E40" w:rsidRPr="00D800F0" w:rsidRDefault="00DA7E40" w:rsidP="0000614D">
            <w:pPr>
              <w:rPr>
                <w:rFonts w:ascii="Arial" w:hAnsi="Arial" w:cs="Arial"/>
              </w:rPr>
            </w:pPr>
            <w:r w:rsidRPr="00D800F0">
              <w:rPr>
                <w:rFonts w:ascii="Arial" w:hAnsi="Arial" w:cs="Arial"/>
              </w:rPr>
              <w:t xml:space="preserve">electric demand from oil over the hydrogen production </w:t>
            </w:r>
          </w:p>
        </w:tc>
        <w:tc>
          <w:tcPr>
            <w:tcW w:w="2340" w:type="dxa"/>
            <w:tcBorders>
              <w:top w:val="nil"/>
              <w:left w:val="nil"/>
              <w:bottom w:val="nil"/>
              <w:right w:val="nil"/>
            </w:tcBorders>
            <w:shd w:val="clear" w:color="auto" w:fill="auto"/>
            <w:tcMar>
              <w:top w:w="100" w:type="dxa"/>
              <w:left w:w="100" w:type="dxa"/>
              <w:bottom w:w="100" w:type="dxa"/>
              <w:right w:w="100" w:type="dxa"/>
            </w:tcMar>
          </w:tcPr>
          <w:p w14:paraId="19649E39" w14:textId="77777777" w:rsidR="00DA7E40" w:rsidRPr="00D800F0" w:rsidRDefault="00DA7E40" w:rsidP="0000614D">
            <w:pPr>
              <w:widowControl w:val="0"/>
              <w:rPr>
                <w:rFonts w:ascii="Arial" w:hAnsi="Arial" w:cs="Arial"/>
              </w:rPr>
            </w:pPr>
            <w:r w:rsidRPr="00D800F0">
              <w:rPr>
                <w:rFonts w:ascii="Arial" w:hAnsi="Arial" w:cs="Arial"/>
              </w:rPr>
              <w:t>kgCO2/kWh_e</w:t>
            </w:r>
          </w:p>
        </w:tc>
      </w:tr>
      <w:tr w:rsidR="00DA7E40" w:rsidRPr="00D800F0" w14:paraId="2B2BC0B1"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35857B26"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nuclear</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5CD23C84" w14:textId="77777777" w:rsidR="00DA7E40" w:rsidRPr="00D800F0" w:rsidRDefault="00DA7E40" w:rsidP="0000614D">
            <w:pPr>
              <w:rPr>
                <w:rFonts w:ascii="Arial" w:hAnsi="Arial" w:cs="Arial"/>
              </w:rPr>
            </w:pPr>
            <w:r w:rsidRPr="00D800F0">
              <w:rPr>
                <w:rFonts w:ascii="Arial" w:hAnsi="Arial" w:cs="Arial"/>
              </w:rPr>
              <w:t xml:space="preserve">electric demand from nuclear over the hydrogen production </w:t>
            </w:r>
          </w:p>
        </w:tc>
        <w:tc>
          <w:tcPr>
            <w:tcW w:w="2340" w:type="dxa"/>
            <w:tcBorders>
              <w:top w:val="nil"/>
              <w:left w:val="nil"/>
              <w:bottom w:val="nil"/>
              <w:right w:val="nil"/>
            </w:tcBorders>
            <w:shd w:val="clear" w:color="auto" w:fill="auto"/>
            <w:tcMar>
              <w:top w:w="100" w:type="dxa"/>
              <w:left w:w="100" w:type="dxa"/>
              <w:bottom w:w="100" w:type="dxa"/>
              <w:right w:w="100" w:type="dxa"/>
            </w:tcMar>
          </w:tcPr>
          <w:p w14:paraId="08687A62" w14:textId="77777777" w:rsidR="00DA7E40" w:rsidRPr="00D800F0" w:rsidRDefault="00DA7E40" w:rsidP="0000614D">
            <w:pPr>
              <w:widowControl w:val="0"/>
              <w:rPr>
                <w:rFonts w:ascii="Arial" w:hAnsi="Arial" w:cs="Arial"/>
              </w:rPr>
            </w:pPr>
            <w:r w:rsidRPr="00D800F0">
              <w:rPr>
                <w:rFonts w:ascii="Arial" w:hAnsi="Arial" w:cs="Arial"/>
              </w:rPr>
              <w:t>kgCO2/kWh_e</w:t>
            </w:r>
          </w:p>
        </w:tc>
      </w:tr>
      <w:tr w:rsidR="00DA7E40" w:rsidRPr="00D800F0" w14:paraId="04C09639"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488C1DE4"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renewables</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42639AA1" w14:textId="77777777" w:rsidR="00DA7E40" w:rsidRPr="00D800F0" w:rsidRDefault="00DA7E40" w:rsidP="0000614D">
            <w:pPr>
              <w:rPr>
                <w:rFonts w:ascii="Arial" w:hAnsi="Arial" w:cs="Arial"/>
              </w:rPr>
            </w:pPr>
            <w:r w:rsidRPr="00D800F0">
              <w:rPr>
                <w:rFonts w:ascii="Arial" w:hAnsi="Arial" w:cs="Arial"/>
              </w:rPr>
              <w:t xml:space="preserve">electric demand from renewables over the hydrogen production </w:t>
            </w:r>
          </w:p>
        </w:tc>
        <w:tc>
          <w:tcPr>
            <w:tcW w:w="2340" w:type="dxa"/>
            <w:tcBorders>
              <w:top w:val="nil"/>
              <w:left w:val="nil"/>
              <w:bottom w:val="nil"/>
              <w:right w:val="nil"/>
            </w:tcBorders>
            <w:shd w:val="clear" w:color="auto" w:fill="auto"/>
            <w:tcMar>
              <w:top w:w="100" w:type="dxa"/>
              <w:left w:w="100" w:type="dxa"/>
              <w:bottom w:w="100" w:type="dxa"/>
              <w:right w:w="100" w:type="dxa"/>
            </w:tcMar>
          </w:tcPr>
          <w:p w14:paraId="022FF46C" w14:textId="77777777" w:rsidR="00DA7E40" w:rsidRPr="00D800F0" w:rsidRDefault="00DA7E40" w:rsidP="0000614D">
            <w:pPr>
              <w:widowControl w:val="0"/>
              <w:rPr>
                <w:rFonts w:ascii="Arial" w:hAnsi="Arial" w:cs="Arial"/>
              </w:rPr>
            </w:pPr>
            <w:r w:rsidRPr="00D800F0">
              <w:rPr>
                <w:rFonts w:ascii="Arial" w:hAnsi="Arial" w:cs="Arial"/>
              </w:rPr>
              <w:t>kgCO2/kWh_e</w:t>
            </w:r>
          </w:p>
        </w:tc>
      </w:tr>
      <w:tr w:rsidR="00DA7E40" w:rsidRPr="00D800F0" w14:paraId="462DA3DB"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B4FCB05"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NG</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6F2C6621" w14:textId="77777777" w:rsidR="00DA7E40" w:rsidRPr="00D800F0" w:rsidRDefault="00DA7E40" w:rsidP="0000614D">
            <w:pPr>
              <w:rPr>
                <w:rFonts w:ascii="Arial" w:hAnsi="Arial" w:cs="Arial"/>
              </w:rPr>
            </w:pPr>
            <w:r w:rsidRPr="00D800F0">
              <w:rPr>
                <w:rFonts w:ascii="Arial" w:hAnsi="Arial" w:cs="Arial"/>
              </w:rPr>
              <w:t xml:space="preserve">electric demand from NG over the hydrogen production </w:t>
            </w:r>
          </w:p>
        </w:tc>
        <w:tc>
          <w:tcPr>
            <w:tcW w:w="2340" w:type="dxa"/>
            <w:tcBorders>
              <w:top w:val="nil"/>
              <w:left w:val="nil"/>
              <w:bottom w:val="nil"/>
              <w:right w:val="nil"/>
            </w:tcBorders>
            <w:shd w:val="clear" w:color="auto" w:fill="auto"/>
            <w:tcMar>
              <w:top w:w="100" w:type="dxa"/>
              <w:left w:w="100" w:type="dxa"/>
              <w:bottom w:w="100" w:type="dxa"/>
              <w:right w:w="100" w:type="dxa"/>
            </w:tcMar>
          </w:tcPr>
          <w:p w14:paraId="1557037E" w14:textId="77777777" w:rsidR="00DA7E40" w:rsidRPr="00D800F0" w:rsidRDefault="00DA7E40" w:rsidP="0000614D">
            <w:pPr>
              <w:widowControl w:val="0"/>
              <w:rPr>
                <w:rFonts w:ascii="Arial" w:hAnsi="Arial" w:cs="Arial"/>
              </w:rPr>
            </w:pPr>
            <w:r w:rsidRPr="00D800F0">
              <w:rPr>
                <w:rFonts w:ascii="Arial" w:hAnsi="Arial" w:cs="Arial"/>
              </w:rPr>
              <w:t>kgCO2/kWh_e</w:t>
            </w:r>
          </w:p>
        </w:tc>
      </w:tr>
      <w:tr w:rsidR="00DA7E40" w:rsidRPr="00D800F0" w14:paraId="0D8D75A0"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5FF3F368"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coal</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2CCDB75F" w14:textId="77777777" w:rsidR="00DA7E40" w:rsidRPr="00D800F0" w:rsidRDefault="00DA7E40" w:rsidP="0000614D">
            <w:pPr>
              <w:rPr>
                <w:rFonts w:ascii="Arial" w:hAnsi="Arial" w:cs="Arial"/>
              </w:rPr>
            </w:pPr>
            <w:r w:rsidRPr="00D800F0">
              <w:rPr>
                <w:rFonts w:ascii="Arial" w:hAnsi="Arial" w:cs="Arial"/>
              </w:rPr>
              <w:t xml:space="preserve">electric demand from coal over the hydrogen production </w:t>
            </w:r>
          </w:p>
        </w:tc>
        <w:tc>
          <w:tcPr>
            <w:tcW w:w="2340" w:type="dxa"/>
            <w:tcBorders>
              <w:top w:val="nil"/>
              <w:left w:val="nil"/>
              <w:bottom w:val="nil"/>
              <w:right w:val="nil"/>
            </w:tcBorders>
            <w:shd w:val="clear" w:color="auto" w:fill="auto"/>
            <w:tcMar>
              <w:top w:w="100" w:type="dxa"/>
              <w:left w:w="100" w:type="dxa"/>
              <w:bottom w:w="100" w:type="dxa"/>
              <w:right w:w="100" w:type="dxa"/>
            </w:tcMar>
          </w:tcPr>
          <w:p w14:paraId="6B008223" w14:textId="77777777" w:rsidR="00DA7E40" w:rsidRPr="00D800F0" w:rsidRDefault="00DA7E40" w:rsidP="0000614D">
            <w:pPr>
              <w:widowControl w:val="0"/>
              <w:rPr>
                <w:rFonts w:ascii="Arial" w:hAnsi="Arial" w:cs="Arial"/>
              </w:rPr>
            </w:pPr>
            <w:r w:rsidRPr="00D800F0">
              <w:rPr>
                <w:rFonts w:ascii="Arial" w:hAnsi="Arial" w:cs="Arial"/>
              </w:rPr>
              <w:t>kgCO2/kWh_e</w:t>
            </w:r>
          </w:p>
        </w:tc>
      </w:tr>
      <w:tr w:rsidR="00DA7E40" w:rsidRPr="00D800F0" w14:paraId="1701DF86"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06E626D0"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Sales(T)</m:t>
                </m:r>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466BA911" w14:textId="77777777" w:rsidR="00DA7E40" w:rsidRPr="00D800F0" w:rsidRDefault="00DA7E40" w:rsidP="0000614D">
            <w:pPr>
              <w:rPr>
                <w:rFonts w:ascii="Arial" w:hAnsi="Arial" w:cs="Arial"/>
              </w:rPr>
            </w:pPr>
            <w:r w:rsidRPr="00D800F0">
              <w:rPr>
                <w:rFonts w:ascii="Arial" w:hAnsi="Arial" w:cs="Arial"/>
              </w:rPr>
              <w:t>revenue stream from selling ammonia at time T</w:t>
            </w:r>
          </w:p>
        </w:tc>
        <w:tc>
          <w:tcPr>
            <w:tcW w:w="2340" w:type="dxa"/>
            <w:tcBorders>
              <w:top w:val="nil"/>
              <w:left w:val="nil"/>
              <w:bottom w:val="nil"/>
              <w:right w:val="nil"/>
            </w:tcBorders>
            <w:shd w:val="clear" w:color="auto" w:fill="auto"/>
            <w:tcMar>
              <w:top w:w="100" w:type="dxa"/>
              <w:left w:w="100" w:type="dxa"/>
              <w:bottom w:w="100" w:type="dxa"/>
              <w:right w:w="100" w:type="dxa"/>
            </w:tcMar>
          </w:tcPr>
          <w:p w14:paraId="2B41D129"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6BD54609"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3DE8D20D"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Credit</m:t>
                </m:r>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CE</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27CF034F" w14:textId="77777777" w:rsidR="00DA7E40" w:rsidRPr="00D800F0" w:rsidRDefault="00DA7E40" w:rsidP="0000614D">
            <w:pPr>
              <w:rPr>
                <w:rFonts w:ascii="Arial" w:hAnsi="Arial" w:cs="Arial"/>
              </w:rPr>
            </w:pPr>
            <w:r w:rsidRPr="00D800F0">
              <w:rPr>
                <w:rFonts w:ascii="Arial" w:hAnsi="Arial" w:cs="Arial"/>
              </w:rPr>
              <w:t>cash-equivalent tax credits</w:t>
            </w:r>
          </w:p>
        </w:tc>
        <w:tc>
          <w:tcPr>
            <w:tcW w:w="2340" w:type="dxa"/>
            <w:tcBorders>
              <w:top w:val="nil"/>
              <w:left w:val="nil"/>
              <w:bottom w:val="nil"/>
              <w:right w:val="nil"/>
            </w:tcBorders>
            <w:shd w:val="clear" w:color="auto" w:fill="auto"/>
            <w:tcMar>
              <w:top w:w="100" w:type="dxa"/>
              <w:left w:w="100" w:type="dxa"/>
              <w:bottom w:w="100" w:type="dxa"/>
              <w:right w:w="100" w:type="dxa"/>
            </w:tcMar>
          </w:tcPr>
          <w:p w14:paraId="4BBEA538"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28A59E60" w14:textId="77777777" w:rsidTr="0000614D">
        <w:trPr>
          <w:cantSplit/>
        </w:trPr>
        <w:tc>
          <w:tcPr>
            <w:tcW w:w="3120" w:type="dxa"/>
            <w:tcBorders>
              <w:top w:val="nil"/>
              <w:left w:val="nil"/>
              <w:bottom w:val="nil"/>
              <w:right w:val="nil"/>
            </w:tcBorders>
            <w:tcMar>
              <w:top w:w="0" w:type="dxa"/>
              <w:left w:w="100" w:type="dxa"/>
              <w:bottom w:w="0" w:type="dxa"/>
              <w:right w:w="100" w:type="dxa"/>
            </w:tcMar>
          </w:tcPr>
          <w:p w14:paraId="6FECA84D" w14:textId="77777777" w:rsidR="00DA7E40" w:rsidRPr="00D800F0" w:rsidRDefault="00DA7E40" w:rsidP="0000614D">
            <w:pPr>
              <w:jc w:val="center"/>
              <w:rPr>
                <w:rFonts w:ascii="Arial" w:hAnsi="Arial" w:cs="Arial"/>
                <w:b/>
                <w:bCs/>
              </w:rPr>
            </w:pPr>
            <m:oMath>
              <m:r>
                <m:rPr>
                  <m:sty m:val="bi"/>
                </m:rPr>
                <w:rPr>
                  <w:rFonts w:ascii="Cambria Math" w:eastAsia="Cambria Math" w:hAnsi="Cambria Math" w:cs="Arial"/>
                </w:rPr>
                <m:t xml:space="preserve"> </m:t>
              </m:r>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V</m:t>
                  </m:r>
                </m:sub>
              </m:sSub>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m:t>
              </m:r>
            </m:oMath>
            <w:r w:rsidRPr="00D800F0">
              <w:rPr>
                <w:rFonts w:ascii="Arial" w:hAnsi="Arial" w:cs="Arial"/>
                <w:b/>
                <w:bCs/>
              </w:rPr>
              <w:t xml:space="preserve"> </w:t>
            </w:r>
          </w:p>
        </w:tc>
        <w:tc>
          <w:tcPr>
            <w:tcW w:w="3900" w:type="dxa"/>
            <w:tcBorders>
              <w:top w:val="nil"/>
              <w:left w:val="nil"/>
              <w:bottom w:val="nil"/>
              <w:right w:val="nil"/>
            </w:tcBorders>
            <w:shd w:val="clear" w:color="auto" w:fill="auto"/>
            <w:tcMar>
              <w:top w:w="100" w:type="dxa"/>
              <w:left w:w="100" w:type="dxa"/>
              <w:bottom w:w="100" w:type="dxa"/>
              <w:right w:w="100" w:type="dxa"/>
            </w:tcMar>
          </w:tcPr>
          <w:p w14:paraId="65017480" w14:textId="77777777" w:rsidR="00DA7E40" w:rsidRPr="00D800F0" w:rsidRDefault="00DA7E40" w:rsidP="0000614D">
            <w:pPr>
              <w:rPr>
                <w:rFonts w:ascii="Arial" w:hAnsi="Arial" w:cs="Arial"/>
              </w:rPr>
            </w:pPr>
            <w:r w:rsidRPr="00D800F0">
              <w:rPr>
                <w:rFonts w:ascii="Arial" w:hAnsi="Arial" w:cs="Arial"/>
              </w:rPr>
              <w:t xml:space="preserve"> intensive tax credits per unit of  H</w:t>
            </w:r>
            <w:r w:rsidRPr="00D800F0">
              <w:rPr>
                <w:rFonts w:ascii="Arial" w:hAnsi="Arial" w:cs="Arial"/>
                <w:vertAlign w:val="subscript"/>
              </w:rPr>
              <w:t>2</w:t>
            </w:r>
            <w:r w:rsidRPr="00D800F0">
              <w:rPr>
                <w:rFonts w:ascii="Arial" w:hAnsi="Arial" w:cs="Arial"/>
              </w:rPr>
              <w:t xml:space="preserve"> captured</w:t>
            </w:r>
          </w:p>
        </w:tc>
        <w:tc>
          <w:tcPr>
            <w:tcW w:w="2340" w:type="dxa"/>
            <w:tcBorders>
              <w:top w:val="nil"/>
              <w:left w:val="nil"/>
              <w:bottom w:val="nil"/>
              <w:right w:val="nil"/>
            </w:tcBorders>
            <w:shd w:val="clear" w:color="auto" w:fill="auto"/>
            <w:tcMar>
              <w:top w:w="100" w:type="dxa"/>
              <w:left w:w="100" w:type="dxa"/>
              <w:bottom w:w="100" w:type="dxa"/>
              <w:right w:w="100" w:type="dxa"/>
            </w:tcMar>
          </w:tcPr>
          <w:p w14:paraId="03DF4D50"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016CE463" w14:textId="77777777" w:rsidTr="0000614D">
        <w:trPr>
          <w:cantSplit/>
        </w:trPr>
        <w:tc>
          <w:tcPr>
            <w:tcW w:w="3120" w:type="dxa"/>
            <w:tcBorders>
              <w:top w:val="nil"/>
              <w:left w:val="nil"/>
              <w:bottom w:val="nil"/>
              <w:right w:val="nil"/>
            </w:tcBorders>
            <w:tcMar>
              <w:top w:w="0" w:type="dxa"/>
              <w:left w:w="100" w:type="dxa"/>
              <w:bottom w:w="0" w:type="dxa"/>
              <w:right w:w="100" w:type="dxa"/>
            </w:tcMar>
          </w:tcPr>
          <w:p w14:paraId="74B99812"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Q</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0F0BEA85" w14:textId="77777777" w:rsidR="00DA7E40" w:rsidRPr="00D800F0" w:rsidRDefault="00DA7E40" w:rsidP="0000614D">
            <w:pPr>
              <w:rPr>
                <w:rFonts w:ascii="Arial" w:hAnsi="Arial" w:cs="Arial"/>
              </w:rPr>
            </w:pPr>
            <w:r w:rsidRPr="00D800F0">
              <w:rPr>
                <w:rFonts w:ascii="Arial" w:hAnsi="Arial" w:cs="Arial"/>
              </w:rPr>
              <w:t xml:space="preserve"> intensive tax credits per unit of CO</w:t>
            </w:r>
            <w:r w:rsidRPr="00D800F0">
              <w:rPr>
                <w:rFonts w:ascii="Arial" w:hAnsi="Arial" w:cs="Arial"/>
                <w:vertAlign w:val="subscript"/>
              </w:rPr>
              <w:t>2</w:t>
            </w:r>
            <w:r w:rsidRPr="00D800F0">
              <w:rPr>
                <w:rFonts w:ascii="Arial" w:hAnsi="Arial" w:cs="Arial"/>
              </w:rPr>
              <w:t xml:space="preserve"> captured</w:t>
            </w:r>
          </w:p>
        </w:tc>
        <w:tc>
          <w:tcPr>
            <w:tcW w:w="2340" w:type="dxa"/>
            <w:tcBorders>
              <w:top w:val="nil"/>
              <w:left w:val="nil"/>
              <w:bottom w:val="nil"/>
              <w:right w:val="nil"/>
            </w:tcBorders>
            <w:shd w:val="clear" w:color="auto" w:fill="auto"/>
            <w:tcMar>
              <w:top w:w="100" w:type="dxa"/>
              <w:left w:w="100" w:type="dxa"/>
              <w:bottom w:w="100" w:type="dxa"/>
              <w:right w:w="100" w:type="dxa"/>
            </w:tcMar>
          </w:tcPr>
          <w:p w14:paraId="5730AD15"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3FE6E08D" w14:textId="77777777" w:rsidTr="0000614D">
        <w:trPr>
          <w:cantSplit/>
          <w:trHeight w:val="463"/>
        </w:trPr>
        <w:tc>
          <w:tcPr>
            <w:tcW w:w="3120" w:type="dxa"/>
            <w:tcBorders>
              <w:top w:val="nil"/>
              <w:left w:val="nil"/>
              <w:bottom w:val="nil"/>
              <w:right w:val="nil"/>
            </w:tcBorders>
            <w:shd w:val="clear" w:color="auto" w:fill="auto"/>
            <w:tcMar>
              <w:top w:w="100" w:type="dxa"/>
              <w:left w:w="100" w:type="dxa"/>
              <w:bottom w:w="100" w:type="dxa"/>
              <w:right w:w="100" w:type="dxa"/>
            </w:tcMar>
          </w:tcPr>
          <w:p w14:paraId="498250B4"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L</m:t>
                    </m:r>
                  </m:e>
                  <m:sub>
                    <m:r>
                      <m:rPr>
                        <m:sty m:val="bi"/>
                      </m:rPr>
                      <w:rPr>
                        <w:rFonts w:ascii="Cambria Math" w:eastAsia="Cambria Math" w:hAnsi="Cambria Math" w:cs="Arial"/>
                      </w:rPr>
                      <m:t>equipment</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275EDFB6" w14:textId="77777777" w:rsidR="00DA7E40" w:rsidRPr="00D800F0" w:rsidRDefault="00DA7E40" w:rsidP="0000614D">
            <w:pPr>
              <w:rPr>
                <w:rFonts w:ascii="Arial" w:hAnsi="Arial" w:cs="Arial"/>
              </w:rPr>
            </w:pPr>
            <w:r w:rsidRPr="00D800F0">
              <w:rPr>
                <w:rFonts w:ascii="Arial" w:hAnsi="Arial" w:cs="Arial"/>
              </w:rPr>
              <w:t>equipment lifetime</w:t>
            </w:r>
          </w:p>
        </w:tc>
        <w:tc>
          <w:tcPr>
            <w:tcW w:w="2340" w:type="dxa"/>
            <w:tcBorders>
              <w:top w:val="nil"/>
              <w:left w:val="nil"/>
              <w:bottom w:val="nil"/>
              <w:right w:val="nil"/>
            </w:tcBorders>
            <w:shd w:val="clear" w:color="auto" w:fill="auto"/>
            <w:tcMar>
              <w:top w:w="100" w:type="dxa"/>
              <w:left w:w="100" w:type="dxa"/>
              <w:bottom w:w="100" w:type="dxa"/>
              <w:right w:w="100" w:type="dxa"/>
            </w:tcMar>
          </w:tcPr>
          <w:p w14:paraId="7DB911A5" w14:textId="77777777" w:rsidR="00DA7E40" w:rsidRPr="00D800F0" w:rsidRDefault="00DA7E40" w:rsidP="0000614D">
            <w:pPr>
              <w:widowControl w:val="0"/>
              <w:rPr>
                <w:rFonts w:ascii="Arial" w:hAnsi="Arial" w:cs="Arial"/>
              </w:rPr>
            </w:pPr>
            <w:r w:rsidRPr="00D800F0">
              <w:rPr>
                <w:rFonts w:ascii="Arial" w:hAnsi="Arial" w:cs="Arial"/>
              </w:rPr>
              <w:t>years</w:t>
            </w:r>
          </w:p>
        </w:tc>
      </w:tr>
      <w:tr w:rsidR="00DA7E40" w:rsidRPr="00D800F0" w14:paraId="5DF92EA2"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17415392"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uninstalled equipment</m:t>
                    </m:r>
                  </m:sub>
                </m:sSub>
              </m:oMath>
            </m:oMathPara>
          </w:p>
        </w:tc>
        <w:tc>
          <w:tcPr>
            <w:tcW w:w="3900" w:type="dxa"/>
            <w:tcBorders>
              <w:top w:val="nil"/>
              <w:left w:val="nil"/>
              <w:bottom w:val="nil"/>
              <w:right w:val="nil"/>
            </w:tcBorders>
            <w:shd w:val="clear" w:color="auto" w:fill="auto"/>
            <w:tcMar>
              <w:top w:w="100" w:type="dxa"/>
              <w:left w:w="100" w:type="dxa"/>
              <w:bottom w:w="100" w:type="dxa"/>
              <w:right w:w="100" w:type="dxa"/>
            </w:tcMar>
          </w:tcPr>
          <w:p w14:paraId="402FD36B" w14:textId="77777777" w:rsidR="00DA7E40" w:rsidRPr="00D800F0" w:rsidRDefault="00DA7E40" w:rsidP="0000614D">
            <w:pPr>
              <w:rPr>
                <w:rFonts w:ascii="Arial" w:hAnsi="Arial" w:cs="Arial"/>
              </w:rPr>
            </w:pPr>
            <w:r w:rsidRPr="00D800F0">
              <w:rPr>
                <w:rFonts w:ascii="Arial" w:hAnsi="Arial" w:cs="Arial"/>
              </w:rPr>
              <w:t>costs of uninstalled equipment</w:t>
            </w:r>
          </w:p>
        </w:tc>
        <w:tc>
          <w:tcPr>
            <w:tcW w:w="2340" w:type="dxa"/>
            <w:tcBorders>
              <w:top w:val="nil"/>
              <w:left w:val="nil"/>
              <w:bottom w:val="nil"/>
              <w:right w:val="nil"/>
            </w:tcBorders>
            <w:shd w:val="clear" w:color="auto" w:fill="auto"/>
            <w:tcMar>
              <w:top w:w="100" w:type="dxa"/>
              <w:left w:w="100" w:type="dxa"/>
              <w:bottom w:w="100" w:type="dxa"/>
              <w:right w:w="100" w:type="dxa"/>
            </w:tcMar>
          </w:tcPr>
          <w:p w14:paraId="05CE7F60"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4740C5B4" w14:textId="77777777" w:rsidTr="0000614D">
        <w:trPr>
          <w:cantSplit/>
        </w:trPr>
        <w:tc>
          <w:tcPr>
            <w:tcW w:w="3120" w:type="dxa"/>
            <w:tcBorders>
              <w:top w:val="nil"/>
              <w:left w:val="nil"/>
              <w:bottom w:val="single" w:sz="4" w:space="0" w:color="auto"/>
              <w:right w:val="nil"/>
            </w:tcBorders>
            <w:shd w:val="clear" w:color="auto" w:fill="auto"/>
            <w:tcMar>
              <w:top w:w="100" w:type="dxa"/>
              <w:left w:w="100" w:type="dxa"/>
              <w:bottom w:w="100" w:type="dxa"/>
              <w:right w:w="100" w:type="dxa"/>
            </w:tcMar>
          </w:tcPr>
          <w:p w14:paraId="3B7EF5DD"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hAnsi="Cambria Math" w:cs="Arial"/>
                      </w:rPr>
                      <m:t>η</m:t>
                    </m:r>
                  </m:e>
                  <m:sub>
                    <m:r>
                      <m:rPr>
                        <m:sty m:val="bi"/>
                      </m:rPr>
                      <w:rPr>
                        <w:rFonts w:ascii="Cambria Math" w:eastAsia="Cambria Math" w:hAnsi="Cambria Math" w:cs="Arial"/>
                      </w:rPr>
                      <m:t>NGCC</m:t>
                    </m:r>
                  </m:sub>
                </m:sSub>
              </m:oMath>
            </m:oMathPara>
          </w:p>
          <w:p w14:paraId="10AAE02D" w14:textId="77777777" w:rsidR="00DA7E40" w:rsidRPr="00D800F0" w:rsidRDefault="00DA7E40" w:rsidP="0000614D">
            <w:pPr>
              <w:rPr>
                <w:rFonts w:ascii="Arial" w:hAnsi="Arial" w:cs="Arial"/>
                <w:b/>
                <w:bCs/>
              </w:rPr>
            </w:pPr>
          </w:p>
        </w:tc>
        <w:tc>
          <w:tcPr>
            <w:tcW w:w="3900" w:type="dxa"/>
            <w:tcBorders>
              <w:top w:val="nil"/>
              <w:left w:val="nil"/>
              <w:bottom w:val="single" w:sz="4" w:space="0" w:color="auto"/>
              <w:right w:val="nil"/>
            </w:tcBorders>
            <w:shd w:val="clear" w:color="auto" w:fill="auto"/>
            <w:tcMar>
              <w:top w:w="100" w:type="dxa"/>
              <w:left w:w="100" w:type="dxa"/>
              <w:bottom w:w="100" w:type="dxa"/>
              <w:right w:w="100" w:type="dxa"/>
            </w:tcMar>
          </w:tcPr>
          <w:p w14:paraId="0666DD5E" w14:textId="77777777" w:rsidR="00DA7E40" w:rsidRPr="00D800F0" w:rsidRDefault="00DA7E40" w:rsidP="0000614D">
            <w:pPr>
              <w:rPr>
                <w:rFonts w:ascii="Arial" w:hAnsi="Arial" w:cs="Arial"/>
              </w:rPr>
            </w:pPr>
            <w:r w:rsidRPr="00D800F0">
              <w:rPr>
                <w:rFonts w:ascii="Arial" w:hAnsi="Arial" w:cs="Arial"/>
              </w:rPr>
              <w:t>NGCC thermal efficiency</w:t>
            </w:r>
          </w:p>
        </w:tc>
        <w:tc>
          <w:tcPr>
            <w:tcW w:w="2340" w:type="dxa"/>
            <w:tcBorders>
              <w:top w:val="nil"/>
              <w:left w:val="nil"/>
              <w:bottom w:val="single" w:sz="4" w:space="0" w:color="auto"/>
              <w:right w:val="nil"/>
            </w:tcBorders>
            <w:shd w:val="clear" w:color="auto" w:fill="auto"/>
            <w:tcMar>
              <w:top w:w="100" w:type="dxa"/>
              <w:left w:w="100" w:type="dxa"/>
              <w:bottom w:w="100" w:type="dxa"/>
              <w:right w:w="100" w:type="dxa"/>
            </w:tcMar>
          </w:tcPr>
          <w:p w14:paraId="33470969" w14:textId="77777777" w:rsidR="00DA7E40" w:rsidRPr="00D800F0" w:rsidRDefault="00DA7E40" w:rsidP="0000614D">
            <w:pPr>
              <w:widowControl w:val="0"/>
              <w:rPr>
                <w:rFonts w:ascii="Arial" w:hAnsi="Arial" w:cs="Arial"/>
              </w:rPr>
            </w:pPr>
            <w:r w:rsidRPr="00D800F0">
              <w:rPr>
                <w:rFonts w:ascii="Arial" w:hAnsi="Arial" w:cs="Arial"/>
              </w:rPr>
              <w:t>%</w:t>
            </w:r>
          </w:p>
        </w:tc>
      </w:tr>
    </w:tbl>
    <w:p w14:paraId="1AED6BF3" w14:textId="77777777" w:rsidR="00DA7E40" w:rsidRPr="00D800F0" w:rsidRDefault="00DA7E40" w:rsidP="00DA7E40">
      <w:pPr>
        <w:rPr>
          <w:rFonts w:ascii="Arial" w:hAnsi="Arial" w:cs="Arial"/>
        </w:rPr>
      </w:pPr>
    </w:p>
    <w:p w14:paraId="21530FC9" w14:textId="77777777" w:rsidR="00DA7E40" w:rsidRPr="00D800F0" w:rsidRDefault="00DA7E40" w:rsidP="006864F3">
      <w:pPr>
        <w:pStyle w:val="Heading3"/>
        <w:rPr>
          <w:rFonts w:ascii="Arial" w:hAnsi="Arial" w:cs="Arial"/>
        </w:rPr>
      </w:pPr>
      <w:bookmarkStart w:id="32" w:name="_heading=h.yxcz0sirokho" w:colFirst="0" w:colLast="0"/>
      <w:bookmarkStart w:id="33" w:name="_Toc148296624"/>
      <w:bookmarkEnd w:id="32"/>
      <w:r w:rsidRPr="00D800F0">
        <w:rPr>
          <w:rFonts w:ascii="Arial" w:hAnsi="Arial" w:cs="Arial"/>
        </w:rPr>
        <w:t>DCF Model Formulation</w:t>
      </w:r>
      <w:bookmarkEnd w:id="33"/>
      <w:r w:rsidRPr="00D800F0">
        <w:rPr>
          <w:rFonts w:ascii="Arial" w:hAnsi="Arial" w:cs="Arial"/>
        </w:rPr>
        <w:t xml:space="preserve"> </w:t>
      </w:r>
    </w:p>
    <w:p w14:paraId="0A9168F1" w14:textId="77777777" w:rsidR="00DA7E40" w:rsidRPr="00D800F0" w:rsidRDefault="00DA7E40" w:rsidP="00DA7E40">
      <w:pPr>
        <w:rPr>
          <w:rFonts w:ascii="Arial" w:hAnsi="Arial" w:cs="Arial"/>
        </w:rPr>
      </w:pPr>
      <w:r w:rsidRPr="00D800F0">
        <w:rPr>
          <w:rFonts w:ascii="Arial" w:hAnsi="Arial" w:cs="Arial"/>
        </w:rPr>
        <w:t>The economic performance of each technology pathway was assessed using a Net Present Value (</w:t>
      </w:r>
      <m:oMath>
        <m:r>
          <m:rPr>
            <m:sty m:val="bi"/>
          </m:rPr>
          <w:rPr>
            <w:rFonts w:ascii="Cambria Math" w:eastAsia="Cambria Math" w:hAnsi="Cambria Math" w:cs="Arial"/>
          </w:rPr>
          <m:t>NPV</m:t>
        </m:r>
      </m:oMath>
      <w:r w:rsidRPr="00D800F0">
        <w:rPr>
          <w:rFonts w:ascii="Arial" w:hAnsi="Arial" w:cs="Arial"/>
        </w:rPr>
        <w:t xml:space="preserve">) per lifetime ammonia produced metric. NPV is the sum of the present value of all cash flows at each period (monthly basis) over the lifetime amount of ammonia production, </w:t>
      </w:r>
      <m:oMath>
        <m:sSub>
          <m:sSubPr>
            <m:ctrlPr>
              <w:rPr>
                <w:rFonts w:ascii="Cambria Math" w:eastAsia="Cambria Math" w:hAnsi="Cambria Math" w:cs="Arial"/>
                <w:b/>
                <w:bCs/>
              </w:rPr>
            </m:ctrlPr>
          </m:sSubPr>
          <m:e>
            <m:r>
              <m:rPr>
                <m:sty m:val="bi"/>
              </m:rPr>
              <w:rPr>
                <w:rFonts w:ascii="Cambria Math" w:eastAsia="Cambria Math" w:hAnsi="Cambria Math" w:cs="Arial"/>
              </w:rPr>
              <m:t>M</m:t>
            </m:r>
          </m:e>
          <m:sub>
            <m:r>
              <m:rPr>
                <m:sty m:val="bi"/>
              </m:rPr>
              <w:rPr>
                <w:rFonts w:ascii="Cambria Math" w:eastAsia="Cambria Math" w:hAnsi="Cambria Math" w:cs="Arial"/>
              </w:rPr>
              <m:t>NH</m:t>
            </m:r>
            <m:r>
              <m:rPr>
                <m:sty m:val="bi"/>
              </m:rPr>
              <w:rPr>
                <w:rFonts w:ascii="Cambria Math" w:eastAsia="Cambria Math" w:hAnsi="Cambria Math" w:cs="Arial"/>
              </w:rPr>
              <m:t>3</m:t>
            </m:r>
          </m:sub>
        </m:sSub>
      </m:oMath>
      <w:r w:rsidRPr="00D800F0">
        <w:rPr>
          <w:rFonts w:ascii="Arial" w:hAnsi="Arial" w:cs="Arial"/>
        </w:rPr>
        <w:t xml:space="preserve"> .</w:t>
      </w:r>
    </w:p>
    <w:tbl>
      <w:tblPr>
        <w:tblW w:w="9360" w:type="dxa"/>
        <w:tblLayout w:type="fixed"/>
        <w:tblLook w:val="0600" w:firstRow="0" w:lastRow="0" w:firstColumn="0" w:lastColumn="0" w:noHBand="1" w:noVBand="1"/>
      </w:tblPr>
      <w:tblGrid>
        <w:gridCol w:w="8505"/>
        <w:gridCol w:w="855"/>
      </w:tblGrid>
      <w:tr w:rsidR="00DA7E40" w:rsidRPr="00D800F0" w14:paraId="5CFBFEFD" w14:textId="77777777" w:rsidTr="0000614D">
        <w:trPr>
          <w:cantSplit/>
        </w:trPr>
        <w:tc>
          <w:tcPr>
            <w:tcW w:w="8505" w:type="dxa"/>
            <w:shd w:val="clear" w:color="auto" w:fill="auto"/>
            <w:tcMar>
              <w:top w:w="100" w:type="dxa"/>
              <w:left w:w="100" w:type="dxa"/>
              <w:bottom w:w="100" w:type="dxa"/>
              <w:right w:w="100" w:type="dxa"/>
            </w:tcMar>
            <w:vAlign w:val="center"/>
          </w:tcPr>
          <w:p w14:paraId="07738DA4" w14:textId="77777777" w:rsidR="00DA7E40" w:rsidRPr="00D800F0" w:rsidRDefault="00DA7E40" w:rsidP="0000614D">
            <w:pPr>
              <w:jc w:val="center"/>
              <w:rPr>
                <w:rFonts w:ascii="Arial" w:eastAsia="Cambria Math" w:hAnsi="Arial" w:cs="Arial"/>
              </w:rPr>
            </w:pPr>
            <m:oMathPara>
              <m:oMath>
                <m:r>
                  <m:rPr>
                    <m:sty m:val="bi"/>
                  </m:rPr>
                  <w:rPr>
                    <w:rFonts w:ascii="Cambria Math" w:eastAsia="Cambria Math" w:hAnsi="Cambria Math" w:cs="Arial"/>
                  </w:rPr>
                  <w:lastRenderedPageBreak/>
                  <m:t>NPV= </m:t>
                </m:r>
                <m:f>
                  <m:fPr>
                    <m:ctrlPr>
                      <w:rPr>
                        <w:rFonts w:ascii="Cambria Math" w:eastAsia="Cambria Math" w:hAnsi="Cambria Math" w:cs="Arial"/>
                        <w:b/>
                        <w:bCs/>
                      </w:rPr>
                    </m:ctrlPr>
                  </m:fPr>
                  <m:num>
                    <m:r>
                      <m:rPr>
                        <m:sty m:val="bi"/>
                      </m:rPr>
                      <w:rPr>
                        <w:rFonts w:ascii="Cambria Math" w:eastAsia="Cambria Math" w:hAnsi="Cambria Math" w:cs="Arial"/>
                      </w:rPr>
                      <m:t>1</m:t>
                    </m:r>
                  </m:num>
                  <m:den>
                    <m:sSub>
                      <m:sSubPr>
                        <m:ctrlPr>
                          <w:rPr>
                            <w:rFonts w:ascii="Cambria Math" w:eastAsia="Cambria Math" w:hAnsi="Cambria Math" w:cs="Arial"/>
                            <w:b/>
                            <w:bCs/>
                            <w:vertAlign w:val="subscript"/>
                          </w:rPr>
                        </m:ctrlPr>
                      </m:sSubPr>
                      <m:e>
                        <m:r>
                          <m:rPr>
                            <m:sty m:val="bi"/>
                          </m:rPr>
                          <w:rPr>
                            <w:rFonts w:ascii="Cambria Math" w:eastAsia="Cambria Math" w:hAnsi="Cambria Math" w:cs="Arial"/>
                          </w:rPr>
                          <m:t>M</m:t>
                        </m:r>
                      </m:e>
                      <m:sub>
                        <m:r>
                          <m:rPr>
                            <m:sty m:val="bi"/>
                          </m:rPr>
                          <w:rPr>
                            <w:rFonts w:ascii="Cambria Math" w:eastAsia="Cambria Math" w:hAnsi="Cambria Math" w:cs="Arial"/>
                          </w:rPr>
                          <m:t>NH</m:t>
                        </m:r>
                        <m:r>
                          <m:rPr>
                            <m:sty m:val="bi"/>
                          </m:rPr>
                          <w:rPr>
                            <w:rFonts w:ascii="Cambria Math" w:eastAsia="Cambria Math" w:hAnsi="Cambria Math" w:cs="Arial"/>
                            <w:vertAlign w:val="subscript"/>
                          </w:rPr>
                          <m:t>3</m:t>
                        </m:r>
                      </m:sub>
                    </m:sSub>
                  </m:den>
                </m:f>
                <m:nary>
                  <m:naryPr>
                    <m:chr m:val="∑"/>
                    <m:ctrlPr>
                      <w:rPr>
                        <w:rFonts w:ascii="Cambria Math" w:eastAsia="Cambria Math" w:hAnsi="Cambria Math" w:cs="Arial"/>
                        <w:b/>
                        <w:bCs/>
                      </w:rPr>
                    </m:ctrlPr>
                  </m:naryPr>
                  <m:sub>
                    <m:r>
                      <m:rPr>
                        <m:sty m:val="bi"/>
                      </m:rPr>
                      <w:rPr>
                        <w:rFonts w:ascii="Cambria Math" w:eastAsia="Cambria Math" w:hAnsi="Cambria Math" w:cs="Arial"/>
                      </w:rPr>
                      <m:t>T=S</m:t>
                    </m:r>
                  </m:sub>
                  <m:sup>
                    <m:r>
                      <m:rPr>
                        <m:sty m:val="bi"/>
                      </m:rPr>
                      <w:rPr>
                        <w:rFonts w:ascii="Cambria Math" w:eastAsia="Cambria Math" w:hAnsi="Cambria Math" w:cs="Arial"/>
                      </w:rPr>
                      <m:t>S+C+L</m:t>
                    </m:r>
                  </m:sup>
                  <m:e>
                    <m:f>
                      <m:fPr>
                        <m:ctrlPr>
                          <w:rPr>
                            <w:rFonts w:ascii="Cambria Math" w:eastAsia="Cambria Math" w:hAnsi="Cambria Math" w:cs="Arial"/>
                            <w:b/>
                            <w:bCs/>
                          </w:rPr>
                        </m:ctrlPr>
                      </m:fPr>
                      <m:num>
                        <m:r>
                          <m:rPr>
                            <m:sty m:val="bi"/>
                          </m:rPr>
                          <w:rPr>
                            <w:rFonts w:ascii="Cambria Math" w:eastAsia="Cambria Math" w:hAnsi="Cambria Math" w:cs="Arial"/>
                          </w:rPr>
                          <m:t>CF</m:t>
                        </m:r>
                        <m:d>
                          <m:dPr>
                            <m:ctrlPr>
                              <w:rPr>
                                <w:rFonts w:ascii="Cambria Math" w:eastAsia="Cambria Math" w:hAnsi="Cambria Math" w:cs="Arial"/>
                                <w:b/>
                                <w:bCs/>
                              </w:rPr>
                            </m:ctrlPr>
                          </m:dPr>
                          <m:e>
                            <m:r>
                              <m:rPr>
                                <m:sty m:val="bi"/>
                              </m:rPr>
                              <w:rPr>
                                <w:rFonts w:ascii="Cambria Math" w:eastAsia="Cambria Math" w:hAnsi="Cambria Math" w:cs="Arial"/>
                              </w:rPr>
                              <m:t>T</m:t>
                            </m:r>
                          </m:e>
                        </m:d>
                      </m:num>
                      <m:den>
                        <m:sSup>
                          <m:sSupPr>
                            <m:ctrlPr>
                              <w:rPr>
                                <w:rFonts w:ascii="Cambria Math" w:eastAsia="Cambria Math" w:hAnsi="Cambria Math" w:cs="Arial"/>
                                <w:b/>
                                <w:bCs/>
                              </w:rPr>
                            </m:ctrlPr>
                          </m:sSupPr>
                          <m:e>
                            <m:r>
                              <m:rPr>
                                <m:sty m:val="bi"/>
                              </m:rPr>
                              <w:rPr>
                                <w:rFonts w:ascii="Cambria Math" w:eastAsia="Cambria Math" w:hAnsi="Cambria Math" w:cs="Arial"/>
                              </w:rPr>
                              <m:t>(1+</m:t>
                            </m:r>
                            <m:f>
                              <m:fPr>
                                <m:ctrlPr>
                                  <w:rPr>
                                    <w:rFonts w:ascii="Cambria Math" w:eastAsia="Cambria Math" w:hAnsi="Cambria Math" w:cs="Arial"/>
                                    <w:b/>
                                    <w:i/>
                                  </w:rPr>
                                </m:ctrlPr>
                              </m:fPr>
                              <m:num>
                                <m:sSub>
                                  <m:sSubPr>
                                    <m:ctrlPr>
                                      <w:rPr>
                                        <w:rFonts w:ascii="Cambria Math" w:eastAsia="Cambria Math" w:hAnsi="Cambria Math" w:cs="Arial"/>
                                        <w:b/>
                                        <w:i/>
                                      </w:rPr>
                                    </m:ctrlPr>
                                  </m:sSubPr>
                                  <m:e>
                                    <m:r>
                                      <m:rPr>
                                        <m:sty m:val="bi"/>
                                      </m:rPr>
                                      <w:rPr>
                                        <w:rFonts w:ascii="Cambria Math" w:eastAsia="Cambria Math" w:hAnsi="Cambria Math" w:cs="Arial"/>
                                      </w:rPr>
                                      <m:t>d</m:t>
                                    </m:r>
                                  </m:e>
                                  <m:sub>
                                    <m:r>
                                      <m:rPr>
                                        <m:sty m:val="bi"/>
                                      </m:rPr>
                                      <w:rPr>
                                        <w:rFonts w:ascii="Cambria Math" w:eastAsia="Cambria Math" w:hAnsi="Cambria Math" w:cs="Arial"/>
                                      </w:rPr>
                                      <m:t>p</m:t>
                                    </m:r>
                                  </m:sub>
                                </m:sSub>
                              </m:num>
                              <m:den>
                                <m:r>
                                  <m:rPr>
                                    <m:sty m:val="bi"/>
                                  </m:rPr>
                                  <w:rPr>
                                    <w:rFonts w:ascii="Cambria Math" w:eastAsia="Cambria Math" w:hAnsi="Cambria Math" w:cs="Arial"/>
                                  </w:rPr>
                                  <m:t>12</m:t>
                                </m:r>
                              </m:den>
                            </m:f>
                            <m:r>
                              <m:rPr>
                                <m:sty m:val="bi"/>
                              </m:rPr>
                              <w:rPr>
                                <w:rFonts w:ascii="Cambria Math" w:eastAsia="Cambria Math" w:hAnsi="Cambria Math" w:cs="Arial"/>
                              </w:rPr>
                              <m:t>)</m:t>
                            </m:r>
                          </m:e>
                          <m:sup>
                            <m:r>
                              <m:rPr>
                                <m:sty m:val="bi"/>
                              </m:rPr>
                              <w:rPr>
                                <w:rFonts w:ascii="Cambria Math" w:eastAsia="Cambria Math" w:hAnsi="Cambria Math" w:cs="Arial"/>
                              </w:rPr>
                              <m:t>T-S</m:t>
                            </m:r>
                          </m:sup>
                        </m:sSup>
                      </m:den>
                    </m:f>
                  </m:e>
                </m:nary>
              </m:oMath>
            </m:oMathPara>
          </w:p>
        </w:tc>
        <w:tc>
          <w:tcPr>
            <w:tcW w:w="855" w:type="dxa"/>
            <w:shd w:val="clear" w:color="auto" w:fill="auto"/>
            <w:tcMar>
              <w:top w:w="100" w:type="dxa"/>
              <w:left w:w="100" w:type="dxa"/>
              <w:bottom w:w="100" w:type="dxa"/>
              <w:right w:w="100" w:type="dxa"/>
            </w:tcMar>
            <w:vAlign w:val="center"/>
          </w:tcPr>
          <w:p w14:paraId="770D86DF" w14:textId="77777777" w:rsidR="00DA7E40" w:rsidRPr="00D800F0" w:rsidRDefault="00DA7E40" w:rsidP="0000614D">
            <w:pPr>
              <w:pStyle w:val="Caption"/>
              <w:spacing w:after="0"/>
              <w:jc w:val="center"/>
              <w:rPr>
                <w:rFonts w:ascii="Arial" w:eastAsia="Cambria Math"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1</w:t>
            </w:r>
            <w:r w:rsidRPr="00D800F0">
              <w:rPr>
                <w:rFonts w:ascii="Arial" w:eastAsia="Cambria Math" w:hAnsi="Arial" w:cs="Arial"/>
              </w:rPr>
              <w:fldChar w:fldCharType="end"/>
            </w:r>
            <w:r w:rsidRPr="00D800F0">
              <w:rPr>
                <w:rFonts w:ascii="Arial" w:eastAsia="Cambria Math" w:hAnsi="Arial" w:cs="Arial"/>
              </w:rPr>
              <w:t>)</w:t>
            </w:r>
          </w:p>
        </w:tc>
      </w:tr>
    </w:tbl>
    <w:p w14:paraId="4A7211FE" w14:textId="04771DB7" w:rsidR="00DA7E40" w:rsidRPr="00D800F0" w:rsidRDefault="00DA7E40" w:rsidP="00DA7E40">
      <w:pPr>
        <w:rPr>
          <w:rFonts w:ascii="Arial" w:hAnsi="Arial" w:cs="Arial"/>
        </w:rPr>
      </w:pPr>
      <w:r w:rsidRPr="00D800F0">
        <w:rPr>
          <w:rFonts w:ascii="Arial" w:hAnsi="Arial" w:cs="Arial"/>
        </w:rPr>
        <w:t xml:space="preserve">where </w:t>
      </w:r>
      <m:oMath>
        <m:r>
          <m:rPr>
            <m:sty m:val="bi"/>
          </m:rPr>
          <w:rPr>
            <w:rFonts w:ascii="Cambria Math" w:eastAsia="Cambria Math" w:hAnsi="Cambria Math" w:cs="Arial"/>
          </w:rPr>
          <m:t>CF</m:t>
        </m:r>
        <m:d>
          <m:dPr>
            <m:ctrlPr>
              <w:rPr>
                <w:rFonts w:ascii="Cambria Math" w:eastAsia="Cambria Math" w:hAnsi="Cambria Math" w:cs="Arial"/>
                <w:b/>
                <w:bCs/>
              </w:rPr>
            </m:ctrlPr>
          </m:dPr>
          <m:e>
            <m:r>
              <m:rPr>
                <m:sty m:val="bi"/>
              </m:rPr>
              <w:rPr>
                <w:rFonts w:ascii="Cambria Math" w:eastAsia="Cambria Math" w:hAnsi="Cambria Math" w:cs="Arial"/>
              </w:rPr>
              <m:t>T</m:t>
            </m:r>
          </m:e>
        </m:d>
      </m:oMath>
      <w:r w:rsidRPr="00D800F0">
        <w:rPr>
          <w:rFonts w:ascii="Arial" w:hAnsi="Arial" w:cs="Arial"/>
        </w:rPr>
        <w:t xml:space="preserve"> is the cash flow at time </w:t>
      </w:r>
      <m:oMath>
        <m:r>
          <m:rPr>
            <m:sty m:val="bi"/>
          </m:rPr>
          <w:rPr>
            <w:rFonts w:ascii="Cambria Math" w:eastAsia="Cambria Math" w:hAnsi="Cambria Math" w:cs="Arial"/>
          </w:rPr>
          <m:t>T</m:t>
        </m:r>
      </m:oMath>
      <w:r w:rsidRPr="00D800F0">
        <w:rPr>
          <w:rFonts w:ascii="Arial" w:hAnsi="Arial" w:cs="Arial"/>
        </w:rPr>
        <w:t>. The public discount rate,</w:t>
      </w:r>
      <w:r w:rsidRPr="00D800F0">
        <w:rPr>
          <w:rFonts w:ascii="Arial" w:eastAsia="Cambria Math" w:hAnsi="Arial" w:cs="Arial"/>
          <w:i/>
        </w:rPr>
        <w:t xml:space="preserve"> </w:t>
      </w:r>
      <m:oMath>
        <m:sSub>
          <m:sSubPr>
            <m:ctrlPr>
              <w:rPr>
                <w:rFonts w:ascii="Cambria Math" w:eastAsia="Cambria Math" w:hAnsi="Cambria Math" w:cs="Arial"/>
                <w:i/>
              </w:rPr>
            </m:ctrlPr>
          </m:sSubPr>
          <m:e>
            <m:r>
              <w:rPr>
                <w:rFonts w:ascii="Cambria Math" w:eastAsia="Cambria Math" w:hAnsi="Cambria Math" w:cs="Arial"/>
              </w:rPr>
              <m:t>d</m:t>
            </m:r>
          </m:e>
          <m:sub>
            <m:r>
              <w:rPr>
                <w:rFonts w:ascii="Cambria Math" w:eastAsia="Cambria Math" w:hAnsi="Cambria Math" w:cs="Arial"/>
              </w:rPr>
              <m:t>p</m:t>
            </m:r>
          </m:sub>
        </m:sSub>
      </m:oMath>
      <w:r w:rsidRPr="00D800F0">
        <w:rPr>
          <w:rFonts w:ascii="Arial" w:hAnsi="Arial" w:cs="Arial"/>
        </w:rPr>
        <w:t xml:space="preserve">, was calculated as the weighted average cost of capital (WACC) </w:t>
      </w:r>
      <w:r w:rsidRPr="00D800F0">
        <w:rPr>
          <w:rFonts w:ascii="Arial" w:hAnsi="Arial" w:cs="Arial"/>
        </w:rPr>
        <w:fldChar w:fldCharType="begin"/>
      </w:r>
      <w:r w:rsidRPr="00D800F0">
        <w:rPr>
          <w:rFonts w:ascii="Arial" w:hAnsi="Arial" w:cs="Arial"/>
        </w:rPr>
        <w:instrText xml:space="preserve"> REF _Ref146930303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eastAsia="Cambria Math" w:hAnsi="Arial" w:cs="Arial"/>
        </w:rPr>
        <w:t>(</w:t>
      </w:r>
      <w:r w:rsidRPr="00D800F0">
        <w:rPr>
          <w:rFonts w:ascii="Arial" w:eastAsia="Cambria Math" w:hAnsi="Arial" w:cs="Arial"/>
          <w:noProof/>
        </w:rPr>
        <w:t>C</w:t>
      </w:r>
      <w:r w:rsidRPr="00D800F0">
        <w:rPr>
          <w:rFonts w:ascii="Arial" w:eastAsia="Cambria Math" w:hAnsi="Arial" w:cs="Arial"/>
        </w:rPr>
        <w:t>.</w:t>
      </w:r>
      <w:r w:rsidRPr="00D800F0">
        <w:rPr>
          <w:rFonts w:ascii="Arial" w:eastAsia="Cambria Math" w:hAnsi="Arial" w:cs="Arial"/>
          <w:noProof/>
        </w:rPr>
        <w:t>2</w:t>
      </w:r>
      <w:r w:rsidRPr="00D800F0">
        <w:rPr>
          <w:rFonts w:ascii="Arial" w:eastAsia="Cambria Math" w:hAnsi="Arial" w:cs="Arial"/>
        </w:rPr>
        <w:t>)</w:t>
      </w:r>
      <w:r w:rsidRPr="00D800F0">
        <w:rPr>
          <w:rFonts w:ascii="Arial" w:hAnsi="Arial" w:cs="Arial"/>
        </w:rPr>
        <w:fldChar w:fldCharType="end"/>
      </w:r>
      <w:r w:rsidRPr="00D800F0">
        <w:rPr>
          <w:rFonts w:ascii="Arial" w:hAnsi="Arial" w:cs="Arial"/>
        </w:rPr>
        <w:t xml:space="preserve">; as shown below; </w:t>
      </w:r>
      <m:oMath>
        <m:r>
          <m:rPr>
            <m:sty m:val="bi"/>
          </m:rPr>
          <w:rPr>
            <w:rFonts w:ascii="Cambria Math" w:eastAsia="Cambria Math" w:hAnsi="Cambria Math" w:cs="Arial"/>
          </w:rPr>
          <m:t>e</m:t>
        </m:r>
      </m:oMath>
      <w:r w:rsidRPr="00D800F0">
        <w:rPr>
          <w:rFonts w:ascii="Arial" w:hAnsi="Arial" w:cs="Arial"/>
        </w:rPr>
        <w:t xml:space="preserve"> is the equity, </w:t>
      </w:r>
      <m:oMath>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e</m:t>
            </m:r>
          </m:sub>
        </m:sSub>
      </m:oMath>
      <w:r w:rsidRPr="00D800F0">
        <w:rPr>
          <w:rFonts w:ascii="Arial" w:hAnsi="Arial" w:cs="Arial"/>
        </w:rPr>
        <w:t xml:space="preserve"> is the cost of equity, </w:t>
      </w:r>
      <m:oMath>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d</m:t>
            </m:r>
          </m:sub>
        </m:sSub>
      </m:oMath>
      <w:r w:rsidRPr="00D800F0">
        <w:rPr>
          <w:rFonts w:ascii="Arial" w:hAnsi="Arial" w:cs="Arial"/>
        </w:rPr>
        <w:t xml:space="preserve"> is the cost of debt, and </w:t>
      </w:r>
      <m:oMath>
        <m:sSub>
          <m:sSubPr>
            <m:ctrlPr>
              <w:rPr>
                <w:rFonts w:ascii="Cambria Math" w:eastAsia="Cambria Math" w:hAnsi="Cambria Math" w:cs="Arial"/>
                <w:b/>
                <w:bCs/>
              </w:rPr>
            </m:ctrlPr>
          </m:sSubPr>
          <m:e>
            <m:r>
              <m:rPr>
                <m:sty m:val="bi"/>
              </m:rPr>
              <w:rPr>
                <w:rFonts w:ascii="Cambria Math" w:hAnsi="Cambria Math" w:cs="Arial"/>
              </w:rPr>
              <m:t>φ</m:t>
            </m:r>
          </m:e>
          <m:sub>
            <m:r>
              <m:rPr>
                <m:sty m:val="bi"/>
              </m:rPr>
              <w:rPr>
                <w:rFonts w:ascii="Cambria Math" w:eastAsia="Cambria Math" w:hAnsi="Cambria Math" w:cs="Arial"/>
              </w:rPr>
              <m:t>state</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φ</m:t>
            </m:r>
          </m:e>
          <m:sub>
            <m:r>
              <m:rPr>
                <m:sty m:val="bi"/>
              </m:rPr>
              <w:rPr>
                <w:rFonts w:ascii="Cambria Math" w:eastAsia="Cambria Math" w:hAnsi="Cambria Math" w:cs="Arial"/>
              </w:rPr>
              <m:t>federal</m:t>
            </m:r>
          </m:sub>
        </m:sSub>
      </m:oMath>
      <w:r w:rsidRPr="00D800F0">
        <w:rPr>
          <w:rFonts w:ascii="Arial" w:hAnsi="Arial" w:cs="Arial"/>
        </w:rPr>
        <w:t xml:space="preserve"> are the state and federal income taxes, respectively.</w:t>
      </w:r>
    </w:p>
    <w:tbl>
      <w:tblPr>
        <w:tblW w:w="9360" w:type="dxa"/>
        <w:tblLayout w:type="fixed"/>
        <w:tblLook w:val="0600" w:firstRow="0" w:lastRow="0" w:firstColumn="0" w:lastColumn="0" w:noHBand="1" w:noVBand="1"/>
      </w:tblPr>
      <w:tblGrid>
        <w:gridCol w:w="8505"/>
        <w:gridCol w:w="855"/>
      </w:tblGrid>
      <w:tr w:rsidR="00DA7E40" w:rsidRPr="00D800F0" w14:paraId="560FE2A7" w14:textId="77777777" w:rsidTr="0000614D">
        <w:trPr>
          <w:cantSplit/>
        </w:trPr>
        <w:tc>
          <w:tcPr>
            <w:tcW w:w="8505" w:type="dxa"/>
            <w:shd w:val="clear" w:color="auto" w:fill="auto"/>
            <w:tcMar>
              <w:top w:w="100" w:type="dxa"/>
              <w:left w:w="100" w:type="dxa"/>
              <w:bottom w:w="100" w:type="dxa"/>
              <w:right w:w="100" w:type="dxa"/>
            </w:tcMar>
            <w:vAlign w:val="center"/>
          </w:tcPr>
          <w:p w14:paraId="15290E33"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i/>
                      </w:rPr>
                    </m:ctrlPr>
                  </m:sSubPr>
                  <m:e>
                    <m:r>
                      <m:rPr>
                        <m:sty m:val="bi"/>
                      </m:rPr>
                      <w:rPr>
                        <w:rFonts w:ascii="Cambria Math" w:eastAsia="Cambria Math" w:hAnsi="Cambria Math" w:cs="Arial"/>
                      </w:rPr>
                      <m:t>d</m:t>
                    </m:r>
                  </m:e>
                  <m:sub>
                    <m:r>
                      <m:rPr>
                        <m:sty m:val="bi"/>
                      </m:rPr>
                      <w:rPr>
                        <w:rFonts w:ascii="Cambria Math" w:eastAsia="Cambria Math" w:hAnsi="Cambria Math" w:cs="Arial"/>
                      </w:rPr>
                      <m:t>p</m:t>
                    </m:r>
                  </m:sub>
                </m:sSub>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e</m:t>
                    </m:r>
                  </m:sub>
                </m:sSub>
                <m:r>
                  <m:rPr>
                    <m:sty m:val="bi"/>
                  </m:rPr>
                  <w:rPr>
                    <w:rFonts w:ascii="Cambria Math" w:eastAsia="Cambria Math" w:hAnsi="Cambria Math" w:cs="Arial"/>
                  </w:rPr>
                  <m:t>+([1-e]*</m:t>
                </m:r>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d</m:t>
                    </m:r>
                  </m:sub>
                </m:sSub>
                <m:r>
                  <m:rPr>
                    <m:sty m:val="bi"/>
                  </m:rPr>
                  <w:rPr>
                    <w:rFonts w:ascii="Cambria Math" w:eastAsia="Cambria Math" w:hAnsi="Cambria Math" w:cs="Arial"/>
                  </w:rPr>
                  <m:t>*[1-(</m:t>
                </m:r>
                <m:sSub>
                  <m:sSubPr>
                    <m:ctrlPr>
                      <w:rPr>
                        <w:rFonts w:ascii="Cambria Math" w:eastAsia="Cambria Math" w:hAnsi="Cambria Math" w:cs="Arial"/>
                        <w:b/>
                        <w:bCs/>
                      </w:rPr>
                    </m:ctrlPr>
                  </m:sSubPr>
                  <m:e>
                    <m:r>
                      <m:rPr>
                        <m:sty m:val="bi"/>
                      </m:rPr>
                      <w:rPr>
                        <w:rFonts w:ascii="Cambria Math" w:eastAsia="Cambria Math" w:hAnsi="Cambria Math" w:cs="Arial"/>
                      </w:rPr>
                      <m:t>φ</m:t>
                    </m:r>
                  </m:e>
                  <m:sub>
                    <m:r>
                      <m:rPr>
                        <m:sty m:val="bi"/>
                      </m:rPr>
                      <w:rPr>
                        <w:rFonts w:ascii="Cambria Math" w:eastAsia="Cambria Math" w:hAnsi="Cambria Math" w:cs="Arial"/>
                      </w:rPr>
                      <m:t>state</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φ</m:t>
                    </m:r>
                  </m:e>
                  <m:sub>
                    <m:r>
                      <m:rPr>
                        <m:sty m:val="bi"/>
                      </m:rPr>
                      <w:rPr>
                        <w:rFonts w:ascii="Cambria Math" w:eastAsia="Cambria Math" w:hAnsi="Cambria Math" w:cs="Arial"/>
                      </w:rPr>
                      <m:t>federal</m:t>
                    </m:r>
                  </m:sub>
                </m:sSub>
                <m:r>
                  <m:rPr>
                    <m:sty m:val="bi"/>
                  </m:rPr>
                  <w:rPr>
                    <w:rFonts w:ascii="Cambria Math" w:eastAsia="Cambria Math" w:hAnsi="Cambria Math" w:cs="Arial"/>
                  </w:rPr>
                  <m:t>)])</m:t>
                </m:r>
              </m:oMath>
            </m:oMathPara>
          </w:p>
        </w:tc>
        <w:tc>
          <w:tcPr>
            <w:tcW w:w="855" w:type="dxa"/>
            <w:shd w:val="clear" w:color="auto" w:fill="auto"/>
            <w:tcMar>
              <w:top w:w="100" w:type="dxa"/>
              <w:left w:w="100" w:type="dxa"/>
              <w:bottom w:w="100" w:type="dxa"/>
              <w:right w:w="100" w:type="dxa"/>
            </w:tcMar>
            <w:vAlign w:val="center"/>
          </w:tcPr>
          <w:p w14:paraId="63127498" w14:textId="77777777" w:rsidR="00DA7E40" w:rsidRPr="00D800F0" w:rsidRDefault="00DA7E40" w:rsidP="0000614D">
            <w:pPr>
              <w:widowControl w:val="0"/>
              <w:jc w:val="center"/>
              <w:rPr>
                <w:rFonts w:ascii="Arial" w:hAnsi="Arial" w:cs="Arial"/>
              </w:rPr>
            </w:pPr>
            <w:bookmarkStart w:id="34" w:name="_Ref146930303"/>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2</w:t>
            </w:r>
            <w:r w:rsidRPr="00D800F0">
              <w:rPr>
                <w:rFonts w:ascii="Arial" w:eastAsia="Cambria Math" w:hAnsi="Arial" w:cs="Arial"/>
              </w:rPr>
              <w:fldChar w:fldCharType="end"/>
            </w:r>
            <w:r w:rsidRPr="00D800F0">
              <w:rPr>
                <w:rFonts w:ascii="Arial" w:eastAsia="Cambria Math" w:hAnsi="Arial" w:cs="Arial"/>
              </w:rPr>
              <w:t>)</w:t>
            </w:r>
            <w:bookmarkEnd w:id="34"/>
          </w:p>
        </w:tc>
      </w:tr>
      <w:tr w:rsidR="00DA7E40" w:rsidRPr="00D800F0" w14:paraId="070987B3" w14:textId="77777777" w:rsidTr="0000614D">
        <w:trPr>
          <w:cantSplit/>
        </w:trPr>
        <w:tc>
          <w:tcPr>
            <w:tcW w:w="8505" w:type="dxa"/>
            <w:shd w:val="clear" w:color="auto" w:fill="auto"/>
            <w:tcMar>
              <w:top w:w="100" w:type="dxa"/>
              <w:left w:w="100" w:type="dxa"/>
              <w:bottom w:w="100" w:type="dxa"/>
              <w:right w:w="100" w:type="dxa"/>
            </w:tcMar>
            <w:vAlign w:val="center"/>
          </w:tcPr>
          <w:p w14:paraId="3A770F0A"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CF</m:t>
                </m:r>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=FCI</m:t>
                </m:r>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Style w:val="FootnoteReference"/>
                    <w:rFonts w:ascii="Cambria Math" w:eastAsia="Cambria Math" w:hAnsi="Cambria Math" w:cs="Arial"/>
                    <w:b/>
                    <w:i/>
                  </w:rPr>
                  <w:footnoteReference w:id="3"/>
                </m:r>
                <m:r>
                  <m:rPr>
                    <m:sty m:val="bi"/>
                  </m:rPr>
                  <w:rPr>
                    <w:rFonts w:ascii="Cambria Math" w:eastAsia="Cambria Math" w:hAnsi="Cambria Math" w:cs="Arial"/>
                  </w:rPr>
                  <m:t>+Land</m:t>
                </m:r>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+WC</m:t>
                </m:r>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+PMT</m:t>
                </m:r>
                <m:d>
                  <m:dPr>
                    <m:ctrlPr>
                      <w:rPr>
                        <w:rFonts w:ascii="Cambria Math" w:eastAsia="Cambria Math" w:hAnsi="Cambria Math" w:cs="Arial"/>
                        <w:b/>
                        <w:bCs/>
                      </w:rPr>
                    </m:ctrlPr>
                  </m:dPr>
                  <m:e>
                    <m:r>
                      <m:rPr>
                        <m:sty m:val="bi"/>
                      </m:rPr>
                      <w:rPr>
                        <w:rFonts w:ascii="Cambria Math" w:eastAsia="Cambria Math" w:hAnsi="Cambria Math" w:cs="Arial"/>
                      </w:rPr>
                      <m:t>T</m:t>
                    </m:r>
                  </m:e>
                </m:d>
              </m:oMath>
            </m:oMathPara>
          </w:p>
          <w:p w14:paraId="0488BB78"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+Sales</m:t>
                </m:r>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+OPEX</m:t>
                </m:r>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+Tax</m:t>
                </m:r>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+Credit</m:t>
                </m:r>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CE</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855" w:type="dxa"/>
            <w:shd w:val="clear" w:color="auto" w:fill="auto"/>
            <w:tcMar>
              <w:top w:w="100" w:type="dxa"/>
              <w:left w:w="100" w:type="dxa"/>
              <w:bottom w:w="100" w:type="dxa"/>
              <w:right w:w="100" w:type="dxa"/>
            </w:tcMar>
            <w:vAlign w:val="center"/>
          </w:tcPr>
          <w:p w14:paraId="0C8C8CFD" w14:textId="77777777" w:rsidR="00DA7E40" w:rsidRPr="00D800F0" w:rsidRDefault="00DA7E40" w:rsidP="0000614D">
            <w:pPr>
              <w:widowControl w:val="0"/>
              <w:jc w:val="center"/>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3</w:t>
            </w:r>
            <w:r w:rsidRPr="00D800F0">
              <w:rPr>
                <w:rFonts w:ascii="Arial" w:eastAsia="Cambria Math" w:hAnsi="Arial" w:cs="Arial"/>
              </w:rPr>
              <w:fldChar w:fldCharType="end"/>
            </w:r>
            <w:r w:rsidRPr="00D800F0">
              <w:rPr>
                <w:rFonts w:ascii="Arial" w:eastAsia="Cambria Math" w:hAnsi="Arial" w:cs="Arial"/>
              </w:rPr>
              <w:t>)</w:t>
            </w:r>
          </w:p>
        </w:tc>
      </w:tr>
    </w:tbl>
    <w:p w14:paraId="13A7A3F0" w14:textId="0189BD7D" w:rsidR="00DA7E40" w:rsidRPr="00D800F0" w:rsidRDefault="00DA7E40" w:rsidP="00DA7E40">
      <w:pPr>
        <w:rPr>
          <w:rFonts w:ascii="Arial" w:hAnsi="Arial" w:cs="Arial"/>
        </w:rPr>
      </w:pPr>
      <w:r w:rsidRPr="00D800F0">
        <w:rPr>
          <w:rFonts w:ascii="Arial" w:hAnsi="Arial" w:cs="Arial"/>
        </w:rPr>
        <w:tab/>
        <w:t xml:space="preserve">Equations </w:t>
      </w:r>
      <w:r w:rsidRPr="00D800F0">
        <w:rPr>
          <w:rFonts w:ascii="Arial" w:hAnsi="Arial" w:cs="Arial"/>
        </w:rPr>
        <w:fldChar w:fldCharType="begin"/>
      </w:r>
      <w:r w:rsidRPr="00D800F0">
        <w:rPr>
          <w:rFonts w:ascii="Arial" w:hAnsi="Arial" w:cs="Arial"/>
        </w:rPr>
        <w:instrText xml:space="preserve"> REF _Ref146930574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eastAsia="Cambria Math" w:hAnsi="Arial" w:cs="Arial"/>
        </w:rPr>
        <w:t>(</w:t>
      </w:r>
      <w:r w:rsidRPr="00D800F0">
        <w:rPr>
          <w:rFonts w:ascii="Arial" w:eastAsia="Cambria Math" w:hAnsi="Arial" w:cs="Arial"/>
          <w:noProof/>
        </w:rPr>
        <w:t>C</w:t>
      </w:r>
      <w:r w:rsidRPr="00D800F0">
        <w:rPr>
          <w:rFonts w:ascii="Arial" w:eastAsia="Cambria Math" w:hAnsi="Arial" w:cs="Arial"/>
        </w:rPr>
        <w:t>.</w:t>
      </w:r>
      <w:r w:rsidRPr="00D800F0">
        <w:rPr>
          <w:rFonts w:ascii="Arial" w:eastAsia="Cambria Math" w:hAnsi="Arial" w:cs="Arial"/>
          <w:noProof/>
        </w:rPr>
        <w:t>4</w:t>
      </w:r>
      <w:r w:rsidRPr="00D800F0">
        <w:rPr>
          <w:rFonts w:ascii="Arial" w:eastAsia="Cambria Math" w:hAnsi="Arial" w:cs="Arial"/>
        </w:rPr>
        <w:t>)</w:t>
      </w:r>
      <w:r w:rsidRPr="00D800F0">
        <w:rPr>
          <w:rFonts w:ascii="Arial" w:hAnsi="Arial" w:cs="Arial"/>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REF _Ref146930581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eastAsia="Cambria Math" w:hAnsi="Arial" w:cs="Arial"/>
        </w:rPr>
        <w:t>(</w:t>
      </w:r>
      <w:r w:rsidRPr="00D800F0">
        <w:rPr>
          <w:rFonts w:ascii="Arial" w:eastAsia="Cambria Math" w:hAnsi="Arial" w:cs="Arial"/>
          <w:noProof/>
        </w:rPr>
        <w:t>C</w:t>
      </w:r>
      <w:r w:rsidRPr="00D800F0">
        <w:rPr>
          <w:rFonts w:ascii="Arial" w:eastAsia="Cambria Math" w:hAnsi="Arial" w:cs="Arial"/>
        </w:rPr>
        <w:t>.</w:t>
      </w:r>
      <w:r w:rsidRPr="00D800F0">
        <w:rPr>
          <w:rFonts w:ascii="Arial" w:eastAsia="Cambria Math" w:hAnsi="Arial" w:cs="Arial"/>
          <w:noProof/>
        </w:rPr>
        <w:t>6</w:t>
      </w:r>
      <w:r w:rsidRPr="00D800F0">
        <w:rPr>
          <w:rFonts w:ascii="Arial" w:eastAsia="Cambria Math" w:hAnsi="Arial" w:cs="Arial"/>
        </w:rPr>
        <w:t>)</w:t>
      </w:r>
      <w:r w:rsidRPr="00D800F0">
        <w:rPr>
          <w:rFonts w:ascii="Arial" w:hAnsi="Arial" w:cs="Arial"/>
        </w:rPr>
        <w:fldChar w:fldCharType="end"/>
      </w:r>
      <w:r w:rsidRPr="00D800F0">
        <w:rPr>
          <w:rFonts w:ascii="Arial" w:hAnsi="Arial" w:cs="Arial"/>
        </w:rPr>
        <w:t xml:space="preserve"> represent the staggered spending of the FCI to build the ammonia plant over three years (</w:t>
      </w:r>
      <m:oMath>
        <m:r>
          <m:rPr>
            <m:sty m:val="bi"/>
          </m:rPr>
          <w:rPr>
            <w:rFonts w:ascii="Cambria Math" w:hAnsi="Cambria Math" w:cs="Arial"/>
          </w:rPr>
          <m:t>C</m:t>
        </m:r>
      </m:oMath>
      <w:r w:rsidRPr="00D800F0">
        <w:rPr>
          <w:rFonts w:ascii="Arial" w:hAnsi="Arial" w:cs="Arial"/>
        </w:rPr>
        <w:t xml:space="preserve"> months). </w:t>
      </w:r>
      <m:oMath>
        <m:sSub>
          <m:sSubPr>
            <m:ctrlPr>
              <w:rPr>
                <w:rFonts w:ascii="Cambria Math" w:eastAsia="Cambria Math" w:hAnsi="Cambria Math" w:cs="Arial"/>
                <w:b/>
                <w:bCs/>
              </w:rPr>
            </m:ctrlPr>
          </m:sSubPr>
          <m:e>
            <m:r>
              <m:rPr>
                <m:sty m:val="bi"/>
              </m:rPr>
              <w:rPr>
                <w:rFonts w:ascii="Cambria Math" w:eastAsia="Cambria Math" w:hAnsi="Cambria Math" w:cs="Arial"/>
              </w:rPr>
              <m:t>Y</m:t>
            </m:r>
          </m:e>
          <m:sub>
            <m:r>
              <m:rPr>
                <m:sty m:val="bi"/>
              </m:rPr>
              <w:rPr>
                <w:rFonts w:ascii="Cambria Math" w:eastAsia="Cambria Math" w:hAnsi="Cambria Math" w:cs="Arial"/>
              </w:rPr>
              <m:t>1</m:t>
            </m:r>
          </m:sub>
        </m:sSub>
      </m:oMath>
      <w:r w:rsidRPr="00D800F0">
        <w:rPr>
          <w:rFonts w:ascii="Arial" w:hAnsi="Arial" w:cs="Arial"/>
        </w:rPr>
        <w:t>,</w:t>
      </w:r>
      <m:oMath>
        <m:sSub>
          <m:sSubPr>
            <m:ctrlPr>
              <w:rPr>
                <w:rFonts w:ascii="Cambria Math" w:eastAsia="Cambria Math" w:hAnsi="Cambria Math" w:cs="Arial"/>
                <w:b/>
                <w:bCs/>
              </w:rPr>
            </m:ctrlPr>
          </m:sSubPr>
          <m:e>
            <m:r>
              <m:rPr>
                <m:sty m:val="bi"/>
              </m:rPr>
              <w:rPr>
                <w:rFonts w:ascii="Cambria Math" w:eastAsia="Cambria Math" w:hAnsi="Cambria Math" w:cs="Arial"/>
              </w:rPr>
              <m:t>Y</m:t>
            </m:r>
          </m:e>
          <m:sub>
            <m:r>
              <m:rPr>
                <m:sty m:val="bi"/>
              </m:rPr>
              <w:rPr>
                <w:rFonts w:ascii="Cambria Math" w:eastAsia="Cambria Math" w:hAnsi="Cambria Math" w:cs="Arial"/>
              </w:rPr>
              <m:t>2</m:t>
            </m:r>
          </m:sub>
        </m:sSub>
      </m:oMath>
      <w:r w:rsidRPr="00D800F0">
        <w:rPr>
          <w:rFonts w:ascii="Arial" w:hAnsi="Arial" w:cs="Arial"/>
        </w:rPr>
        <w:t xml:space="preserve">,and </w:t>
      </w:r>
      <m:oMath>
        <m:sSub>
          <m:sSubPr>
            <m:ctrlPr>
              <w:rPr>
                <w:rFonts w:ascii="Cambria Math" w:eastAsia="Cambria Math" w:hAnsi="Cambria Math" w:cs="Arial"/>
                <w:b/>
                <w:bCs/>
              </w:rPr>
            </m:ctrlPr>
          </m:sSubPr>
          <m:e>
            <m:r>
              <m:rPr>
                <m:sty m:val="bi"/>
              </m:rPr>
              <w:rPr>
                <w:rFonts w:ascii="Cambria Math" w:eastAsia="Cambria Math" w:hAnsi="Cambria Math" w:cs="Arial"/>
              </w:rPr>
              <m:t>Y</m:t>
            </m:r>
          </m:e>
          <m:sub>
            <m:r>
              <m:rPr>
                <m:sty m:val="bi"/>
              </m:rPr>
              <w:rPr>
                <w:rFonts w:ascii="Cambria Math" w:eastAsia="Cambria Math" w:hAnsi="Cambria Math" w:cs="Arial"/>
              </w:rPr>
              <m:t>3</m:t>
            </m:r>
          </m:sub>
        </m:sSub>
      </m:oMath>
      <w:r w:rsidRPr="00D800F0">
        <w:rPr>
          <w:rFonts w:ascii="Arial" w:hAnsi="Arial" w:cs="Arial"/>
        </w:rPr>
        <w:t xml:space="preserve">are the fraction of the FCI that is spent on a given year. </w:t>
      </w:r>
    </w:p>
    <w:tbl>
      <w:tblPr>
        <w:tblW w:w="9360" w:type="dxa"/>
        <w:tblLayout w:type="fixed"/>
        <w:tblLook w:val="0600" w:firstRow="0" w:lastRow="0" w:firstColumn="0" w:lastColumn="0" w:noHBand="1" w:noVBand="1"/>
      </w:tblPr>
      <w:tblGrid>
        <w:gridCol w:w="8505"/>
        <w:gridCol w:w="855"/>
      </w:tblGrid>
      <w:tr w:rsidR="00DA7E40" w:rsidRPr="00D800F0" w14:paraId="46C7ED00" w14:textId="77777777" w:rsidTr="0000614D">
        <w:trPr>
          <w:cantSplit/>
        </w:trPr>
        <w:tc>
          <w:tcPr>
            <w:tcW w:w="8505" w:type="dxa"/>
            <w:shd w:val="clear" w:color="auto" w:fill="auto"/>
            <w:tcMar>
              <w:top w:w="100" w:type="dxa"/>
              <w:left w:w="100" w:type="dxa"/>
              <w:bottom w:w="100" w:type="dxa"/>
              <w:right w:w="100" w:type="dxa"/>
            </w:tcMar>
            <w:vAlign w:val="center"/>
          </w:tcPr>
          <w:p w14:paraId="2148F3B9" w14:textId="77777777" w:rsidR="00DA7E40" w:rsidRPr="00D800F0" w:rsidRDefault="00DA7E40" w:rsidP="0000614D">
            <w:pPr>
              <w:jc w:val="center"/>
              <w:rPr>
                <w:rFonts w:ascii="Arial" w:hAnsi="Arial" w:cs="Arial"/>
                <w:b/>
                <w:bCs/>
              </w:rPr>
            </w:pPr>
            <m:oMathPara>
              <m:oMath>
                <m:r>
                  <m:rPr>
                    <m:sty m:val="bi"/>
                  </m:rPr>
                  <w:rPr>
                    <w:rFonts w:ascii="Cambria Math" w:eastAsia="Cambria Math" w:hAnsi="Cambria Math" w:cs="Arial"/>
                  </w:rPr>
                  <m:t>FCI</m:t>
                </m:r>
                <m:d>
                  <m:dPr>
                    <m:ctrlPr>
                      <w:rPr>
                        <w:rFonts w:ascii="Cambria Math" w:eastAsia="Cambria Math" w:hAnsi="Cambria Math" w:cs="Arial"/>
                        <w:b/>
                        <w:bCs/>
                      </w:rPr>
                    </m:ctrlPr>
                  </m:dPr>
                  <m:e>
                    <m:r>
                      <m:rPr>
                        <m:sty m:val="bi"/>
                      </m:rPr>
                      <w:rPr>
                        <w:rFonts w:ascii="Cambria Math" w:eastAsia="Cambria Math" w:hAnsi="Cambria Math" w:cs="Arial"/>
                      </w:rPr>
                      <m:t>0&lt;T ≤</m:t>
                    </m:r>
                    <m:f>
                      <m:fPr>
                        <m:ctrlPr>
                          <w:rPr>
                            <w:rFonts w:ascii="Cambria Math" w:eastAsia="Cambria Math" w:hAnsi="Cambria Math" w:cs="Arial"/>
                            <w:b/>
                            <w:i/>
                          </w:rPr>
                        </m:ctrlPr>
                      </m:fPr>
                      <m:num>
                        <m:r>
                          <m:rPr>
                            <m:sty m:val="bi"/>
                          </m:rPr>
                          <w:rPr>
                            <w:rFonts w:ascii="Cambria Math" w:eastAsia="Cambria Math" w:hAnsi="Cambria Math" w:cs="Arial"/>
                          </w:rPr>
                          <m:t>C</m:t>
                        </m:r>
                      </m:num>
                      <m:den>
                        <m:r>
                          <m:rPr>
                            <m:sty m:val="bi"/>
                          </m:rPr>
                          <w:rPr>
                            <w:rFonts w:ascii="Cambria Math" w:eastAsia="Cambria Math" w:hAnsi="Cambria Math" w:cs="Arial"/>
                          </w:rPr>
                          <m:t>3</m:t>
                        </m:r>
                      </m:den>
                    </m:f>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Y</m:t>
                    </m:r>
                  </m:e>
                  <m:sub>
                    <m:r>
                      <m:rPr>
                        <m:sty m:val="bi"/>
                      </m:rPr>
                      <w:rPr>
                        <w:rFonts w:ascii="Cambria Math" w:eastAsia="Cambria Math" w:hAnsi="Cambria Math" w:cs="Arial"/>
                      </w:rPr>
                      <m:t>1</m:t>
                    </m:r>
                  </m:sub>
                </m:sSub>
                <m:r>
                  <m:rPr>
                    <m:sty m:val="bi"/>
                  </m:rPr>
                  <w:rPr>
                    <w:rFonts w:ascii="Cambria Math" w:eastAsia="Cambria Math" w:hAnsi="Cambria Math" w:cs="Arial"/>
                  </w:rPr>
                  <m:t>*</m:t>
                </m:r>
                <m:f>
                  <m:fPr>
                    <m:ctrlPr>
                      <w:rPr>
                        <w:rFonts w:ascii="Cambria Math" w:eastAsia="Cambria Math" w:hAnsi="Cambria Math" w:cs="Arial"/>
                        <w:b/>
                        <w:bCs/>
                      </w:rPr>
                    </m:ctrlPr>
                  </m:fPr>
                  <m:num>
                    <m:r>
                      <m:rPr>
                        <m:sty m:val="bi"/>
                      </m:rPr>
                      <w:rPr>
                        <w:rFonts w:ascii="Cambria Math" w:eastAsia="Cambria Math" w:hAnsi="Cambria Math" w:cs="Arial"/>
                      </w:rPr>
                      <m:t>FC</m:t>
                    </m:r>
                    <m:sSub>
                      <m:sSubPr>
                        <m:ctrlPr>
                          <w:rPr>
                            <w:rFonts w:ascii="Cambria Math" w:eastAsia="Cambria Math" w:hAnsi="Cambria Math" w:cs="Arial"/>
                            <w:b/>
                            <w:bCs/>
                            <w:i/>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num>
                  <m:den>
                    <m:r>
                      <m:rPr>
                        <m:sty m:val="bi"/>
                      </m:rPr>
                      <w:rPr>
                        <w:rFonts w:ascii="Cambria Math" w:eastAsia="Cambria Math" w:hAnsi="Cambria Math" w:cs="Arial"/>
                      </w:rPr>
                      <m:t>12</m:t>
                    </m:r>
                  </m:den>
                </m:f>
              </m:oMath>
            </m:oMathPara>
          </w:p>
        </w:tc>
        <w:tc>
          <w:tcPr>
            <w:tcW w:w="855" w:type="dxa"/>
            <w:shd w:val="clear" w:color="auto" w:fill="auto"/>
            <w:tcMar>
              <w:top w:w="100" w:type="dxa"/>
              <w:left w:w="100" w:type="dxa"/>
              <w:bottom w:w="100" w:type="dxa"/>
              <w:right w:w="100" w:type="dxa"/>
            </w:tcMar>
            <w:vAlign w:val="center"/>
          </w:tcPr>
          <w:p w14:paraId="06BAC944" w14:textId="77777777" w:rsidR="00DA7E40" w:rsidRPr="00D800F0" w:rsidRDefault="00DA7E40" w:rsidP="0000614D">
            <w:pPr>
              <w:widowControl w:val="0"/>
              <w:jc w:val="center"/>
              <w:rPr>
                <w:rFonts w:ascii="Arial" w:hAnsi="Arial" w:cs="Arial"/>
              </w:rPr>
            </w:pPr>
            <w:bookmarkStart w:id="35" w:name="_Ref146930574"/>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4</w:t>
            </w:r>
            <w:r w:rsidRPr="00D800F0">
              <w:rPr>
                <w:rFonts w:ascii="Arial" w:eastAsia="Cambria Math" w:hAnsi="Arial" w:cs="Arial"/>
              </w:rPr>
              <w:fldChar w:fldCharType="end"/>
            </w:r>
            <w:r w:rsidRPr="00D800F0">
              <w:rPr>
                <w:rFonts w:ascii="Arial" w:eastAsia="Cambria Math" w:hAnsi="Arial" w:cs="Arial"/>
              </w:rPr>
              <w:t>)</w:t>
            </w:r>
            <w:bookmarkEnd w:id="35"/>
          </w:p>
        </w:tc>
      </w:tr>
      <w:tr w:rsidR="00DA7E40" w:rsidRPr="00D800F0" w14:paraId="675EB3D6" w14:textId="77777777" w:rsidTr="0000614D">
        <w:trPr>
          <w:cantSplit/>
        </w:trPr>
        <w:tc>
          <w:tcPr>
            <w:tcW w:w="8505" w:type="dxa"/>
            <w:shd w:val="clear" w:color="auto" w:fill="auto"/>
            <w:tcMar>
              <w:top w:w="100" w:type="dxa"/>
              <w:left w:w="100" w:type="dxa"/>
              <w:bottom w:w="100" w:type="dxa"/>
              <w:right w:w="100" w:type="dxa"/>
            </w:tcMar>
            <w:vAlign w:val="center"/>
          </w:tcPr>
          <w:p w14:paraId="7EDBF4C9" w14:textId="77777777" w:rsidR="00DA7E40" w:rsidRPr="00D800F0" w:rsidRDefault="00DA7E40" w:rsidP="0000614D">
            <w:pPr>
              <w:jc w:val="center"/>
              <w:rPr>
                <w:rFonts w:ascii="Arial" w:hAnsi="Arial" w:cs="Arial"/>
                <w:b/>
                <w:bCs/>
              </w:rPr>
            </w:pPr>
            <m:oMathPara>
              <m:oMath>
                <m:r>
                  <m:rPr>
                    <m:sty m:val="bi"/>
                  </m:rPr>
                  <w:rPr>
                    <w:rFonts w:ascii="Cambria Math" w:eastAsia="Cambria Math" w:hAnsi="Cambria Math" w:cs="Arial"/>
                  </w:rPr>
                  <m:t>FCI</m:t>
                </m:r>
                <m:d>
                  <m:dPr>
                    <m:ctrlPr>
                      <w:rPr>
                        <w:rFonts w:ascii="Cambria Math" w:eastAsia="Cambria Math" w:hAnsi="Cambria Math" w:cs="Arial"/>
                        <w:b/>
                        <w:bCs/>
                      </w:rPr>
                    </m:ctrlPr>
                  </m:dPr>
                  <m:e>
                    <m:f>
                      <m:fPr>
                        <m:ctrlPr>
                          <w:rPr>
                            <w:rFonts w:ascii="Cambria Math" w:eastAsia="Cambria Math" w:hAnsi="Cambria Math" w:cs="Arial"/>
                            <w:b/>
                            <w:i/>
                          </w:rPr>
                        </m:ctrlPr>
                      </m:fPr>
                      <m:num>
                        <m:r>
                          <m:rPr>
                            <m:sty m:val="bi"/>
                          </m:rPr>
                          <w:rPr>
                            <w:rFonts w:ascii="Cambria Math" w:eastAsia="Cambria Math" w:hAnsi="Cambria Math" w:cs="Arial"/>
                          </w:rPr>
                          <m:t>C</m:t>
                        </m:r>
                      </m:num>
                      <m:den>
                        <m:r>
                          <m:rPr>
                            <m:sty m:val="bi"/>
                          </m:rPr>
                          <w:rPr>
                            <w:rFonts w:ascii="Cambria Math" w:eastAsia="Cambria Math" w:hAnsi="Cambria Math" w:cs="Arial"/>
                          </w:rPr>
                          <m:t>3</m:t>
                        </m:r>
                      </m:den>
                    </m:f>
                    <m:r>
                      <m:rPr>
                        <m:sty m:val="bi"/>
                      </m:rPr>
                      <w:rPr>
                        <w:rFonts w:ascii="Cambria Math" w:eastAsia="Cambria Math" w:hAnsi="Cambria Math" w:cs="Arial"/>
                      </w:rPr>
                      <m:t>&lt;T ≤</m:t>
                    </m:r>
                    <m:f>
                      <m:fPr>
                        <m:ctrlPr>
                          <w:rPr>
                            <w:rFonts w:ascii="Cambria Math" w:eastAsia="Cambria Math" w:hAnsi="Cambria Math" w:cs="Arial"/>
                            <w:b/>
                            <w:i/>
                          </w:rPr>
                        </m:ctrlPr>
                      </m:fPr>
                      <m:num>
                        <m:r>
                          <m:rPr>
                            <m:sty m:val="bi"/>
                          </m:rPr>
                          <w:rPr>
                            <w:rFonts w:ascii="Cambria Math" w:eastAsia="Cambria Math" w:hAnsi="Cambria Math" w:cs="Arial"/>
                          </w:rPr>
                          <m:t>2</m:t>
                        </m:r>
                        <m:r>
                          <m:rPr>
                            <m:sty m:val="bi"/>
                          </m:rPr>
                          <w:rPr>
                            <w:rFonts w:ascii="Cambria Math" w:eastAsia="Cambria Math" w:hAnsi="Cambria Math" w:cs="Arial"/>
                          </w:rPr>
                          <m:t>C</m:t>
                        </m:r>
                      </m:num>
                      <m:den>
                        <m:r>
                          <m:rPr>
                            <m:sty m:val="bi"/>
                          </m:rPr>
                          <w:rPr>
                            <w:rFonts w:ascii="Cambria Math" w:eastAsia="Cambria Math" w:hAnsi="Cambria Math" w:cs="Arial"/>
                          </w:rPr>
                          <m:t>3</m:t>
                        </m:r>
                      </m:den>
                    </m:f>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Y</m:t>
                    </m:r>
                  </m:e>
                  <m:sub>
                    <m:r>
                      <m:rPr>
                        <m:sty m:val="bi"/>
                      </m:rPr>
                      <w:rPr>
                        <w:rFonts w:ascii="Cambria Math" w:eastAsia="Cambria Math" w:hAnsi="Cambria Math" w:cs="Arial"/>
                      </w:rPr>
                      <m:t>2</m:t>
                    </m:r>
                  </m:sub>
                </m:sSub>
                <m:r>
                  <m:rPr>
                    <m:sty m:val="bi"/>
                  </m:rPr>
                  <w:rPr>
                    <w:rFonts w:ascii="Cambria Math" w:eastAsia="Cambria Math" w:hAnsi="Cambria Math" w:cs="Arial"/>
                  </w:rPr>
                  <m:t>*</m:t>
                </m:r>
                <m:f>
                  <m:fPr>
                    <m:ctrlPr>
                      <w:rPr>
                        <w:rFonts w:ascii="Cambria Math" w:eastAsia="Cambria Math" w:hAnsi="Cambria Math" w:cs="Arial"/>
                        <w:b/>
                        <w:bCs/>
                      </w:rPr>
                    </m:ctrlPr>
                  </m:fPr>
                  <m:num>
                    <m:r>
                      <m:rPr>
                        <m:sty m:val="bi"/>
                      </m:rPr>
                      <w:rPr>
                        <w:rFonts w:ascii="Cambria Math" w:eastAsia="Cambria Math" w:hAnsi="Cambria Math" w:cs="Arial"/>
                      </w:rPr>
                      <m:t>FC</m:t>
                    </m:r>
                    <m:sSub>
                      <m:sSubPr>
                        <m:ctrlPr>
                          <w:rPr>
                            <w:rFonts w:ascii="Cambria Math" w:eastAsia="Cambria Math" w:hAnsi="Cambria Math" w:cs="Arial"/>
                            <w:b/>
                            <w:bCs/>
                            <w:i/>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num>
                  <m:den>
                    <m:r>
                      <m:rPr>
                        <m:sty m:val="bi"/>
                      </m:rPr>
                      <w:rPr>
                        <w:rFonts w:ascii="Cambria Math" w:eastAsia="Cambria Math" w:hAnsi="Cambria Math" w:cs="Arial"/>
                      </w:rPr>
                      <m:t>12</m:t>
                    </m:r>
                  </m:den>
                </m:f>
              </m:oMath>
            </m:oMathPara>
          </w:p>
        </w:tc>
        <w:tc>
          <w:tcPr>
            <w:tcW w:w="855" w:type="dxa"/>
            <w:shd w:val="clear" w:color="auto" w:fill="auto"/>
            <w:tcMar>
              <w:top w:w="100" w:type="dxa"/>
              <w:left w:w="100" w:type="dxa"/>
              <w:bottom w:w="100" w:type="dxa"/>
              <w:right w:w="100" w:type="dxa"/>
            </w:tcMar>
            <w:vAlign w:val="center"/>
          </w:tcPr>
          <w:p w14:paraId="574AB06A" w14:textId="77777777" w:rsidR="00DA7E40" w:rsidRPr="00D800F0" w:rsidRDefault="00DA7E40" w:rsidP="0000614D">
            <w:pPr>
              <w:widowControl w:val="0"/>
              <w:jc w:val="center"/>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5</w:t>
            </w:r>
            <w:r w:rsidRPr="00D800F0">
              <w:rPr>
                <w:rFonts w:ascii="Arial" w:eastAsia="Cambria Math" w:hAnsi="Arial" w:cs="Arial"/>
              </w:rPr>
              <w:fldChar w:fldCharType="end"/>
            </w:r>
            <w:r w:rsidRPr="00D800F0">
              <w:rPr>
                <w:rFonts w:ascii="Arial" w:eastAsia="Cambria Math" w:hAnsi="Arial" w:cs="Arial"/>
              </w:rPr>
              <w:t>)</w:t>
            </w:r>
          </w:p>
        </w:tc>
      </w:tr>
      <w:tr w:rsidR="00DA7E40" w:rsidRPr="00D800F0" w14:paraId="54D6759D" w14:textId="77777777" w:rsidTr="0000614D">
        <w:trPr>
          <w:cantSplit/>
        </w:trPr>
        <w:tc>
          <w:tcPr>
            <w:tcW w:w="8505" w:type="dxa"/>
            <w:shd w:val="clear" w:color="auto" w:fill="auto"/>
            <w:tcMar>
              <w:top w:w="100" w:type="dxa"/>
              <w:left w:w="100" w:type="dxa"/>
              <w:bottom w:w="100" w:type="dxa"/>
              <w:right w:w="100" w:type="dxa"/>
            </w:tcMar>
            <w:vAlign w:val="center"/>
          </w:tcPr>
          <w:p w14:paraId="37261712" w14:textId="77777777" w:rsidR="00DA7E40" w:rsidRPr="00D800F0" w:rsidRDefault="00DA7E40" w:rsidP="0000614D">
            <w:pPr>
              <w:jc w:val="center"/>
              <w:rPr>
                <w:rFonts w:ascii="Arial" w:hAnsi="Arial" w:cs="Arial"/>
                <w:b/>
              </w:rPr>
            </w:pPr>
            <m:oMathPara>
              <m:oMath>
                <m:r>
                  <m:rPr>
                    <m:sty m:val="bi"/>
                  </m:rPr>
                  <w:rPr>
                    <w:rFonts w:ascii="Cambria Math" w:eastAsia="Cambria Math" w:hAnsi="Cambria Math" w:cs="Arial"/>
                  </w:rPr>
                  <m:t>FCI</m:t>
                </m:r>
                <m:d>
                  <m:dPr>
                    <m:ctrlPr>
                      <w:rPr>
                        <w:rFonts w:ascii="Cambria Math" w:eastAsia="Cambria Math" w:hAnsi="Cambria Math" w:cs="Arial"/>
                        <w:b/>
                        <w:bCs/>
                      </w:rPr>
                    </m:ctrlPr>
                  </m:dPr>
                  <m:e>
                    <m:f>
                      <m:fPr>
                        <m:ctrlPr>
                          <w:rPr>
                            <w:rFonts w:ascii="Cambria Math" w:eastAsia="Cambria Math" w:hAnsi="Cambria Math" w:cs="Arial"/>
                            <w:b/>
                            <w:i/>
                          </w:rPr>
                        </m:ctrlPr>
                      </m:fPr>
                      <m:num>
                        <m:r>
                          <m:rPr>
                            <m:sty m:val="bi"/>
                          </m:rPr>
                          <w:rPr>
                            <w:rFonts w:ascii="Cambria Math" w:eastAsia="Cambria Math" w:hAnsi="Cambria Math" w:cs="Arial"/>
                          </w:rPr>
                          <m:t>2</m:t>
                        </m:r>
                        <m:r>
                          <m:rPr>
                            <m:sty m:val="bi"/>
                          </m:rPr>
                          <w:rPr>
                            <w:rFonts w:ascii="Cambria Math" w:eastAsia="Cambria Math" w:hAnsi="Cambria Math" w:cs="Arial"/>
                          </w:rPr>
                          <m:t>C</m:t>
                        </m:r>
                      </m:num>
                      <m:den>
                        <m:r>
                          <m:rPr>
                            <m:sty m:val="bi"/>
                          </m:rPr>
                          <w:rPr>
                            <w:rFonts w:ascii="Cambria Math" w:eastAsia="Cambria Math" w:hAnsi="Cambria Math" w:cs="Arial"/>
                          </w:rPr>
                          <m:t>3</m:t>
                        </m:r>
                      </m:den>
                    </m:f>
                    <m:r>
                      <m:rPr>
                        <m:sty m:val="bi"/>
                      </m:rPr>
                      <w:rPr>
                        <w:rFonts w:ascii="Cambria Math" w:eastAsia="Cambria Math" w:hAnsi="Cambria Math" w:cs="Arial"/>
                      </w:rPr>
                      <m:t>&lt;T ≤ C</m:t>
                    </m:r>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Y</m:t>
                    </m:r>
                  </m:e>
                  <m:sub>
                    <m:r>
                      <m:rPr>
                        <m:sty m:val="bi"/>
                      </m:rPr>
                      <w:rPr>
                        <w:rFonts w:ascii="Cambria Math" w:eastAsia="Cambria Math" w:hAnsi="Cambria Math" w:cs="Arial"/>
                      </w:rPr>
                      <m:t>3</m:t>
                    </m:r>
                  </m:sub>
                </m:sSub>
                <m:r>
                  <m:rPr>
                    <m:sty m:val="bi"/>
                  </m:rPr>
                  <w:rPr>
                    <w:rFonts w:ascii="Cambria Math" w:eastAsia="Cambria Math" w:hAnsi="Cambria Math" w:cs="Arial"/>
                  </w:rPr>
                  <m:t>*</m:t>
                </m:r>
                <m:f>
                  <m:fPr>
                    <m:ctrlPr>
                      <w:rPr>
                        <w:rFonts w:ascii="Cambria Math" w:eastAsia="Cambria Math" w:hAnsi="Cambria Math" w:cs="Arial"/>
                        <w:b/>
                        <w:bCs/>
                      </w:rPr>
                    </m:ctrlPr>
                  </m:fPr>
                  <m:num>
                    <m:r>
                      <m:rPr>
                        <m:sty m:val="bi"/>
                      </m:rPr>
                      <w:rPr>
                        <w:rFonts w:ascii="Cambria Math" w:eastAsia="Cambria Math" w:hAnsi="Cambria Math" w:cs="Arial"/>
                      </w:rPr>
                      <m:t>FC</m:t>
                    </m:r>
                    <m:sSub>
                      <m:sSubPr>
                        <m:ctrlPr>
                          <w:rPr>
                            <w:rFonts w:ascii="Cambria Math" w:eastAsia="Cambria Math" w:hAnsi="Cambria Math" w:cs="Arial"/>
                            <w:b/>
                            <w:bCs/>
                            <w:i/>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num>
                  <m:den>
                    <m:r>
                      <m:rPr>
                        <m:sty m:val="bi"/>
                      </m:rPr>
                      <w:rPr>
                        <w:rFonts w:ascii="Cambria Math" w:eastAsia="Cambria Math" w:hAnsi="Cambria Math" w:cs="Arial"/>
                      </w:rPr>
                      <m:t>12</m:t>
                    </m:r>
                  </m:den>
                </m:f>
              </m:oMath>
            </m:oMathPara>
          </w:p>
        </w:tc>
        <w:tc>
          <w:tcPr>
            <w:tcW w:w="855" w:type="dxa"/>
            <w:shd w:val="clear" w:color="auto" w:fill="auto"/>
            <w:tcMar>
              <w:top w:w="100" w:type="dxa"/>
              <w:left w:w="100" w:type="dxa"/>
              <w:bottom w:w="100" w:type="dxa"/>
              <w:right w:w="100" w:type="dxa"/>
            </w:tcMar>
            <w:vAlign w:val="center"/>
          </w:tcPr>
          <w:p w14:paraId="4B4FF0D2" w14:textId="77777777" w:rsidR="00DA7E40" w:rsidRPr="00D800F0" w:rsidRDefault="00DA7E40" w:rsidP="0000614D">
            <w:pPr>
              <w:widowControl w:val="0"/>
              <w:jc w:val="center"/>
              <w:rPr>
                <w:rFonts w:ascii="Arial" w:hAnsi="Arial" w:cs="Arial"/>
              </w:rPr>
            </w:pPr>
            <w:bookmarkStart w:id="36" w:name="_Ref146930581"/>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6</w:t>
            </w:r>
            <w:r w:rsidRPr="00D800F0">
              <w:rPr>
                <w:rFonts w:ascii="Arial" w:eastAsia="Cambria Math" w:hAnsi="Arial" w:cs="Arial"/>
              </w:rPr>
              <w:fldChar w:fldCharType="end"/>
            </w:r>
            <w:r w:rsidRPr="00D800F0">
              <w:rPr>
                <w:rFonts w:ascii="Arial" w:eastAsia="Cambria Math" w:hAnsi="Arial" w:cs="Arial"/>
              </w:rPr>
              <w:t>)</w:t>
            </w:r>
            <w:bookmarkEnd w:id="36"/>
          </w:p>
        </w:tc>
      </w:tr>
    </w:tbl>
    <w:p w14:paraId="426AF342" w14:textId="77777777" w:rsidR="00DA7E40" w:rsidRPr="00D800F0" w:rsidRDefault="00DA7E40" w:rsidP="00DA7E40">
      <w:pPr>
        <w:rPr>
          <w:rFonts w:ascii="Arial" w:hAnsi="Arial" w:cs="Arial"/>
        </w:rPr>
      </w:pPr>
      <w:r w:rsidRPr="00D800F0">
        <w:rPr>
          <w:rFonts w:ascii="Arial" w:hAnsi="Arial" w:cs="Arial"/>
        </w:rPr>
        <w:t xml:space="preserve"> </w:t>
      </w:r>
      <m:oMath>
        <m:r>
          <m:rPr>
            <m:sty m:val="bi"/>
          </m:rPr>
          <w:rPr>
            <w:rFonts w:ascii="Cambria Math" w:eastAsia="Cambria Math" w:hAnsi="Cambria Math" w:cs="Arial"/>
          </w:rPr>
          <m:t>Land</m:t>
        </m:r>
        <m:d>
          <m:dPr>
            <m:ctrlPr>
              <w:rPr>
                <w:rFonts w:ascii="Cambria Math" w:eastAsia="Cambria Math" w:hAnsi="Cambria Math" w:cs="Arial"/>
                <w:b/>
                <w:bCs/>
              </w:rPr>
            </m:ctrlPr>
          </m:dPr>
          <m:e>
            <m:r>
              <m:rPr>
                <m:sty m:val="bi"/>
              </m:rPr>
              <w:rPr>
                <w:rFonts w:ascii="Cambria Math" w:eastAsia="Cambria Math" w:hAnsi="Cambria Math" w:cs="Arial"/>
              </w:rPr>
              <m:t>T</m:t>
            </m:r>
          </m:e>
        </m:d>
      </m:oMath>
      <w:r w:rsidRPr="00D800F0">
        <w:rPr>
          <w:rFonts w:ascii="Arial" w:hAnsi="Arial" w:cs="Arial"/>
        </w:rPr>
        <w:t xml:space="preserve"> and </w:t>
      </w:r>
      <m:oMath>
        <m:r>
          <m:rPr>
            <m:sty m:val="bi"/>
          </m:rPr>
          <w:rPr>
            <w:rFonts w:ascii="Cambria Math" w:eastAsia="Cambria Math" w:hAnsi="Cambria Math" w:cs="Arial"/>
          </w:rPr>
          <m:t>WC</m:t>
        </m:r>
        <m:d>
          <m:dPr>
            <m:ctrlPr>
              <w:rPr>
                <w:rFonts w:ascii="Cambria Math" w:eastAsia="Cambria Math" w:hAnsi="Cambria Math" w:cs="Arial"/>
                <w:b/>
                <w:bCs/>
              </w:rPr>
            </m:ctrlPr>
          </m:dPr>
          <m:e>
            <m:r>
              <m:rPr>
                <m:sty m:val="bi"/>
              </m:rPr>
              <w:rPr>
                <w:rFonts w:ascii="Cambria Math" w:eastAsia="Cambria Math" w:hAnsi="Cambria Math" w:cs="Arial"/>
              </w:rPr>
              <m:t>T</m:t>
            </m:r>
          </m:e>
        </m:d>
      </m:oMath>
      <w:r w:rsidRPr="00D800F0">
        <w:rPr>
          <w:rFonts w:ascii="Arial" w:hAnsi="Arial" w:cs="Arial"/>
        </w:rPr>
        <w:t xml:space="preserve"> are the costs of purchasing land and injecting working capital to begin operation.</w:t>
      </w:r>
    </w:p>
    <w:tbl>
      <w:tblPr>
        <w:tblW w:w="9360" w:type="dxa"/>
        <w:tblLayout w:type="fixed"/>
        <w:tblLook w:val="0600" w:firstRow="0" w:lastRow="0" w:firstColumn="0" w:lastColumn="0" w:noHBand="1" w:noVBand="1"/>
      </w:tblPr>
      <w:tblGrid>
        <w:gridCol w:w="8505"/>
        <w:gridCol w:w="855"/>
      </w:tblGrid>
      <w:tr w:rsidR="00DA7E40" w:rsidRPr="00D800F0" w14:paraId="4B835404" w14:textId="77777777" w:rsidTr="0000614D">
        <w:trPr>
          <w:cantSplit/>
          <w:trHeight w:val="467"/>
        </w:trPr>
        <w:tc>
          <w:tcPr>
            <w:tcW w:w="8505" w:type="dxa"/>
            <w:shd w:val="clear" w:color="auto" w:fill="auto"/>
            <w:tcMar>
              <w:top w:w="100" w:type="dxa"/>
              <w:left w:w="100" w:type="dxa"/>
              <w:bottom w:w="100" w:type="dxa"/>
              <w:right w:w="100" w:type="dxa"/>
            </w:tcMar>
          </w:tcPr>
          <w:p w14:paraId="1C03020C"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Land</m:t>
                </m:r>
                <m:d>
                  <m:dPr>
                    <m:ctrlPr>
                      <w:rPr>
                        <w:rFonts w:ascii="Cambria Math" w:eastAsia="Cambria Math" w:hAnsi="Cambria Math" w:cs="Arial"/>
                        <w:b/>
                        <w:bCs/>
                      </w:rPr>
                    </m:ctrlPr>
                  </m:dPr>
                  <m:e>
                    <m:r>
                      <m:rPr>
                        <m:sty m:val="bi"/>
                      </m:rPr>
                      <w:rPr>
                        <w:rFonts w:ascii="Cambria Math" w:eastAsia="Cambria Math" w:hAnsi="Cambria Math" w:cs="Arial"/>
                      </w:rPr>
                      <m:t>T=S</m:t>
                    </m:r>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land</m:t>
                    </m:r>
                  </m:sub>
                </m:sSub>
                <m:r>
                  <m:rPr>
                    <m:sty m:val="bi"/>
                  </m:rPr>
                  <w:rPr>
                    <w:rFonts w:ascii="Cambria Math" w:eastAsia="Cambria Math" w:hAnsi="Cambria Math" w:cs="Arial"/>
                  </w:rPr>
                  <m:t> ,Land</m:t>
                </m:r>
                <m:d>
                  <m:dPr>
                    <m:ctrlPr>
                      <w:rPr>
                        <w:rFonts w:ascii="Cambria Math" w:eastAsia="Cambria Math" w:hAnsi="Cambria Math" w:cs="Arial"/>
                        <w:b/>
                        <w:bCs/>
                      </w:rPr>
                    </m:ctrlPr>
                  </m:dPr>
                  <m:e>
                    <m:r>
                      <m:rPr>
                        <m:sty m:val="bi"/>
                      </m:rPr>
                      <w:rPr>
                        <w:rFonts w:ascii="Cambria Math" w:eastAsia="Cambria Math" w:hAnsi="Cambria Math" w:cs="Arial"/>
                      </w:rPr>
                      <m:t>T=S+C+L</m:t>
                    </m:r>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land</m:t>
                    </m:r>
                  </m:sub>
                </m:sSub>
              </m:oMath>
            </m:oMathPara>
          </w:p>
        </w:tc>
        <w:tc>
          <w:tcPr>
            <w:tcW w:w="855" w:type="dxa"/>
            <w:shd w:val="clear" w:color="auto" w:fill="auto"/>
            <w:tcMar>
              <w:top w:w="100" w:type="dxa"/>
              <w:left w:w="100" w:type="dxa"/>
              <w:bottom w:w="100" w:type="dxa"/>
              <w:right w:w="100" w:type="dxa"/>
            </w:tcMar>
          </w:tcPr>
          <w:p w14:paraId="3A723C62" w14:textId="77777777" w:rsidR="00DA7E40" w:rsidRPr="00D800F0" w:rsidRDefault="00DA7E40" w:rsidP="0000614D">
            <w:pPr>
              <w:widowControl w:val="0"/>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7</w:t>
            </w:r>
            <w:r w:rsidRPr="00D800F0">
              <w:rPr>
                <w:rFonts w:ascii="Arial" w:eastAsia="Cambria Math" w:hAnsi="Arial" w:cs="Arial"/>
              </w:rPr>
              <w:fldChar w:fldCharType="end"/>
            </w:r>
            <w:r w:rsidRPr="00D800F0">
              <w:rPr>
                <w:rFonts w:ascii="Arial" w:eastAsia="Cambria Math" w:hAnsi="Arial" w:cs="Arial"/>
              </w:rPr>
              <w:t>)</w:t>
            </w:r>
          </w:p>
        </w:tc>
      </w:tr>
      <w:tr w:rsidR="00DA7E40" w:rsidRPr="00D800F0" w14:paraId="63F73AF4" w14:textId="77777777" w:rsidTr="0000614D">
        <w:trPr>
          <w:cantSplit/>
          <w:trHeight w:val="359"/>
        </w:trPr>
        <w:tc>
          <w:tcPr>
            <w:tcW w:w="8505" w:type="dxa"/>
            <w:shd w:val="clear" w:color="auto" w:fill="auto"/>
            <w:tcMar>
              <w:top w:w="100" w:type="dxa"/>
              <w:left w:w="100" w:type="dxa"/>
              <w:bottom w:w="100" w:type="dxa"/>
              <w:right w:w="100" w:type="dxa"/>
            </w:tcMar>
          </w:tcPr>
          <w:p w14:paraId="083B042F"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WC</m:t>
                </m:r>
                <m:d>
                  <m:dPr>
                    <m:ctrlPr>
                      <w:rPr>
                        <w:rFonts w:ascii="Cambria Math" w:eastAsia="Cambria Math" w:hAnsi="Cambria Math" w:cs="Arial"/>
                        <w:b/>
                        <w:bCs/>
                      </w:rPr>
                    </m:ctrlPr>
                  </m:dPr>
                  <m:e>
                    <m:r>
                      <m:rPr>
                        <m:sty m:val="bi"/>
                      </m:rPr>
                      <w:rPr>
                        <w:rFonts w:ascii="Cambria Math" w:eastAsia="Cambria Math" w:hAnsi="Cambria Math" w:cs="Arial"/>
                      </w:rPr>
                      <m:t>T=S+C</m:t>
                    </m:r>
                  </m:e>
                </m:d>
                <m:r>
                  <m:rPr>
                    <m:sty m:val="bi"/>
                  </m:rPr>
                  <w:rPr>
                    <w:rFonts w:ascii="Cambria Math" w:eastAsia="Cambria Math" w:hAnsi="Cambria Math" w:cs="Arial"/>
                  </w:rPr>
                  <m:t>=-W</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r>
                  <m:rPr>
                    <m:sty m:val="bi"/>
                  </m:rPr>
                  <w:rPr>
                    <w:rFonts w:ascii="Cambria Math" w:eastAsia="Cambria Math" w:hAnsi="Cambria Math" w:cs="Arial"/>
                  </w:rPr>
                  <m:t>, WC</m:t>
                </m:r>
                <m:d>
                  <m:dPr>
                    <m:ctrlPr>
                      <w:rPr>
                        <w:rFonts w:ascii="Cambria Math" w:eastAsia="Cambria Math" w:hAnsi="Cambria Math" w:cs="Arial"/>
                        <w:b/>
                        <w:bCs/>
                      </w:rPr>
                    </m:ctrlPr>
                  </m:dPr>
                  <m:e>
                    <m:r>
                      <m:rPr>
                        <m:sty m:val="bi"/>
                      </m:rPr>
                      <w:rPr>
                        <w:rFonts w:ascii="Cambria Math" w:eastAsia="Cambria Math" w:hAnsi="Cambria Math" w:cs="Arial"/>
                      </w:rPr>
                      <m:t>T=S+C+L</m:t>
                    </m:r>
                  </m:e>
                </m:d>
                <m:r>
                  <m:rPr>
                    <m:sty m:val="bi"/>
                  </m:rPr>
                  <w:rPr>
                    <w:rFonts w:ascii="Cambria Math" w:eastAsia="Cambria Math" w:hAnsi="Cambria Math" w:cs="Arial"/>
                  </w:rPr>
                  <m:t>=W</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m:oMathPara>
          </w:p>
        </w:tc>
        <w:tc>
          <w:tcPr>
            <w:tcW w:w="855" w:type="dxa"/>
            <w:shd w:val="clear" w:color="auto" w:fill="auto"/>
            <w:tcMar>
              <w:top w:w="100" w:type="dxa"/>
              <w:left w:w="100" w:type="dxa"/>
              <w:bottom w:w="100" w:type="dxa"/>
              <w:right w:w="100" w:type="dxa"/>
            </w:tcMar>
          </w:tcPr>
          <w:p w14:paraId="5B1C33AC" w14:textId="77777777" w:rsidR="00DA7E40" w:rsidRPr="00D800F0" w:rsidRDefault="00DA7E40" w:rsidP="0000614D">
            <w:pPr>
              <w:widowControl w:val="0"/>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8</w:t>
            </w:r>
            <w:r w:rsidRPr="00D800F0">
              <w:rPr>
                <w:rFonts w:ascii="Arial" w:eastAsia="Cambria Math" w:hAnsi="Arial" w:cs="Arial"/>
              </w:rPr>
              <w:fldChar w:fldCharType="end"/>
            </w:r>
            <w:r w:rsidRPr="00D800F0">
              <w:rPr>
                <w:rFonts w:ascii="Arial" w:eastAsia="Cambria Math" w:hAnsi="Arial" w:cs="Arial"/>
              </w:rPr>
              <w:t>)</w:t>
            </w:r>
          </w:p>
        </w:tc>
      </w:tr>
    </w:tbl>
    <w:p w14:paraId="1E9D8AF1" w14:textId="1DDF5A72" w:rsidR="00DA7E40" w:rsidRPr="00D800F0" w:rsidRDefault="00DA7E40" w:rsidP="00DA7E40">
      <w:pPr>
        <w:rPr>
          <w:rFonts w:ascii="Arial" w:hAnsi="Arial" w:cs="Arial"/>
        </w:rPr>
      </w:pPr>
      <w:r w:rsidRPr="00D800F0">
        <w:rPr>
          <w:rFonts w:ascii="Arial" w:hAnsi="Arial" w:cs="Arial"/>
        </w:rPr>
        <w:tab/>
        <w:t xml:space="preserve">Equations </w:t>
      </w:r>
      <w:r w:rsidRPr="00D800F0">
        <w:rPr>
          <w:rFonts w:ascii="Arial" w:hAnsi="Arial" w:cs="Arial"/>
        </w:rPr>
        <w:fldChar w:fldCharType="begin"/>
      </w:r>
      <w:r w:rsidRPr="00D800F0">
        <w:rPr>
          <w:rFonts w:ascii="Arial" w:hAnsi="Arial" w:cs="Arial"/>
        </w:rPr>
        <w:instrText xml:space="preserve"> REF _Ref146930730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eastAsia="Cambria Math" w:hAnsi="Arial" w:cs="Arial"/>
        </w:rPr>
        <w:t>(</w:t>
      </w:r>
      <w:r w:rsidRPr="00D800F0">
        <w:rPr>
          <w:rFonts w:ascii="Arial" w:eastAsia="Cambria Math" w:hAnsi="Arial" w:cs="Arial"/>
          <w:noProof/>
        </w:rPr>
        <w:t>C</w:t>
      </w:r>
      <w:r w:rsidRPr="00D800F0">
        <w:rPr>
          <w:rFonts w:ascii="Arial" w:eastAsia="Cambria Math" w:hAnsi="Arial" w:cs="Arial"/>
        </w:rPr>
        <w:t>.</w:t>
      </w:r>
      <w:r w:rsidRPr="00D800F0">
        <w:rPr>
          <w:rFonts w:ascii="Arial" w:eastAsia="Cambria Math" w:hAnsi="Arial" w:cs="Arial"/>
          <w:noProof/>
        </w:rPr>
        <w:t>9</w:t>
      </w:r>
      <w:r w:rsidRPr="00D800F0">
        <w:rPr>
          <w:rFonts w:ascii="Arial" w:eastAsia="Cambria Math" w:hAnsi="Arial" w:cs="Arial"/>
        </w:rPr>
        <w:t>)</w:t>
      </w:r>
      <w:r w:rsidRPr="00D800F0">
        <w:rPr>
          <w:rFonts w:ascii="Arial" w:hAnsi="Arial" w:cs="Arial"/>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REF _Ref146930771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eastAsia="Cambria Math" w:hAnsi="Arial" w:cs="Arial"/>
        </w:rPr>
        <w:t>(</w:t>
      </w:r>
      <w:r w:rsidRPr="00D800F0">
        <w:rPr>
          <w:rFonts w:ascii="Arial" w:eastAsia="Cambria Math" w:hAnsi="Arial" w:cs="Arial"/>
          <w:noProof/>
        </w:rPr>
        <w:t>C</w:t>
      </w:r>
      <w:r w:rsidRPr="00D800F0">
        <w:rPr>
          <w:rFonts w:ascii="Arial" w:eastAsia="Cambria Math" w:hAnsi="Arial" w:cs="Arial"/>
        </w:rPr>
        <w:t>.</w:t>
      </w:r>
      <w:r w:rsidRPr="00D800F0">
        <w:rPr>
          <w:rFonts w:ascii="Arial" w:eastAsia="Cambria Math" w:hAnsi="Arial" w:cs="Arial"/>
          <w:noProof/>
        </w:rPr>
        <w:t>11</w:t>
      </w:r>
      <w:r w:rsidRPr="00D800F0">
        <w:rPr>
          <w:rFonts w:ascii="Arial" w:eastAsia="Cambria Math" w:hAnsi="Arial" w:cs="Arial"/>
        </w:rPr>
        <w:t>)</w:t>
      </w:r>
      <w:r w:rsidRPr="00D800F0">
        <w:rPr>
          <w:rFonts w:ascii="Arial" w:hAnsi="Arial" w:cs="Arial"/>
        </w:rPr>
        <w:fldChar w:fldCharType="end"/>
      </w:r>
      <w:r w:rsidRPr="00D800F0">
        <w:rPr>
          <w:rFonts w:ascii="Arial" w:hAnsi="Arial" w:cs="Arial"/>
        </w:rPr>
        <w:t xml:space="preserve"> represent increasing interest payments as the amount of borrowed capital increases throughout the construction period and </w:t>
      </w:r>
      <w:r w:rsidRPr="00D800F0">
        <w:rPr>
          <w:rFonts w:ascii="Arial" w:hAnsi="Arial" w:cs="Arial"/>
        </w:rPr>
        <w:fldChar w:fldCharType="begin"/>
      </w:r>
      <w:r w:rsidRPr="00D800F0">
        <w:rPr>
          <w:rFonts w:ascii="Arial" w:hAnsi="Arial" w:cs="Arial"/>
        </w:rPr>
        <w:instrText xml:space="preserve"> REF _Ref146930736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eastAsia="Cambria Math" w:hAnsi="Arial" w:cs="Arial"/>
        </w:rPr>
        <w:t>(</w:t>
      </w:r>
      <w:r w:rsidRPr="00D800F0">
        <w:rPr>
          <w:rFonts w:ascii="Arial" w:eastAsia="Cambria Math" w:hAnsi="Arial" w:cs="Arial"/>
          <w:noProof/>
        </w:rPr>
        <w:t>C</w:t>
      </w:r>
      <w:r w:rsidRPr="00D800F0">
        <w:rPr>
          <w:rFonts w:ascii="Arial" w:eastAsia="Cambria Math" w:hAnsi="Arial" w:cs="Arial"/>
        </w:rPr>
        <w:t>.</w:t>
      </w:r>
      <w:r w:rsidRPr="00D800F0">
        <w:rPr>
          <w:rFonts w:ascii="Arial" w:eastAsia="Cambria Math" w:hAnsi="Arial" w:cs="Arial"/>
          <w:noProof/>
        </w:rPr>
        <w:t>12</w:t>
      </w:r>
      <w:r w:rsidRPr="00D800F0">
        <w:rPr>
          <w:rFonts w:ascii="Arial" w:eastAsia="Cambria Math" w:hAnsi="Arial" w:cs="Arial"/>
        </w:rPr>
        <w:t>)</w:t>
      </w:r>
      <w:r w:rsidRPr="00D800F0">
        <w:rPr>
          <w:rFonts w:ascii="Arial" w:hAnsi="Arial" w:cs="Arial"/>
        </w:rPr>
        <w:fldChar w:fldCharType="end"/>
      </w:r>
      <w:r w:rsidRPr="00D800F0">
        <w:rPr>
          <w:rFonts w:ascii="Arial" w:hAnsi="Arial" w:cs="Arial"/>
        </w:rPr>
        <w:t xml:space="preserve"> the constant payments to pay off the loan. </w:t>
      </w:r>
    </w:p>
    <w:tbl>
      <w:tblPr>
        <w:tblW w:w="9360" w:type="dxa"/>
        <w:tblLayout w:type="fixed"/>
        <w:tblLook w:val="0600" w:firstRow="0" w:lastRow="0" w:firstColumn="0" w:lastColumn="0" w:noHBand="1" w:noVBand="1"/>
      </w:tblPr>
      <w:tblGrid>
        <w:gridCol w:w="8505"/>
        <w:gridCol w:w="855"/>
      </w:tblGrid>
      <w:tr w:rsidR="00DA7E40" w:rsidRPr="00D800F0" w14:paraId="526A3923" w14:textId="77777777" w:rsidTr="0000614D">
        <w:trPr>
          <w:cantSplit/>
        </w:trPr>
        <w:tc>
          <w:tcPr>
            <w:tcW w:w="8505" w:type="dxa"/>
            <w:shd w:val="clear" w:color="auto" w:fill="auto"/>
            <w:tcMar>
              <w:top w:w="100" w:type="dxa"/>
              <w:left w:w="100" w:type="dxa"/>
              <w:bottom w:w="100" w:type="dxa"/>
              <w:right w:w="100" w:type="dxa"/>
            </w:tcMar>
            <w:vAlign w:val="center"/>
          </w:tcPr>
          <w:p w14:paraId="1CE81366"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PMT</m:t>
                </m:r>
                <m:d>
                  <m:dPr>
                    <m:ctrlPr>
                      <w:rPr>
                        <w:rFonts w:ascii="Cambria Math" w:eastAsia="Cambria Math" w:hAnsi="Cambria Math" w:cs="Arial"/>
                        <w:b/>
                        <w:bCs/>
                      </w:rPr>
                    </m:ctrlPr>
                  </m:dPr>
                  <m:e>
                    <m:r>
                      <m:rPr>
                        <m:sty m:val="bi"/>
                      </m:rPr>
                      <w:rPr>
                        <w:rFonts w:ascii="Cambria Math" w:eastAsia="Cambria Math" w:hAnsi="Cambria Math" w:cs="Arial"/>
                      </w:rPr>
                      <m:t>S&lt;T≤S+</m:t>
                    </m:r>
                    <m:f>
                      <m:fPr>
                        <m:ctrlPr>
                          <w:rPr>
                            <w:rFonts w:ascii="Cambria Math" w:eastAsia="Cambria Math" w:hAnsi="Cambria Math" w:cs="Arial"/>
                            <w:b/>
                            <w:i/>
                          </w:rPr>
                        </m:ctrlPr>
                      </m:fPr>
                      <m:num>
                        <m:r>
                          <m:rPr>
                            <m:sty m:val="bi"/>
                          </m:rPr>
                          <w:rPr>
                            <w:rFonts w:ascii="Cambria Math" w:eastAsia="Cambria Math" w:hAnsi="Cambria Math" w:cs="Arial"/>
                          </w:rPr>
                          <m:t>C</m:t>
                        </m:r>
                      </m:num>
                      <m:den>
                        <m:r>
                          <m:rPr>
                            <m:sty m:val="bi"/>
                          </m:rPr>
                          <w:rPr>
                            <w:rFonts w:ascii="Cambria Math" w:eastAsia="Cambria Math" w:hAnsi="Cambria Math" w:cs="Arial"/>
                          </w:rPr>
                          <m:t>3</m:t>
                        </m:r>
                      </m:den>
                    </m:f>
                  </m:e>
                </m:d>
                <m:r>
                  <m:rPr>
                    <m:sty m:val="bi"/>
                  </m:rPr>
                  <w:rPr>
                    <w:rFonts w:ascii="Cambria Math" w:eastAsia="Cambria Math" w:hAnsi="Cambria Math" w:cs="Arial"/>
                  </w:rPr>
                  <m:t>=-</m:t>
                </m:r>
                <m:d>
                  <m:dPr>
                    <m:ctrlPr>
                      <w:rPr>
                        <w:rFonts w:ascii="Cambria Math" w:eastAsia="Cambria Math" w:hAnsi="Cambria Math" w:cs="Arial"/>
                        <w:b/>
                        <w:bCs/>
                      </w:rPr>
                    </m:ctrlPr>
                  </m:dPr>
                  <m:e>
                    <m:f>
                      <m:fPr>
                        <m:ctrlPr>
                          <w:rPr>
                            <w:rFonts w:ascii="Cambria Math" w:eastAsia="Cambria Math" w:hAnsi="Cambria Math" w:cs="Arial"/>
                            <w:b/>
                            <w:bCs/>
                          </w:rPr>
                        </m:ctrlPr>
                      </m:fPr>
                      <m:num>
                        <m:r>
                          <m:rPr>
                            <m:sty m:val="bi"/>
                          </m:rPr>
                          <w:rPr>
                            <w:rFonts w:ascii="Cambria Math" w:eastAsia="Cambria Math" w:hAnsi="Cambria Math" w:cs="Arial"/>
                          </w:rPr>
                          <m:t>r</m:t>
                        </m:r>
                      </m:num>
                      <m:den>
                        <m:r>
                          <m:rPr>
                            <m:sty m:val="bi"/>
                          </m:rPr>
                          <w:rPr>
                            <w:rFonts w:ascii="Cambria Math" w:eastAsia="Cambria Math" w:hAnsi="Cambria Math" w:cs="Arial"/>
                          </w:rPr>
                          <m:t>12</m:t>
                        </m:r>
                      </m:den>
                    </m:f>
                  </m:e>
                </m:d>
                <m:r>
                  <m:rPr>
                    <m:sty m:val="bi"/>
                  </m:rPr>
                  <w:rPr>
                    <w:rFonts w:ascii="Cambria Math" w:eastAsia="Cambria Math" w:hAnsi="Cambria Math" w:cs="Arial"/>
                  </w:rPr>
                  <m:t>*T*</m:t>
                </m:r>
                <m:d>
                  <m:dPr>
                    <m:ctrlPr>
                      <w:rPr>
                        <w:rFonts w:ascii="Cambria Math" w:eastAsia="Cambria Math" w:hAnsi="Cambria Math" w:cs="Arial"/>
                        <w:b/>
                        <w:bCs/>
                      </w:rPr>
                    </m:ctrlPr>
                  </m:dPr>
                  <m:e>
                    <m:r>
                      <m:rPr>
                        <m:sty m:val="bi"/>
                      </m:rPr>
                      <w:rPr>
                        <w:rFonts w:ascii="Cambria Math" w:eastAsia="Cambria Math" w:hAnsi="Cambria Math" w:cs="Arial"/>
                      </w:rPr>
                      <m:t>1-e</m:t>
                    </m:r>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Y</m:t>
                    </m:r>
                  </m:e>
                  <m:sub>
                    <m:r>
                      <m:rPr>
                        <m:sty m:val="bi"/>
                      </m:rPr>
                      <w:rPr>
                        <w:rFonts w:ascii="Cambria Math" w:eastAsia="Cambria Math" w:hAnsi="Cambria Math" w:cs="Arial"/>
                      </w:rPr>
                      <m:t>1</m:t>
                    </m:r>
                  </m:sub>
                </m:sSub>
                <m:r>
                  <m:rPr>
                    <m:sty m:val="bi"/>
                  </m:rPr>
                  <w:rPr>
                    <w:rFonts w:ascii="Cambria Math" w:eastAsia="Cambria Math" w:hAnsi="Cambria Math" w:cs="Arial"/>
                  </w:rPr>
                  <m:t>*</m:t>
                </m:r>
                <m:f>
                  <m:fPr>
                    <m:ctrlPr>
                      <w:rPr>
                        <w:rFonts w:ascii="Cambria Math" w:eastAsia="Cambria Math" w:hAnsi="Cambria Math" w:cs="Arial"/>
                        <w:b/>
                        <w:bCs/>
                      </w:rPr>
                    </m:ctrlPr>
                  </m:fPr>
                  <m:num>
                    <m:r>
                      <m:rPr>
                        <m:sty m:val="bi"/>
                      </m:rPr>
                      <w:rPr>
                        <w:rFonts w:ascii="Cambria Math" w:eastAsia="Cambria Math" w:hAnsi="Cambria Math" w:cs="Arial"/>
                      </w:rPr>
                      <m:t>FC</m:t>
                    </m:r>
                    <m:sSub>
                      <m:sSubPr>
                        <m:ctrlPr>
                          <w:rPr>
                            <w:rFonts w:ascii="Cambria Math" w:eastAsia="Cambria Math" w:hAnsi="Cambria Math" w:cs="Arial"/>
                            <w:b/>
                            <w:bCs/>
                            <w:i/>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num>
                  <m:den>
                    <m:r>
                      <m:rPr>
                        <m:sty m:val="bi"/>
                      </m:rPr>
                      <w:rPr>
                        <w:rFonts w:ascii="Cambria Math" w:eastAsia="Cambria Math" w:hAnsi="Cambria Math" w:cs="Arial"/>
                      </w:rPr>
                      <m:t>12</m:t>
                    </m:r>
                  </m:den>
                </m:f>
              </m:oMath>
            </m:oMathPara>
          </w:p>
        </w:tc>
        <w:tc>
          <w:tcPr>
            <w:tcW w:w="855" w:type="dxa"/>
            <w:shd w:val="clear" w:color="auto" w:fill="auto"/>
            <w:tcMar>
              <w:top w:w="100" w:type="dxa"/>
              <w:left w:w="100" w:type="dxa"/>
              <w:bottom w:w="100" w:type="dxa"/>
              <w:right w:w="100" w:type="dxa"/>
            </w:tcMar>
            <w:vAlign w:val="center"/>
          </w:tcPr>
          <w:p w14:paraId="0E3CED59" w14:textId="77777777" w:rsidR="00DA7E40" w:rsidRPr="00D800F0" w:rsidRDefault="00DA7E40" w:rsidP="0000614D">
            <w:pPr>
              <w:widowControl w:val="0"/>
              <w:jc w:val="center"/>
              <w:rPr>
                <w:rFonts w:ascii="Arial" w:hAnsi="Arial" w:cs="Arial"/>
              </w:rPr>
            </w:pPr>
            <w:bookmarkStart w:id="37" w:name="_Ref146930730"/>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9</w:t>
            </w:r>
            <w:r w:rsidRPr="00D800F0">
              <w:rPr>
                <w:rFonts w:ascii="Arial" w:eastAsia="Cambria Math" w:hAnsi="Arial" w:cs="Arial"/>
              </w:rPr>
              <w:fldChar w:fldCharType="end"/>
            </w:r>
            <w:r w:rsidRPr="00D800F0">
              <w:rPr>
                <w:rFonts w:ascii="Arial" w:eastAsia="Cambria Math" w:hAnsi="Arial" w:cs="Arial"/>
              </w:rPr>
              <w:t>)</w:t>
            </w:r>
            <w:bookmarkEnd w:id="37"/>
          </w:p>
        </w:tc>
      </w:tr>
      <w:tr w:rsidR="00DA7E40" w:rsidRPr="00D800F0" w14:paraId="7D96B6A7" w14:textId="77777777" w:rsidTr="0000614D">
        <w:trPr>
          <w:cantSplit/>
        </w:trPr>
        <w:tc>
          <w:tcPr>
            <w:tcW w:w="8505" w:type="dxa"/>
            <w:shd w:val="clear" w:color="auto" w:fill="auto"/>
            <w:tcMar>
              <w:top w:w="100" w:type="dxa"/>
              <w:left w:w="100" w:type="dxa"/>
              <w:bottom w:w="100" w:type="dxa"/>
              <w:right w:w="100" w:type="dxa"/>
            </w:tcMar>
            <w:vAlign w:val="center"/>
          </w:tcPr>
          <w:p w14:paraId="501ECA55" w14:textId="77777777" w:rsidR="00DA7E40" w:rsidRPr="00D800F0" w:rsidRDefault="00DA7E40" w:rsidP="0000614D">
            <w:pPr>
              <w:jc w:val="center"/>
              <w:rPr>
                <w:rFonts w:ascii="Arial" w:hAnsi="Arial" w:cs="Arial"/>
                <w:b/>
                <w:sz w:val="18"/>
                <w:szCs w:val="18"/>
              </w:rPr>
            </w:pPr>
            <m:oMathPara>
              <m:oMath>
                <m:r>
                  <m:rPr>
                    <m:sty m:val="bi"/>
                  </m:rPr>
                  <w:rPr>
                    <w:rFonts w:ascii="Cambria Math" w:eastAsia="Cambria Math" w:hAnsi="Cambria Math" w:cs="Arial"/>
                    <w:sz w:val="18"/>
                    <w:szCs w:val="18"/>
                  </w:rPr>
                  <w:lastRenderedPageBreak/>
                  <m:t>PMT</m:t>
                </m:r>
                <m:d>
                  <m:dPr>
                    <m:ctrlPr>
                      <w:rPr>
                        <w:rFonts w:ascii="Cambria Math" w:eastAsia="Cambria Math" w:hAnsi="Cambria Math" w:cs="Arial"/>
                        <w:b/>
                        <w:bCs/>
                        <w:sz w:val="18"/>
                        <w:szCs w:val="18"/>
                      </w:rPr>
                    </m:ctrlPr>
                  </m:dPr>
                  <m:e>
                    <m:r>
                      <m:rPr>
                        <m:sty m:val="bi"/>
                      </m:rPr>
                      <w:rPr>
                        <w:rFonts w:ascii="Cambria Math" w:eastAsia="Cambria Math" w:hAnsi="Cambria Math" w:cs="Arial"/>
                        <w:sz w:val="18"/>
                        <w:szCs w:val="18"/>
                      </w:rPr>
                      <m:t>S+</m:t>
                    </m:r>
                    <m:f>
                      <m:fPr>
                        <m:ctrlPr>
                          <w:rPr>
                            <w:rFonts w:ascii="Cambria Math" w:eastAsia="Cambria Math" w:hAnsi="Cambria Math" w:cs="Arial"/>
                            <w:b/>
                            <w:i/>
                            <w:sz w:val="18"/>
                            <w:szCs w:val="18"/>
                          </w:rPr>
                        </m:ctrlPr>
                      </m:fPr>
                      <m:num>
                        <m:r>
                          <m:rPr>
                            <m:sty m:val="bi"/>
                          </m:rPr>
                          <w:rPr>
                            <w:rFonts w:ascii="Cambria Math" w:eastAsia="Cambria Math" w:hAnsi="Cambria Math" w:cs="Arial"/>
                            <w:sz w:val="18"/>
                            <w:szCs w:val="18"/>
                          </w:rPr>
                          <m:t>C</m:t>
                        </m:r>
                      </m:num>
                      <m:den>
                        <m:r>
                          <m:rPr>
                            <m:sty m:val="bi"/>
                          </m:rPr>
                          <w:rPr>
                            <w:rFonts w:ascii="Cambria Math" w:eastAsia="Cambria Math" w:hAnsi="Cambria Math" w:cs="Arial"/>
                            <w:sz w:val="18"/>
                            <w:szCs w:val="18"/>
                          </w:rPr>
                          <m:t>3</m:t>
                        </m:r>
                      </m:den>
                    </m:f>
                    <m:r>
                      <m:rPr>
                        <m:sty m:val="bi"/>
                      </m:rPr>
                      <w:rPr>
                        <w:rFonts w:ascii="Cambria Math" w:eastAsia="Cambria Math" w:hAnsi="Cambria Math" w:cs="Arial"/>
                        <w:sz w:val="18"/>
                        <w:szCs w:val="18"/>
                      </w:rPr>
                      <m:t>&lt;T≤S+</m:t>
                    </m:r>
                    <m:f>
                      <m:fPr>
                        <m:ctrlPr>
                          <w:rPr>
                            <w:rFonts w:ascii="Cambria Math" w:eastAsia="Cambria Math" w:hAnsi="Cambria Math" w:cs="Arial"/>
                            <w:b/>
                            <w:i/>
                            <w:sz w:val="18"/>
                            <w:szCs w:val="18"/>
                          </w:rPr>
                        </m:ctrlPr>
                      </m:fPr>
                      <m:num>
                        <m:r>
                          <m:rPr>
                            <m:sty m:val="bi"/>
                          </m:rPr>
                          <w:rPr>
                            <w:rFonts w:ascii="Cambria Math" w:eastAsia="Cambria Math" w:hAnsi="Cambria Math" w:cs="Arial"/>
                            <w:sz w:val="18"/>
                            <w:szCs w:val="18"/>
                          </w:rPr>
                          <m:t>2</m:t>
                        </m:r>
                        <m:r>
                          <m:rPr>
                            <m:sty m:val="bi"/>
                          </m:rPr>
                          <w:rPr>
                            <w:rFonts w:ascii="Cambria Math" w:eastAsia="Cambria Math" w:hAnsi="Cambria Math" w:cs="Arial"/>
                            <w:sz w:val="18"/>
                            <w:szCs w:val="18"/>
                          </w:rPr>
                          <m:t>C</m:t>
                        </m:r>
                      </m:num>
                      <m:den>
                        <m:r>
                          <m:rPr>
                            <m:sty m:val="bi"/>
                          </m:rPr>
                          <w:rPr>
                            <w:rFonts w:ascii="Cambria Math" w:eastAsia="Cambria Math" w:hAnsi="Cambria Math" w:cs="Arial"/>
                            <w:sz w:val="18"/>
                            <w:szCs w:val="18"/>
                          </w:rPr>
                          <m:t>3</m:t>
                        </m:r>
                      </m:den>
                    </m:f>
                  </m:e>
                </m:d>
                <m:r>
                  <m:rPr>
                    <m:sty m:val="bi"/>
                  </m:rPr>
                  <w:rPr>
                    <w:rFonts w:ascii="Cambria Math" w:eastAsia="Cambria Math" w:hAnsi="Cambria Math" w:cs="Arial"/>
                    <w:sz w:val="18"/>
                    <w:szCs w:val="18"/>
                  </w:rPr>
                  <m:t>=-</m:t>
                </m:r>
                <m:d>
                  <m:dPr>
                    <m:ctrlPr>
                      <w:rPr>
                        <w:rFonts w:ascii="Cambria Math" w:eastAsia="Cambria Math" w:hAnsi="Cambria Math" w:cs="Arial"/>
                        <w:b/>
                        <w:bCs/>
                        <w:sz w:val="18"/>
                        <w:szCs w:val="18"/>
                      </w:rPr>
                    </m:ctrlPr>
                  </m:dPr>
                  <m:e>
                    <m:f>
                      <m:fPr>
                        <m:ctrlPr>
                          <w:rPr>
                            <w:rFonts w:ascii="Cambria Math" w:eastAsia="Cambria Math" w:hAnsi="Cambria Math" w:cs="Arial"/>
                            <w:b/>
                            <w:bCs/>
                            <w:sz w:val="18"/>
                            <w:szCs w:val="18"/>
                          </w:rPr>
                        </m:ctrlPr>
                      </m:fPr>
                      <m:num>
                        <m:r>
                          <m:rPr>
                            <m:sty m:val="bi"/>
                          </m:rPr>
                          <w:rPr>
                            <w:rFonts w:ascii="Cambria Math" w:eastAsia="Cambria Math" w:hAnsi="Cambria Math" w:cs="Arial"/>
                            <w:sz w:val="18"/>
                            <w:szCs w:val="18"/>
                          </w:rPr>
                          <m:t>r</m:t>
                        </m:r>
                      </m:num>
                      <m:den>
                        <m:r>
                          <m:rPr>
                            <m:sty m:val="bi"/>
                          </m:rPr>
                          <w:rPr>
                            <w:rFonts w:ascii="Cambria Math" w:eastAsia="Cambria Math" w:hAnsi="Cambria Math" w:cs="Arial"/>
                            <w:sz w:val="18"/>
                            <w:szCs w:val="18"/>
                          </w:rPr>
                          <m:t>12</m:t>
                        </m:r>
                      </m:den>
                    </m:f>
                  </m:e>
                </m:d>
                <m:r>
                  <m:rPr>
                    <m:sty m:val="bi"/>
                  </m:rPr>
                  <w:rPr>
                    <w:rFonts w:ascii="Cambria Math" w:eastAsia="Cambria Math" w:hAnsi="Cambria Math" w:cs="Arial"/>
                    <w:sz w:val="18"/>
                    <w:szCs w:val="18"/>
                  </w:rPr>
                  <m:t>*</m:t>
                </m:r>
                <m:d>
                  <m:dPr>
                    <m:ctrlPr>
                      <w:rPr>
                        <w:rFonts w:ascii="Cambria Math" w:eastAsia="Cambria Math" w:hAnsi="Cambria Math" w:cs="Arial"/>
                        <w:b/>
                        <w:bCs/>
                        <w:sz w:val="18"/>
                        <w:szCs w:val="18"/>
                      </w:rPr>
                    </m:ctrlPr>
                  </m:dPr>
                  <m:e>
                    <m:r>
                      <m:rPr>
                        <m:sty m:val="bi"/>
                      </m:rPr>
                      <w:rPr>
                        <w:rFonts w:ascii="Cambria Math" w:eastAsia="Cambria Math" w:hAnsi="Cambria Math" w:cs="Arial"/>
                        <w:sz w:val="18"/>
                        <w:szCs w:val="18"/>
                      </w:rPr>
                      <m:t>1-e</m:t>
                    </m:r>
                  </m:e>
                </m:d>
                <m:r>
                  <m:rPr>
                    <m:sty m:val="bi"/>
                  </m:rPr>
                  <w:rPr>
                    <w:rFonts w:ascii="Cambria Math" w:eastAsia="Cambria Math" w:hAnsi="Cambria Math" w:cs="Arial"/>
                    <w:sz w:val="18"/>
                    <w:szCs w:val="18"/>
                  </w:rPr>
                  <m:t>*[(T-(S+</m:t>
                </m:r>
                <m:f>
                  <m:fPr>
                    <m:ctrlPr>
                      <w:rPr>
                        <w:rFonts w:ascii="Cambria Math" w:eastAsia="Cambria Math" w:hAnsi="Cambria Math" w:cs="Arial"/>
                        <w:b/>
                        <w:i/>
                        <w:sz w:val="18"/>
                        <w:szCs w:val="18"/>
                      </w:rPr>
                    </m:ctrlPr>
                  </m:fPr>
                  <m:num>
                    <m:r>
                      <m:rPr>
                        <m:sty m:val="bi"/>
                      </m:rPr>
                      <w:rPr>
                        <w:rFonts w:ascii="Cambria Math" w:eastAsia="Cambria Math" w:hAnsi="Cambria Math" w:cs="Arial"/>
                        <w:sz w:val="18"/>
                        <w:szCs w:val="18"/>
                      </w:rPr>
                      <m:t>C</m:t>
                    </m:r>
                  </m:num>
                  <m:den>
                    <m:r>
                      <m:rPr>
                        <m:sty m:val="bi"/>
                      </m:rPr>
                      <w:rPr>
                        <w:rFonts w:ascii="Cambria Math" w:eastAsia="Cambria Math" w:hAnsi="Cambria Math" w:cs="Arial"/>
                        <w:sz w:val="18"/>
                        <w:szCs w:val="18"/>
                      </w:rPr>
                      <m:t>3</m:t>
                    </m:r>
                  </m:den>
                </m:f>
                <m:r>
                  <m:rPr>
                    <m:sty m:val="bi"/>
                  </m:rPr>
                  <w:rPr>
                    <w:rFonts w:ascii="Cambria Math" w:eastAsia="Cambria Math" w:hAnsi="Cambria Math" w:cs="Arial"/>
                    <w:sz w:val="18"/>
                    <w:szCs w:val="18"/>
                  </w:rPr>
                  <m:t>))*</m:t>
                </m:r>
                <m:sSub>
                  <m:sSubPr>
                    <m:ctrlPr>
                      <w:rPr>
                        <w:rFonts w:ascii="Cambria Math" w:eastAsia="Cambria Math" w:hAnsi="Cambria Math" w:cs="Arial"/>
                        <w:b/>
                        <w:bCs/>
                        <w:sz w:val="18"/>
                        <w:szCs w:val="18"/>
                      </w:rPr>
                    </m:ctrlPr>
                  </m:sSubPr>
                  <m:e>
                    <m:r>
                      <m:rPr>
                        <m:sty m:val="bi"/>
                      </m:rPr>
                      <w:rPr>
                        <w:rFonts w:ascii="Cambria Math" w:eastAsia="Cambria Math" w:hAnsi="Cambria Math" w:cs="Arial"/>
                        <w:sz w:val="18"/>
                        <w:szCs w:val="18"/>
                      </w:rPr>
                      <m:t>Y</m:t>
                    </m:r>
                  </m:e>
                  <m:sub>
                    <m:r>
                      <m:rPr>
                        <m:sty m:val="bi"/>
                      </m:rPr>
                      <w:rPr>
                        <w:rFonts w:ascii="Cambria Math" w:eastAsia="Cambria Math" w:hAnsi="Cambria Math" w:cs="Arial"/>
                        <w:sz w:val="18"/>
                        <w:szCs w:val="18"/>
                      </w:rPr>
                      <m:t>2</m:t>
                    </m:r>
                  </m:sub>
                </m:sSub>
                <m:r>
                  <m:rPr>
                    <m:sty m:val="bi"/>
                  </m:rPr>
                  <w:rPr>
                    <w:rFonts w:ascii="Cambria Math" w:eastAsia="Cambria Math" w:hAnsi="Cambria Math" w:cs="Arial"/>
                    <w:sz w:val="18"/>
                    <w:szCs w:val="18"/>
                  </w:rPr>
                  <m:t>*</m:t>
                </m:r>
                <m:f>
                  <m:fPr>
                    <m:ctrlPr>
                      <w:rPr>
                        <w:rFonts w:ascii="Cambria Math" w:eastAsia="Cambria Math" w:hAnsi="Cambria Math" w:cs="Arial"/>
                        <w:b/>
                        <w:bCs/>
                        <w:sz w:val="18"/>
                        <w:szCs w:val="18"/>
                      </w:rPr>
                    </m:ctrlPr>
                  </m:fPr>
                  <m:num>
                    <m:r>
                      <m:rPr>
                        <m:sty m:val="bi"/>
                      </m:rPr>
                      <w:rPr>
                        <w:rFonts w:ascii="Cambria Math" w:eastAsia="Cambria Math" w:hAnsi="Cambria Math" w:cs="Arial"/>
                        <w:sz w:val="18"/>
                        <w:szCs w:val="18"/>
                      </w:rPr>
                      <m:t>FC</m:t>
                    </m:r>
                    <m:sSub>
                      <m:sSubPr>
                        <m:ctrlPr>
                          <w:rPr>
                            <w:rFonts w:ascii="Cambria Math" w:eastAsia="Cambria Math" w:hAnsi="Cambria Math" w:cs="Arial"/>
                            <w:b/>
                            <w:bCs/>
                            <w:i/>
                            <w:sz w:val="18"/>
                            <w:szCs w:val="18"/>
                          </w:rPr>
                        </m:ctrlPr>
                      </m:sSubPr>
                      <m:e>
                        <m:r>
                          <m:rPr>
                            <m:sty m:val="bi"/>
                          </m:rPr>
                          <w:rPr>
                            <w:rFonts w:ascii="Cambria Math" w:eastAsia="Cambria Math" w:hAnsi="Cambria Math" w:cs="Arial"/>
                            <w:sz w:val="18"/>
                            <w:szCs w:val="18"/>
                          </w:rPr>
                          <m:t>I</m:t>
                        </m:r>
                      </m:e>
                      <m:sub>
                        <m:r>
                          <m:rPr>
                            <m:sty m:val="bi"/>
                          </m:rPr>
                          <w:rPr>
                            <w:rFonts w:ascii="Cambria Math" w:eastAsia="Cambria Math" w:hAnsi="Cambria Math" w:cs="Arial"/>
                            <w:sz w:val="18"/>
                            <w:szCs w:val="18"/>
                          </w:rPr>
                          <m:t>j</m:t>
                        </m:r>
                      </m:sub>
                    </m:sSub>
                  </m:num>
                  <m:den>
                    <m:r>
                      <m:rPr>
                        <m:sty m:val="bi"/>
                      </m:rPr>
                      <w:rPr>
                        <w:rFonts w:ascii="Cambria Math" w:eastAsia="Cambria Math" w:hAnsi="Cambria Math" w:cs="Arial"/>
                        <w:sz w:val="18"/>
                        <w:szCs w:val="18"/>
                      </w:rPr>
                      <m:t>12</m:t>
                    </m:r>
                  </m:den>
                </m:f>
                <m:r>
                  <m:rPr>
                    <m:sty m:val="bi"/>
                  </m:rPr>
                  <w:rPr>
                    <w:rFonts w:ascii="Cambria Math" w:eastAsia="Cambria Math" w:hAnsi="Cambria Math" w:cs="Arial"/>
                    <w:sz w:val="18"/>
                    <w:szCs w:val="18"/>
                  </w:rPr>
                  <m:t>+Y</m:t>
                </m:r>
                <m:r>
                  <m:rPr>
                    <m:sty m:val="bi"/>
                  </m:rPr>
                  <w:rPr>
                    <w:rFonts w:ascii="Cambria Math" w:eastAsia="Cambria Math" w:hAnsi="Cambria Math" w:cs="Arial"/>
                    <w:sz w:val="18"/>
                    <w:szCs w:val="18"/>
                  </w:rPr>
                  <m:t>1*FC</m:t>
                </m:r>
                <m:sSub>
                  <m:sSubPr>
                    <m:ctrlPr>
                      <w:rPr>
                        <w:rFonts w:ascii="Cambria Math" w:eastAsia="Cambria Math" w:hAnsi="Cambria Math" w:cs="Arial"/>
                        <w:b/>
                        <w:bCs/>
                        <w:i/>
                        <w:sz w:val="18"/>
                        <w:szCs w:val="18"/>
                      </w:rPr>
                    </m:ctrlPr>
                  </m:sSubPr>
                  <m:e>
                    <m:r>
                      <m:rPr>
                        <m:sty m:val="bi"/>
                      </m:rPr>
                      <w:rPr>
                        <w:rFonts w:ascii="Cambria Math" w:eastAsia="Cambria Math" w:hAnsi="Cambria Math" w:cs="Arial"/>
                        <w:sz w:val="18"/>
                        <w:szCs w:val="18"/>
                      </w:rPr>
                      <m:t>I</m:t>
                    </m:r>
                  </m:e>
                  <m:sub>
                    <m:r>
                      <m:rPr>
                        <m:sty m:val="bi"/>
                      </m:rPr>
                      <w:rPr>
                        <w:rFonts w:ascii="Cambria Math" w:eastAsia="Cambria Math" w:hAnsi="Cambria Math" w:cs="Arial"/>
                        <w:sz w:val="18"/>
                        <w:szCs w:val="18"/>
                      </w:rPr>
                      <m:t>j</m:t>
                    </m:r>
                  </m:sub>
                </m:sSub>
                <m:r>
                  <w:rPr>
                    <w:rFonts w:ascii="Cambria Math" w:eastAsia="Cambria Math" w:hAnsi="Cambria Math" w:cs="Arial"/>
                    <w:sz w:val="18"/>
                    <w:szCs w:val="18"/>
                  </w:rPr>
                  <m:t>]</m:t>
                </m:r>
              </m:oMath>
            </m:oMathPara>
          </w:p>
          <w:p w14:paraId="4844F7D2" w14:textId="77777777" w:rsidR="00DA7E40" w:rsidRPr="00D800F0" w:rsidRDefault="00DA7E40" w:rsidP="0000614D">
            <w:pPr>
              <w:jc w:val="center"/>
              <w:rPr>
                <w:rFonts w:ascii="Arial" w:hAnsi="Arial" w:cs="Arial"/>
                <w:b/>
              </w:rPr>
            </w:pPr>
          </w:p>
        </w:tc>
        <w:tc>
          <w:tcPr>
            <w:tcW w:w="855" w:type="dxa"/>
            <w:shd w:val="clear" w:color="auto" w:fill="auto"/>
            <w:tcMar>
              <w:top w:w="100" w:type="dxa"/>
              <w:left w:w="100" w:type="dxa"/>
              <w:bottom w:w="100" w:type="dxa"/>
              <w:right w:w="100" w:type="dxa"/>
            </w:tcMar>
            <w:vAlign w:val="center"/>
          </w:tcPr>
          <w:p w14:paraId="18E3FE12" w14:textId="77777777" w:rsidR="00DA7E40" w:rsidRPr="00D800F0" w:rsidRDefault="00DA7E40" w:rsidP="0000614D">
            <w:pPr>
              <w:widowControl w:val="0"/>
              <w:jc w:val="center"/>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10</w:t>
            </w:r>
            <w:r w:rsidRPr="00D800F0">
              <w:rPr>
                <w:rFonts w:ascii="Arial" w:eastAsia="Cambria Math" w:hAnsi="Arial" w:cs="Arial"/>
              </w:rPr>
              <w:fldChar w:fldCharType="end"/>
            </w:r>
            <w:r w:rsidRPr="00D800F0">
              <w:rPr>
                <w:rFonts w:ascii="Arial" w:eastAsia="Cambria Math" w:hAnsi="Arial" w:cs="Arial"/>
              </w:rPr>
              <w:t>)</w:t>
            </w:r>
          </w:p>
        </w:tc>
      </w:tr>
      <w:tr w:rsidR="00DA7E40" w:rsidRPr="00D800F0" w14:paraId="5743D05C" w14:textId="77777777" w:rsidTr="0000614D">
        <w:trPr>
          <w:cantSplit/>
        </w:trPr>
        <w:tc>
          <w:tcPr>
            <w:tcW w:w="8505" w:type="dxa"/>
            <w:shd w:val="clear" w:color="auto" w:fill="auto"/>
            <w:tcMar>
              <w:top w:w="100" w:type="dxa"/>
              <w:left w:w="100" w:type="dxa"/>
              <w:bottom w:w="100" w:type="dxa"/>
              <w:right w:w="100" w:type="dxa"/>
            </w:tcMar>
            <w:vAlign w:val="center"/>
          </w:tcPr>
          <w:p w14:paraId="19EA14C3" w14:textId="77777777" w:rsidR="00DA7E40" w:rsidRPr="00D800F0" w:rsidRDefault="00DA7E40" w:rsidP="0000614D">
            <w:pPr>
              <w:jc w:val="center"/>
              <w:rPr>
                <w:rFonts w:ascii="Arial" w:hAnsi="Arial" w:cs="Arial"/>
                <w:b/>
                <w:sz w:val="18"/>
                <w:szCs w:val="18"/>
              </w:rPr>
            </w:pPr>
            <m:oMathPara>
              <m:oMath>
                <m:r>
                  <m:rPr>
                    <m:sty m:val="bi"/>
                  </m:rPr>
                  <w:rPr>
                    <w:rFonts w:ascii="Cambria Math" w:eastAsia="Cambria Math" w:hAnsi="Cambria Math" w:cs="Arial"/>
                    <w:sz w:val="18"/>
                    <w:szCs w:val="18"/>
                  </w:rPr>
                  <m:t>PMT</m:t>
                </m:r>
                <m:d>
                  <m:dPr>
                    <m:ctrlPr>
                      <w:rPr>
                        <w:rFonts w:ascii="Cambria Math" w:eastAsia="Cambria Math" w:hAnsi="Cambria Math" w:cs="Arial"/>
                        <w:b/>
                        <w:bCs/>
                        <w:sz w:val="18"/>
                        <w:szCs w:val="18"/>
                      </w:rPr>
                    </m:ctrlPr>
                  </m:dPr>
                  <m:e>
                    <m:r>
                      <m:rPr>
                        <m:sty m:val="bi"/>
                      </m:rPr>
                      <w:rPr>
                        <w:rFonts w:ascii="Cambria Math" w:eastAsia="Cambria Math" w:hAnsi="Cambria Math" w:cs="Arial"/>
                        <w:sz w:val="18"/>
                        <w:szCs w:val="18"/>
                      </w:rPr>
                      <m:t>S+</m:t>
                    </m:r>
                    <m:f>
                      <m:fPr>
                        <m:ctrlPr>
                          <w:rPr>
                            <w:rFonts w:ascii="Cambria Math" w:eastAsia="Cambria Math" w:hAnsi="Cambria Math" w:cs="Arial"/>
                            <w:b/>
                            <w:i/>
                            <w:sz w:val="18"/>
                            <w:szCs w:val="18"/>
                          </w:rPr>
                        </m:ctrlPr>
                      </m:fPr>
                      <m:num>
                        <m:r>
                          <m:rPr>
                            <m:sty m:val="bi"/>
                          </m:rPr>
                          <w:rPr>
                            <w:rFonts w:ascii="Cambria Math" w:eastAsia="Cambria Math" w:hAnsi="Cambria Math" w:cs="Arial"/>
                            <w:sz w:val="18"/>
                            <w:szCs w:val="18"/>
                          </w:rPr>
                          <m:t>2</m:t>
                        </m:r>
                        <m:r>
                          <m:rPr>
                            <m:sty m:val="bi"/>
                          </m:rPr>
                          <w:rPr>
                            <w:rFonts w:ascii="Cambria Math" w:eastAsia="Cambria Math" w:hAnsi="Cambria Math" w:cs="Arial"/>
                            <w:sz w:val="18"/>
                            <w:szCs w:val="18"/>
                          </w:rPr>
                          <m:t>C</m:t>
                        </m:r>
                      </m:num>
                      <m:den>
                        <m:r>
                          <m:rPr>
                            <m:sty m:val="bi"/>
                          </m:rPr>
                          <w:rPr>
                            <w:rFonts w:ascii="Cambria Math" w:eastAsia="Cambria Math" w:hAnsi="Cambria Math" w:cs="Arial"/>
                            <w:sz w:val="18"/>
                            <w:szCs w:val="18"/>
                          </w:rPr>
                          <m:t>3</m:t>
                        </m:r>
                      </m:den>
                    </m:f>
                    <m:r>
                      <m:rPr>
                        <m:sty m:val="bi"/>
                      </m:rPr>
                      <w:rPr>
                        <w:rFonts w:ascii="Cambria Math" w:eastAsia="Cambria Math" w:hAnsi="Cambria Math" w:cs="Arial"/>
                        <w:sz w:val="18"/>
                        <w:szCs w:val="18"/>
                      </w:rPr>
                      <m:t>&lt;T≤S+C</m:t>
                    </m:r>
                  </m:e>
                </m:d>
                <m:r>
                  <m:rPr>
                    <m:sty m:val="bi"/>
                  </m:rPr>
                  <w:rPr>
                    <w:rFonts w:ascii="Cambria Math" w:eastAsia="Cambria Math" w:hAnsi="Cambria Math" w:cs="Arial"/>
                    <w:sz w:val="18"/>
                    <w:szCs w:val="18"/>
                  </w:rPr>
                  <m:t>=-</m:t>
                </m:r>
                <m:d>
                  <m:dPr>
                    <m:ctrlPr>
                      <w:rPr>
                        <w:rFonts w:ascii="Cambria Math" w:eastAsia="Cambria Math" w:hAnsi="Cambria Math" w:cs="Arial"/>
                        <w:b/>
                        <w:bCs/>
                        <w:sz w:val="18"/>
                        <w:szCs w:val="18"/>
                      </w:rPr>
                    </m:ctrlPr>
                  </m:dPr>
                  <m:e>
                    <m:f>
                      <m:fPr>
                        <m:ctrlPr>
                          <w:rPr>
                            <w:rFonts w:ascii="Cambria Math" w:eastAsia="Cambria Math" w:hAnsi="Cambria Math" w:cs="Arial"/>
                            <w:b/>
                            <w:bCs/>
                            <w:sz w:val="18"/>
                            <w:szCs w:val="18"/>
                          </w:rPr>
                        </m:ctrlPr>
                      </m:fPr>
                      <m:num>
                        <m:r>
                          <m:rPr>
                            <m:sty m:val="bi"/>
                          </m:rPr>
                          <w:rPr>
                            <w:rFonts w:ascii="Cambria Math" w:eastAsia="Cambria Math" w:hAnsi="Cambria Math" w:cs="Arial"/>
                            <w:sz w:val="18"/>
                            <w:szCs w:val="18"/>
                          </w:rPr>
                          <m:t>r</m:t>
                        </m:r>
                      </m:num>
                      <m:den>
                        <m:r>
                          <m:rPr>
                            <m:sty m:val="bi"/>
                          </m:rPr>
                          <w:rPr>
                            <w:rFonts w:ascii="Cambria Math" w:eastAsia="Cambria Math" w:hAnsi="Cambria Math" w:cs="Arial"/>
                            <w:sz w:val="18"/>
                            <w:szCs w:val="18"/>
                          </w:rPr>
                          <m:t>12</m:t>
                        </m:r>
                      </m:den>
                    </m:f>
                  </m:e>
                </m:d>
                <m:r>
                  <m:rPr>
                    <m:sty m:val="bi"/>
                  </m:rPr>
                  <w:rPr>
                    <w:rFonts w:ascii="Cambria Math" w:eastAsia="Cambria Math" w:hAnsi="Cambria Math" w:cs="Arial"/>
                    <w:sz w:val="18"/>
                    <w:szCs w:val="18"/>
                  </w:rPr>
                  <m:t>*</m:t>
                </m:r>
                <m:d>
                  <m:dPr>
                    <m:ctrlPr>
                      <w:rPr>
                        <w:rFonts w:ascii="Cambria Math" w:eastAsia="Cambria Math" w:hAnsi="Cambria Math" w:cs="Arial"/>
                        <w:b/>
                        <w:bCs/>
                        <w:sz w:val="18"/>
                        <w:szCs w:val="18"/>
                      </w:rPr>
                    </m:ctrlPr>
                  </m:dPr>
                  <m:e>
                    <m:r>
                      <m:rPr>
                        <m:sty m:val="bi"/>
                      </m:rPr>
                      <w:rPr>
                        <w:rFonts w:ascii="Cambria Math" w:eastAsia="Cambria Math" w:hAnsi="Cambria Math" w:cs="Arial"/>
                        <w:sz w:val="18"/>
                        <w:szCs w:val="18"/>
                      </w:rPr>
                      <m:t>1-e</m:t>
                    </m:r>
                  </m:e>
                </m:d>
                <m:r>
                  <m:rPr>
                    <m:sty m:val="bi"/>
                  </m:rPr>
                  <w:rPr>
                    <w:rFonts w:ascii="Cambria Math" w:eastAsia="Cambria Math" w:hAnsi="Cambria Math" w:cs="Arial"/>
                    <w:sz w:val="18"/>
                    <w:szCs w:val="18"/>
                  </w:rPr>
                  <m:t>*[(T-(</m:t>
                </m:r>
                <m:f>
                  <m:fPr>
                    <m:ctrlPr>
                      <w:rPr>
                        <w:rFonts w:ascii="Cambria Math" w:eastAsia="Cambria Math" w:hAnsi="Cambria Math" w:cs="Arial"/>
                        <w:b/>
                        <w:i/>
                        <w:sz w:val="18"/>
                        <w:szCs w:val="18"/>
                      </w:rPr>
                    </m:ctrlPr>
                  </m:fPr>
                  <m:num>
                    <m:r>
                      <m:rPr>
                        <m:sty m:val="bi"/>
                      </m:rPr>
                      <w:rPr>
                        <w:rFonts w:ascii="Cambria Math" w:eastAsia="Cambria Math" w:hAnsi="Cambria Math" w:cs="Arial"/>
                        <w:sz w:val="18"/>
                        <w:szCs w:val="18"/>
                      </w:rPr>
                      <m:t>2</m:t>
                    </m:r>
                    <m:r>
                      <m:rPr>
                        <m:sty m:val="bi"/>
                      </m:rPr>
                      <w:rPr>
                        <w:rFonts w:ascii="Cambria Math" w:eastAsia="Cambria Math" w:hAnsi="Cambria Math" w:cs="Arial"/>
                        <w:sz w:val="18"/>
                        <w:szCs w:val="18"/>
                      </w:rPr>
                      <m:t>C</m:t>
                    </m:r>
                  </m:num>
                  <m:den>
                    <m:r>
                      <m:rPr>
                        <m:sty m:val="bi"/>
                      </m:rPr>
                      <w:rPr>
                        <w:rFonts w:ascii="Cambria Math" w:eastAsia="Cambria Math" w:hAnsi="Cambria Math" w:cs="Arial"/>
                        <w:sz w:val="18"/>
                        <w:szCs w:val="18"/>
                      </w:rPr>
                      <m:t>3</m:t>
                    </m:r>
                  </m:den>
                </m:f>
                <m:r>
                  <m:rPr>
                    <m:sty m:val="bi"/>
                  </m:rPr>
                  <w:rPr>
                    <w:rFonts w:ascii="Cambria Math" w:eastAsia="Cambria Math" w:hAnsi="Cambria Math" w:cs="Arial"/>
                    <w:sz w:val="18"/>
                    <w:szCs w:val="18"/>
                  </w:rPr>
                  <m:t>+S))*</m:t>
                </m:r>
                <m:sSub>
                  <m:sSubPr>
                    <m:ctrlPr>
                      <w:rPr>
                        <w:rFonts w:ascii="Cambria Math" w:eastAsia="Cambria Math" w:hAnsi="Cambria Math" w:cs="Arial"/>
                        <w:b/>
                        <w:bCs/>
                        <w:sz w:val="18"/>
                        <w:szCs w:val="18"/>
                      </w:rPr>
                    </m:ctrlPr>
                  </m:sSubPr>
                  <m:e>
                    <m:r>
                      <m:rPr>
                        <m:sty m:val="bi"/>
                      </m:rPr>
                      <w:rPr>
                        <w:rFonts w:ascii="Cambria Math" w:eastAsia="Cambria Math" w:hAnsi="Cambria Math" w:cs="Arial"/>
                        <w:sz w:val="18"/>
                        <w:szCs w:val="18"/>
                      </w:rPr>
                      <m:t>Y</m:t>
                    </m:r>
                  </m:e>
                  <m:sub>
                    <m:r>
                      <m:rPr>
                        <m:sty m:val="bi"/>
                      </m:rPr>
                      <w:rPr>
                        <w:rFonts w:ascii="Cambria Math" w:eastAsia="Cambria Math" w:hAnsi="Cambria Math" w:cs="Arial"/>
                        <w:sz w:val="18"/>
                        <w:szCs w:val="18"/>
                      </w:rPr>
                      <m:t>3</m:t>
                    </m:r>
                  </m:sub>
                </m:sSub>
                <m:r>
                  <m:rPr>
                    <m:sty m:val="bi"/>
                  </m:rPr>
                  <w:rPr>
                    <w:rFonts w:ascii="Cambria Math" w:eastAsia="Cambria Math" w:hAnsi="Cambria Math" w:cs="Arial"/>
                    <w:sz w:val="18"/>
                    <w:szCs w:val="18"/>
                  </w:rPr>
                  <m:t>*</m:t>
                </m:r>
                <m:f>
                  <m:fPr>
                    <m:ctrlPr>
                      <w:rPr>
                        <w:rFonts w:ascii="Cambria Math" w:eastAsia="Cambria Math" w:hAnsi="Cambria Math" w:cs="Arial"/>
                        <w:b/>
                        <w:bCs/>
                        <w:sz w:val="18"/>
                        <w:szCs w:val="18"/>
                      </w:rPr>
                    </m:ctrlPr>
                  </m:fPr>
                  <m:num>
                    <m:r>
                      <m:rPr>
                        <m:sty m:val="bi"/>
                      </m:rPr>
                      <w:rPr>
                        <w:rFonts w:ascii="Cambria Math" w:eastAsia="Cambria Math" w:hAnsi="Cambria Math" w:cs="Arial"/>
                        <w:sz w:val="18"/>
                        <w:szCs w:val="18"/>
                      </w:rPr>
                      <m:t>FC</m:t>
                    </m:r>
                    <m:sSub>
                      <m:sSubPr>
                        <m:ctrlPr>
                          <w:rPr>
                            <w:rFonts w:ascii="Cambria Math" w:eastAsia="Cambria Math" w:hAnsi="Cambria Math" w:cs="Arial"/>
                            <w:b/>
                            <w:bCs/>
                            <w:i/>
                            <w:sz w:val="18"/>
                            <w:szCs w:val="18"/>
                          </w:rPr>
                        </m:ctrlPr>
                      </m:sSubPr>
                      <m:e>
                        <m:r>
                          <m:rPr>
                            <m:sty m:val="bi"/>
                          </m:rPr>
                          <w:rPr>
                            <w:rFonts w:ascii="Cambria Math" w:eastAsia="Cambria Math" w:hAnsi="Cambria Math" w:cs="Arial"/>
                            <w:sz w:val="18"/>
                            <w:szCs w:val="18"/>
                          </w:rPr>
                          <m:t>I</m:t>
                        </m:r>
                      </m:e>
                      <m:sub>
                        <m:r>
                          <m:rPr>
                            <m:sty m:val="bi"/>
                          </m:rPr>
                          <w:rPr>
                            <w:rFonts w:ascii="Cambria Math" w:eastAsia="Cambria Math" w:hAnsi="Cambria Math" w:cs="Arial"/>
                            <w:sz w:val="18"/>
                            <w:szCs w:val="18"/>
                          </w:rPr>
                          <m:t>j</m:t>
                        </m:r>
                      </m:sub>
                    </m:sSub>
                  </m:num>
                  <m:den>
                    <m:r>
                      <m:rPr>
                        <m:sty m:val="bi"/>
                      </m:rPr>
                      <w:rPr>
                        <w:rFonts w:ascii="Cambria Math" w:eastAsia="Cambria Math" w:hAnsi="Cambria Math" w:cs="Arial"/>
                        <w:sz w:val="18"/>
                        <w:szCs w:val="18"/>
                      </w:rPr>
                      <m:t>12</m:t>
                    </m:r>
                  </m:den>
                </m:f>
                <m:r>
                  <m:rPr>
                    <m:sty m:val="bi"/>
                  </m:rPr>
                  <w:rPr>
                    <w:rFonts w:ascii="Cambria Math" w:eastAsia="Cambria Math" w:hAnsi="Cambria Math" w:cs="Arial"/>
                    <w:sz w:val="18"/>
                    <w:szCs w:val="18"/>
                  </w:rPr>
                  <m:t>+(</m:t>
                </m:r>
                <m:sSub>
                  <m:sSubPr>
                    <m:ctrlPr>
                      <w:rPr>
                        <w:rFonts w:ascii="Cambria Math" w:eastAsia="Cambria Math" w:hAnsi="Cambria Math" w:cs="Arial"/>
                        <w:b/>
                        <w:bCs/>
                        <w:sz w:val="18"/>
                        <w:szCs w:val="18"/>
                      </w:rPr>
                    </m:ctrlPr>
                  </m:sSubPr>
                  <m:e>
                    <m:r>
                      <m:rPr>
                        <m:sty m:val="bi"/>
                      </m:rPr>
                      <w:rPr>
                        <w:rFonts w:ascii="Cambria Math" w:eastAsia="Cambria Math" w:hAnsi="Cambria Math" w:cs="Arial"/>
                        <w:sz w:val="18"/>
                        <w:szCs w:val="18"/>
                      </w:rPr>
                      <m:t>Y</m:t>
                    </m:r>
                  </m:e>
                  <m:sub>
                    <m:r>
                      <m:rPr>
                        <m:sty m:val="bi"/>
                      </m:rPr>
                      <w:rPr>
                        <w:rFonts w:ascii="Cambria Math" w:eastAsia="Cambria Math" w:hAnsi="Cambria Math" w:cs="Arial"/>
                        <w:sz w:val="18"/>
                        <w:szCs w:val="18"/>
                      </w:rPr>
                      <m:t>1</m:t>
                    </m:r>
                  </m:sub>
                </m:sSub>
                <m:r>
                  <m:rPr>
                    <m:sty m:val="bi"/>
                  </m:rPr>
                  <w:rPr>
                    <w:rFonts w:ascii="Cambria Math" w:eastAsia="Cambria Math" w:hAnsi="Cambria Math" w:cs="Arial"/>
                    <w:sz w:val="18"/>
                    <w:szCs w:val="18"/>
                  </w:rPr>
                  <m:t>+</m:t>
                </m:r>
                <m:sSub>
                  <m:sSubPr>
                    <m:ctrlPr>
                      <w:rPr>
                        <w:rFonts w:ascii="Cambria Math" w:eastAsia="Cambria Math" w:hAnsi="Cambria Math" w:cs="Arial"/>
                        <w:b/>
                        <w:bCs/>
                        <w:sz w:val="18"/>
                        <w:szCs w:val="18"/>
                      </w:rPr>
                    </m:ctrlPr>
                  </m:sSubPr>
                  <m:e>
                    <m:r>
                      <m:rPr>
                        <m:sty m:val="bi"/>
                      </m:rPr>
                      <w:rPr>
                        <w:rFonts w:ascii="Cambria Math" w:eastAsia="Cambria Math" w:hAnsi="Cambria Math" w:cs="Arial"/>
                        <w:sz w:val="18"/>
                        <w:szCs w:val="18"/>
                      </w:rPr>
                      <m:t>Y</m:t>
                    </m:r>
                  </m:e>
                  <m:sub>
                    <m:r>
                      <m:rPr>
                        <m:sty m:val="bi"/>
                      </m:rPr>
                      <w:rPr>
                        <w:rFonts w:ascii="Cambria Math" w:eastAsia="Cambria Math" w:hAnsi="Cambria Math" w:cs="Arial"/>
                        <w:sz w:val="18"/>
                        <w:szCs w:val="18"/>
                      </w:rPr>
                      <m:t>2</m:t>
                    </m:r>
                  </m:sub>
                </m:sSub>
                <m:r>
                  <m:rPr>
                    <m:sty m:val="bi"/>
                  </m:rPr>
                  <w:rPr>
                    <w:rFonts w:ascii="Cambria Math" w:eastAsia="Cambria Math" w:hAnsi="Cambria Math" w:cs="Arial"/>
                    <w:sz w:val="18"/>
                    <w:szCs w:val="18"/>
                  </w:rPr>
                  <m:t>)*FC</m:t>
                </m:r>
                <m:sSub>
                  <m:sSubPr>
                    <m:ctrlPr>
                      <w:rPr>
                        <w:rFonts w:ascii="Cambria Math" w:eastAsia="Cambria Math" w:hAnsi="Cambria Math" w:cs="Arial"/>
                        <w:b/>
                        <w:bCs/>
                        <w:i/>
                        <w:sz w:val="18"/>
                        <w:szCs w:val="18"/>
                      </w:rPr>
                    </m:ctrlPr>
                  </m:sSubPr>
                  <m:e>
                    <m:r>
                      <m:rPr>
                        <m:sty m:val="bi"/>
                      </m:rPr>
                      <w:rPr>
                        <w:rFonts w:ascii="Cambria Math" w:eastAsia="Cambria Math" w:hAnsi="Cambria Math" w:cs="Arial"/>
                        <w:sz w:val="18"/>
                        <w:szCs w:val="18"/>
                      </w:rPr>
                      <m:t>I</m:t>
                    </m:r>
                  </m:e>
                  <m:sub>
                    <m:r>
                      <m:rPr>
                        <m:sty m:val="bi"/>
                      </m:rPr>
                      <w:rPr>
                        <w:rFonts w:ascii="Cambria Math" w:eastAsia="Cambria Math" w:hAnsi="Cambria Math" w:cs="Arial"/>
                        <w:sz w:val="18"/>
                        <w:szCs w:val="18"/>
                      </w:rPr>
                      <m:t>j</m:t>
                    </m:r>
                  </m:sub>
                </m:sSub>
                <m:r>
                  <w:rPr>
                    <w:rFonts w:ascii="Cambria Math" w:eastAsia="Cambria Math" w:hAnsi="Cambria Math" w:cs="Arial"/>
                    <w:sz w:val="18"/>
                    <w:szCs w:val="18"/>
                  </w:rPr>
                  <m:t>]</m:t>
                </m:r>
              </m:oMath>
            </m:oMathPara>
          </w:p>
          <w:p w14:paraId="442B4C7D" w14:textId="77777777" w:rsidR="00DA7E40" w:rsidRPr="00D800F0" w:rsidRDefault="00DA7E40" w:rsidP="0000614D">
            <w:pPr>
              <w:jc w:val="center"/>
              <w:rPr>
                <w:rFonts w:ascii="Arial" w:hAnsi="Arial" w:cs="Arial"/>
                <w:b/>
              </w:rPr>
            </w:pPr>
          </w:p>
        </w:tc>
        <w:tc>
          <w:tcPr>
            <w:tcW w:w="855" w:type="dxa"/>
            <w:shd w:val="clear" w:color="auto" w:fill="auto"/>
            <w:tcMar>
              <w:top w:w="100" w:type="dxa"/>
              <w:left w:w="100" w:type="dxa"/>
              <w:bottom w:w="100" w:type="dxa"/>
              <w:right w:w="100" w:type="dxa"/>
            </w:tcMar>
            <w:vAlign w:val="center"/>
          </w:tcPr>
          <w:p w14:paraId="4C223478" w14:textId="77777777" w:rsidR="00DA7E40" w:rsidRPr="00D800F0" w:rsidRDefault="00DA7E40" w:rsidP="0000614D">
            <w:pPr>
              <w:widowControl w:val="0"/>
              <w:jc w:val="center"/>
              <w:rPr>
                <w:rFonts w:ascii="Arial" w:hAnsi="Arial" w:cs="Arial"/>
              </w:rPr>
            </w:pPr>
            <w:bookmarkStart w:id="38" w:name="_Ref146930771"/>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11</w:t>
            </w:r>
            <w:r w:rsidRPr="00D800F0">
              <w:rPr>
                <w:rFonts w:ascii="Arial" w:eastAsia="Cambria Math" w:hAnsi="Arial" w:cs="Arial"/>
              </w:rPr>
              <w:fldChar w:fldCharType="end"/>
            </w:r>
            <w:r w:rsidRPr="00D800F0">
              <w:rPr>
                <w:rFonts w:ascii="Arial" w:eastAsia="Cambria Math" w:hAnsi="Arial" w:cs="Arial"/>
              </w:rPr>
              <w:t>)</w:t>
            </w:r>
            <w:bookmarkEnd w:id="38"/>
          </w:p>
        </w:tc>
      </w:tr>
      <w:tr w:rsidR="00DA7E40" w:rsidRPr="00D800F0" w14:paraId="6F1370D0" w14:textId="77777777" w:rsidTr="0000614D">
        <w:trPr>
          <w:cantSplit/>
        </w:trPr>
        <w:tc>
          <w:tcPr>
            <w:tcW w:w="8505" w:type="dxa"/>
            <w:shd w:val="clear" w:color="auto" w:fill="auto"/>
            <w:tcMar>
              <w:top w:w="100" w:type="dxa"/>
              <w:left w:w="100" w:type="dxa"/>
              <w:bottom w:w="100" w:type="dxa"/>
              <w:right w:w="100" w:type="dxa"/>
            </w:tcMar>
            <w:vAlign w:val="center"/>
          </w:tcPr>
          <w:p w14:paraId="5F9D416C" w14:textId="77777777" w:rsidR="00DA7E40" w:rsidRPr="00D800F0" w:rsidRDefault="00DA7E40" w:rsidP="0000614D">
            <w:pPr>
              <w:jc w:val="center"/>
              <w:rPr>
                <w:rFonts w:ascii="Arial" w:hAnsi="Arial" w:cs="Arial"/>
                <w:b/>
              </w:rPr>
            </w:pPr>
            <m:oMathPara>
              <m:oMath>
                <m:r>
                  <m:rPr>
                    <m:sty m:val="bi"/>
                  </m:rPr>
                  <w:rPr>
                    <w:rFonts w:ascii="Cambria Math" w:eastAsia="Cambria Math" w:hAnsi="Cambria Math" w:cs="Arial"/>
                  </w:rPr>
                  <m:t>PMT</m:t>
                </m:r>
                <m:d>
                  <m:dPr>
                    <m:ctrlPr>
                      <w:rPr>
                        <w:rFonts w:ascii="Cambria Math" w:eastAsia="Cambria Math" w:hAnsi="Cambria Math" w:cs="Arial"/>
                        <w:b/>
                        <w:bCs/>
                      </w:rPr>
                    </m:ctrlPr>
                  </m:dPr>
                  <m:e>
                    <m:r>
                      <m:rPr>
                        <m:sty m:val="bi"/>
                      </m:rPr>
                      <w:rPr>
                        <w:rFonts w:ascii="Cambria Math" w:eastAsia="Cambria Math" w:hAnsi="Cambria Math" w:cs="Arial"/>
                      </w:rPr>
                      <m:t>S+C&lt;T≤S+C+</m:t>
                    </m:r>
                    <m:sSub>
                      <m:sSubPr>
                        <m:ctrlPr>
                          <w:rPr>
                            <w:rFonts w:ascii="Cambria Math" w:eastAsia="Cambria Math" w:hAnsi="Cambria Math" w:cs="Arial"/>
                            <w:b/>
                            <w:bCs/>
                          </w:rPr>
                        </m:ctrlPr>
                      </m:sSubPr>
                      <m:e>
                        <m:r>
                          <m:rPr>
                            <m:sty m:val="bi"/>
                          </m:rPr>
                          <w:rPr>
                            <w:rFonts w:ascii="Cambria Math" w:eastAsia="Cambria Math" w:hAnsi="Cambria Math" w:cs="Arial"/>
                          </w:rPr>
                          <m:t>L</m:t>
                        </m:r>
                      </m:e>
                      <m:sub>
                        <m:r>
                          <m:rPr>
                            <m:sty m:val="bi"/>
                          </m:rPr>
                          <w:rPr>
                            <w:rFonts w:ascii="Cambria Math" w:eastAsia="Cambria Math" w:hAnsi="Cambria Math" w:cs="Arial"/>
                          </w:rPr>
                          <m:t>loan</m:t>
                        </m:r>
                      </m:sub>
                    </m:sSub>
                  </m:e>
                </m:d>
                <m:r>
                  <m:rPr>
                    <m:sty m:val="bi"/>
                  </m:rPr>
                  <w:rPr>
                    <w:rFonts w:ascii="Cambria Math" w:eastAsia="Cambria Math" w:hAnsi="Cambria Math" w:cs="Arial"/>
                  </w:rPr>
                  <m:t>=-FC</m:t>
                </m:r>
                <m:sSub>
                  <m:sSubPr>
                    <m:ctrlPr>
                      <w:rPr>
                        <w:rFonts w:ascii="Cambria Math" w:eastAsia="Cambria Math" w:hAnsi="Cambria Math" w:cs="Arial"/>
                        <w:b/>
                        <w:bCs/>
                        <w:i/>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m:t>
                </m:r>
                <m:f>
                  <m:fPr>
                    <m:ctrlPr>
                      <w:rPr>
                        <w:rFonts w:ascii="Cambria Math" w:eastAsia="Cambria Math" w:hAnsi="Cambria Math" w:cs="Arial"/>
                        <w:b/>
                        <w:bCs/>
                      </w:rPr>
                    </m:ctrlPr>
                  </m:fPr>
                  <m:num>
                    <m:r>
                      <m:rPr>
                        <m:sty m:val="bi"/>
                      </m:rPr>
                      <w:rPr>
                        <w:rFonts w:ascii="Cambria Math" w:eastAsia="Cambria Math" w:hAnsi="Cambria Math" w:cs="Arial"/>
                      </w:rPr>
                      <m:t>r</m:t>
                    </m:r>
                  </m:num>
                  <m:den>
                    <m:r>
                      <m:rPr>
                        <m:sty m:val="bi"/>
                      </m:rPr>
                      <w:rPr>
                        <w:rFonts w:ascii="Cambria Math" w:eastAsia="Cambria Math" w:hAnsi="Cambria Math" w:cs="Arial"/>
                      </w:rPr>
                      <m:t>1-(1-r</m:t>
                    </m:r>
                    <m:sSup>
                      <m:sSupPr>
                        <m:ctrlPr>
                          <w:rPr>
                            <w:rFonts w:ascii="Cambria Math" w:eastAsia="Cambria Math" w:hAnsi="Cambria Math" w:cs="Arial"/>
                            <w:b/>
                            <w:bCs/>
                          </w:rPr>
                        </m:ctrlPr>
                      </m:sSupPr>
                      <m:e>
                        <m:r>
                          <m:rPr>
                            <m:sty m:val="bi"/>
                          </m:rPr>
                          <w:rPr>
                            <w:rFonts w:ascii="Cambria Math" w:eastAsia="Cambria Math" w:hAnsi="Cambria Math" w:cs="Arial"/>
                          </w:rPr>
                          <m:t>)</m:t>
                        </m:r>
                      </m:e>
                      <m:sup>
                        <m:sSub>
                          <m:sSubPr>
                            <m:ctrlPr>
                              <w:rPr>
                                <w:rFonts w:ascii="Cambria Math" w:eastAsia="Cambria Math" w:hAnsi="Cambria Math" w:cs="Arial"/>
                                <w:b/>
                                <w:bCs/>
                              </w:rPr>
                            </m:ctrlPr>
                          </m:sSubPr>
                          <m:e>
                            <m:r>
                              <m:rPr>
                                <m:sty m:val="bi"/>
                              </m:rPr>
                              <w:rPr>
                                <w:rFonts w:ascii="Cambria Math" w:eastAsia="Cambria Math" w:hAnsi="Cambria Math" w:cs="Arial"/>
                              </w:rPr>
                              <m:t>12*L</m:t>
                            </m:r>
                          </m:e>
                          <m:sub>
                            <m:r>
                              <m:rPr>
                                <m:sty m:val="bi"/>
                              </m:rPr>
                              <w:rPr>
                                <w:rFonts w:ascii="Cambria Math" w:eastAsia="Cambria Math" w:hAnsi="Cambria Math" w:cs="Arial"/>
                              </w:rPr>
                              <m:t>loan</m:t>
                            </m:r>
                          </m:sub>
                        </m:sSub>
                      </m:sup>
                    </m:sSup>
                  </m:den>
                </m:f>
              </m:oMath>
            </m:oMathPara>
          </w:p>
        </w:tc>
        <w:tc>
          <w:tcPr>
            <w:tcW w:w="855" w:type="dxa"/>
            <w:shd w:val="clear" w:color="auto" w:fill="auto"/>
            <w:tcMar>
              <w:top w:w="100" w:type="dxa"/>
              <w:left w:w="100" w:type="dxa"/>
              <w:bottom w:w="100" w:type="dxa"/>
              <w:right w:w="100" w:type="dxa"/>
            </w:tcMar>
            <w:vAlign w:val="center"/>
          </w:tcPr>
          <w:p w14:paraId="2EE3AA92" w14:textId="77777777" w:rsidR="00DA7E40" w:rsidRPr="00D800F0" w:rsidRDefault="00DA7E40" w:rsidP="0000614D">
            <w:pPr>
              <w:widowControl w:val="0"/>
              <w:jc w:val="center"/>
              <w:rPr>
                <w:rFonts w:ascii="Arial" w:hAnsi="Arial" w:cs="Arial"/>
              </w:rPr>
            </w:pPr>
            <w:bookmarkStart w:id="39" w:name="_Ref146930736"/>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12</w:t>
            </w:r>
            <w:r w:rsidRPr="00D800F0">
              <w:rPr>
                <w:rFonts w:ascii="Arial" w:eastAsia="Cambria Math" w:hAnsi="Arial" w:cs="Arial"/>
              </w:rPr>
              <w:fldChar w:fldCharType="end"/>
            </w:r>
            <w:r w:rsidRPr="00D800F0">
              <w:rPr>
                <w:rFonts w:ascii="Arial" w:eastAsia="Cambria Math" w:hAnsi="Arial" w:cs="Arial"/>
              </w:rPr>
              <w:t>)</w:t>
            </w:r>
            <w:bookmarkEnd w:id="39"/>
          </w:p>
        </w:tc>
      </w:tr>
    </w:tbl>
    <w:p w14:paraId="57DBCA3B" w14:textId="77777777" w:rsidR="00DA7E40" w:rsidRPr="00D800F0" w:rsidRDefault="00DA7E40" w:rsidP="00DA7E40">
      <w:pPr>
        <w:rPr>
          <w:rFonts w:ascii="Arial" w:hAnsi="Arial" w:cs="Arial"/>
        </w:rPr>
      </w:pPr>
      <w:r w:rsidRPr="00D800F0">
        <w:rPr>
          <w:rFonts w:ascii="Arial" w:hAnsi="Arial" w:cs="Arial"/>
          <w:b/>
          <w:bCs/>
        </w:rPr>
        <w:tab/>
      </w:r>
      <m:oMath>
        <m:r>
          <m:rPr>
            <m:sty m:val="bi"/>
          </m:rPr>
          <w:rPr>
            <w:rFonts w:ascii="Cambria Math" w:eastAsia="Cambria Math" w:hAnsi="Cambria Math" w:cs="Arial"/>
          </w:rPr>
          <m:t>Sales</m:t>
        </m:r>
        <m:d>
          <m:dPr>
            <m:ctrlPr>
              <w:rPr>
                <w:rFonts w:ascii="Cambria Math" w:eastAsia="Cambria Math" w:hAnsi="Cambria Math" w:cs="Arial"/>
                <w:b/>
                <w:bCs/>
              </w:rPr>
            </m:ctrlPr>
          </m:dPr>
          <m:e>
            <m:r>
              <m:rPr>
                <m:sty m:val="bi"/>
              </m:rPr>
              <w:rPr>
                <w:rFonts w:ascii="Cambria Math" w:eastAsia="Cambria Math" w:hAnsi="Cambria Math" w:cs="Arial"/>
              </w:rPr>
              <m:t>T</m:t>
            </m:r>
          </m:e>
        </m:d>
      </m:oMath>
      <w:r w:rsidRPr="00D800F0">
        <w:rPr>
          <w:rFonts w:ascii="Arial" w:hAnsi="Arial" w:cs="Arial"/>
        </w:rPr>
        <w:t xml:space="preserve"> and </w:t>
      </w:r>
      <m:oMath>
        <m:r>
          <m:rPr>
            <m:sty m:val="bi"/>
          </m:rPr>
          <w:rPr>
            <w:rFonts w:ascii="Cambria Math" w:eastAsia="Cambria Math" w:hAnsi="Cambria Math" w:cs="Arial"/>
          </w:rPr>
          <m:t>OPEX</m:t>
        </m:r>
        <m:d>
          <m:dPr>
            <m:ctrlPr>
              <w:rPr>
                <w:rFonts w:ascii="Cambria Math" w:eastAsia="Cambria Math" w:hAnsi="Cambria Math" w:cs="Arial"/>
                <w:b/>
                <w:bCs/>
              </w:rPr>
            </m:ctrlPr>
          </m:dPr>
          <m:e>
            <m:r>
              <m:rPr>
                <m:sty m:val="bi"/>
              </m:rPr>
              <w:rPr>
                <w:rFonts w:ascii="Cambria Math" w:eastAsia="Cambria Math" w:hAnsi="Cambria Math" w:cs="Arial"/>
              </w:rPr>
              <m:t>T</m:t>
            </m:r>
          </m:e>
        </m:d>
      </m:oMath>
      <w:r w:rsidRPr="00D800F0">
        <w:rPr>
          <w:rFonts w:ascii="Arial" w:hAnsi="Arial" w:cs="Arial"/>
        </w:rPr>
        <w:t xml:space="preserve"> represent the revenue stream from selling ammonia to the market and the cost of operating the plant respectively. </w:t>
      </w:r>
    </w:p>
    <w:tbl>
      <w:tblPr>
        <w:tblW w:w="9360" w:type="dxa"/>
        <w:tblLayout w:type="fixed"/>
        <w:tblLook w:val="0600" w:firstRow="0" w:lastRow="0" w:firstColumn="0" w:lastColumn="0" w:noHBand="1" w:noVBand="1"/>
      </w:tblPr>
      <w:tblGrid>
        <w:gridCol w:w="8505"/>
        <w:gridCol w:w="855"/>
      </w:tblGrid>
      <w:tr w:rsidR="00DA7E40" w:rsidRPr="00D800F0" w14:paraId="0E3AC0E0" w14:textId="77777777" w:rsidTr="0000614D">
        <w:trPr>
          <w:cantSplit/>
          <w:trHeight w:val="839"/>
        </w:trPr>
        <w:tc>
          <w:tcPr>
            <w:tcW w:w="8505" w:type="dxa"/>
            <w:shd w:val="clear" w:color="auto" w:fill="auto"/>
            <w:tcMar>
              <w:top w:w="100" w:type="dxa"/>
              <w:left w:w="100" w:type="dxa"/>
              <w:bottom w:w="100" w:type="dxa"/>
              <w:right w:w="100" w:type="dxa"/>
            </w:tcMar>
            <w:vAlign w:val="center"/>
          </w:tcPr>
          <w:p w14:paraId="25EA1E37"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Sales</m:t>
                </m:r>
                <m:d>
                  <m:dPr>
                    <m:ctrlPr>
                      <w:rPr>
                        <w:rFonts w:ascii="Cambria Math" w:eastAsia="Cambria Math" w:hAnsi="Cambria Math" w:cs="Arial"/>
                        <w:b/>
                        <w:bCs/>
                      </w:rPr>
                    </m:ctrlPr>
                  </m:dPr>
                  <m:e>
                    <m:r>
                      <m:rPr>
                        <m:sty m:val="bi"/>
                      </m:rPr>
                      <w:rPr>
                        <w:rFonts w:ascii="Cambria Math" w:eastAsia="Cambria Math" w:hAnsi="Cambria Math" w:cs="Arial"/>
                      </w:rPr>
                      <m:t>S+C&lt;T≤S+C+L</m:t>
                    </m:r>
                  </m:e>
                </m:d>
                <m:r>
                  <m:rPr>
                    <m:sty m:val="bi"/>
                  </m:rPr>
                  <w:rPr>
                    <w:rFonts w:ascii="Cambria Math" w:eastAsia="Cambria Math" w:hAnsi="Cambria Math" w:cs="Arial"/>
                  </w:rPr>
                  <m:t>=</m:t>
                </m:r>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NH</m:t>
                    </m:r>
                    <m:r>
                      <m:rPr>
                        <m:sty m:val="bi"/>
                      </m:rPr>
                      <w:rPr>
                        <w:rFonts w:ascii="Cambria Math" w:eastAsia="Cambria Math" w:hAnsi="Cambria Math" w:cs="Arial"/>
                      </w:rPr>
                      <m:t>3</m:t>
                    </m:r>
                  </m:sub>
                </m:sSub>
                <m:r>
                  <m:rPr>
                    <m:sty m:val="bi"/>
                  </m:rPr>
                  <w:rPr>
                    <w:rFonts w:ascii="Cambria Math" w:eastAsia="Cambria Math" w:hAnsi="Cambria Math" w:cs="Arial"/>
                  </w:rPr>
                  <m:t>*</m:t>
                </m:r>
                <m:f>
                  <m:fPr>
                    <m:ctrlPr>
                      <w:rPr>
                        <w:rFonts w:ascii="Cambria Math" w:eastAsia="Cambria Math" w:hAnsi="Cambria Math" w:cs="Arial"/>
                        <w:b/>
                        <w:bCs/>
                      </w:rPr>
                    </m:ctrlPr>
                  </m:fPr>
                  <m:num>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A</m:t>
                        </m:r>
                      </m:sub>
                    </m:sSub>
                    <m:r>
                      <m:rPr>
                        <m:sty m:val="bi"/>
                      </m:rPr>
                      <w:rPr>
                        <w:rFonts w:ascii="Cambria Math" w:eastAsia="Cambria Math" w:hAnsi="Cambria Math" w:cs="Arial"/>
                      </w:rPr>
                      <m:t>*</m:t>
                    </m:r>
                    <m:f>
                      <m:fPr>
                        <m:ctrlPr>
                          <w:rPr>
                            <w:rFonts w:ascii="Cambria Math" w:eastAsia="Cambria Math" w:hAnsi="Cambria Math" w:cs="Arial"/>
                            <w:b/>
                            <w:bCs/>
                            <w:i/>
                          </w:rPr>
                        </m:ctrlPr>
                      </m:fPr>
                      <m:num>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y</m:t>
                            </m:r>
                          </m:sub>
                        </m:sSub>
                        <m:ctrlPr>
                          <w:rPr>
                            <w:rFonts w:ascii="Cambria Math" w:eastAsia="Cambria Math" w:hAnsi="Cambria Math" w:cs="Arial"/>
                            <w:b/>
                            <w:i/>
                          </w:rPr>
                        </m:ctrlPr>
                      </m:num>
                      <m:den>
                        <m:r>
                          <m:rPr>
                            <m:sty m:val="bi"/>
                          </m:rPr>
                          <w:rPr>
                            <w:rFonts w:ascii="Cambria Math" w:eastAsia="Cambria Math" w:hAnsi="Cambria Math" w:cs="Arial"/>
                          </w:rPr>
                          <m:t>24</m:t>
                        </m:r>
                      </m:den>
                    </m:f>
                  </m:num>
                  <m:den>
                    <m:r>
                      <m:rPr>
                        <m:sty m:val="bi"/>
                      </m:rPr>
                      <w:rPr>
                        <w:rFonts w:ascii="Cambria Math" w:eastAsia="Cambria Math" w:hAnsi="Cambria Math" w:cs="Arial"/>
                      </w:rPr>
                      <m:t>12</m:t>
                    </m:r>
                  </m:den>
                </m:f>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P</m:t>
                    </m:r>
                  </m:e>
                  <m:sub>
                    <m:r>
                      <m:rPr>
                        <m:sty m:val="bi"/>
                      </m:rPr>
                      <w:rPr>
                        <w:rFonts w:ascii="Cambria Math" w:eastAsia="Cambria Math" w:hAnsi="Cambria Math" w:cs="Arial"/>
                      </w:rPr>
                      <m:t>N</m:t>
                    </m:r>
                    <m:sSub>
                      <m:sSubPr>
                        <m:ctrlPr>
                          <w:rPr>
                            <w:rFonts w:ascii="Cambria Math" w:eastAsia="Cambria Math" w:hAnsi="Cambria Math" w:cs="Arial"/>
                            <w:b/>
                            <w:i/>
                          </w:rPr>
                        </m:ctrlPr>
                      </m:sSubPr>
                      <m:e>
                        <m:r>
                          <m:rPr>
                            <m:sty m:val="bi"/>
                          </m:rPr>
                          <w:rPr>
                            <w:rFonts w:ascii="Cambria Math" w:eastAsia="Cambria Math" w:hAnsi="Cambria Math" w:cs="Arial"/>
                          </w:rPr>
                          <m:t>H</m:t>
                        </m:r>
                      </m:e>
                      <m:sub>
                        <m:r>
                          <m:rPr>
                            <m:sty m:val="bi"/>
                          </m:rPr>
                          <w:rPr>
                            <w:rFonts w:ascii="Cambria Math" w:eastAsia="Cambria Math" w:hAnsi="Cambria Math" w:cs="Arial"/>
                          </w:rPr>
                          <m:t>3</m:t>
                        </m:r>
                      </m:sub>
                    </m:sSub>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855" w:type="dxa"/>
            <w:shd w:val="clear" w:color="auto" w:fill="auto"/>
            <w:tcMar>
              <w:top w:w="100" w:type="dxa"/>
              <w:left w:w="100" w:type="dxa"/>
              <w:bottom w:w="100" w:type="dxa"/>
              <w:right w:w="100" w:type="dxa"/>
            </w:tcMar>
            <w:vAlign w:val="center"/>
          </w:tcPr>
          <w:p w14:paraId="2195E339" w14:textId="77777777" w:rsidR="00DA7E40" w:rsidRPr="00D800F0" w:rsidRDefault="00DA7E40" w:rsidP="0000614D">
            <w:pPr>
              <w:widowControl w:val="0"/>
              <w:jc w:val="center"/>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13</w:t>
            </w:r>
            <w:r w:rsidRPr="00D800F0">
              <w:rPr>
                <w:rFonts w:ascii="Arial" w:eastAsia="Cambria Math" w:hAnsi="Arial" w:cs="Arial"/>
              </w:rPr>
              <w:fldChar w:fldCharType="end"/>
            </w:r>
            <w:r w:rsidRPr="00D800F0">
              <w:rPr>
                <w:rFonts w:ascii="Arial" w:eastAsia="Cambria Math" w:hAnsi="Arial" w:cs="Arial"/>
              </w:rPr>
              <w:t>)</w:t>
            </w:r>
          </w:p>
        </w:tc>
      </w:tr>
      <w:tr w:rsidR="00DA7E40" w:rsidRPr="00D800F0" w14:paraId="071D5D3A" w14:textId="77777777" w:rsidTr="0000614D">
        <w:trPr>
          <w:cantSplit/>
          <w:trHeight w:val="839"/>
        </w:trPr>
        <w:tc>
          <w:tcPr>
            <w:tcW w:w="8505" w:type="dxa"/>
            <w:shd w:val="clear" w:color="auto" w:fill="auto"/>
            <w:tcMar>
              <w:top w:w="100" w:type="dxa"/>
              <w:left w:w="100" w:type="dxa"/>
              <w:bottom w:w="100" w:type="dxa"/>
              <w:right w:w="100" w:type="dxa"/>
            </w:tcMar>
            <w:vAlign w:val="center"/>
          </w:tcPr>
          <w:p w14:paraId="7F060991"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OPEX</m:t>
                </m:r>
                <m:d>
                  <m:dPr>
                    <m:ctrlPr>
                      <w:rPr>
                        <w:rFonts w:ascii="Cambria Math" w:eastAsia="Cambria Math" w:hAnsi="Cambria Math" w:cs="Arial"/>
                        <w:b/>
                        <w:bCs/>
                      </w:rPr>
                    </m:ctrlPr>
                  </m:dPr>
                  <m:e>
                    <m:r>
                      <m:rPr>
                        <m:sty m:val="bi"/>
                      </m:rPr>
                      <w:rPr>
                        <w:rFonts w:ascii="Cambria Math" w:eastAsia="Cambria Math" w:hAnsi="Cambria Math" w:cs="Arial"/>
                      </w:rPr>
                      <m:t>S+C&lt;T ≤S+C+L</m:t>
                    </m:r>
                  </m:e>
                </m:d>
                <m:r>
                  <m:rPr>
                    <m:sty m:val="bi"/>
                  </m:rPr>
                  <w:rPr>
                    <w:rFonts w:ascii="Cambria Math" w:eastAsia="Cambria Math" w:hAnsi="Cambria Math" w:cs="Arial"/>
                  </w:rPr>
                  <m:t>=OPE</m:t>
                </m:r>
                <m:sSub>
                  <m:sSubPr>
                    <m:ctrlPr>
                      <w:rPr>
                        <w:rFonts w:ascii="Cambria Math" w:eastAsia="Cambria Math" w:hAnsi="Cambria Math" w:cs="Arial"/>
                        <w:b/>
                        <w:i/>
                      </w:rPr>
                    </m:ctrlPr>
                  </m:sSubPr>
                  <m:e>
                    <m:r>
                      <m:rPr>
                        <m:sty m:val="bi"/>
                      </m:rPr>
                      <w:rPr>
                        <w:rFonts w:ascii="Cambria Math" w:eastAsia="Cambria Math" w:hAnsi="Cambria Math" w:cs="Arial"/>
                      </w:rPr>
                      <m:t>X</m:t>
                    </m:r>
                  </m:e>
                  <m:sub>
                    <m:r>
                      <m:rPr>
                        <m:sty m:val="bi"/>
                      </m:rPr>
                      <w:rPr>
                        <w:rFonts w:ascii="Cambria Math" w:eastAsia="Cambria Math" w:hAnsi="Cambria Math" w:cs="Arial"/>
                      </w:rPr>
                      <m:t>j</m:t>
                    </m:r>
                  </m:sub>
                </m:sSub>
                <m:r>
                  <m:rPr>
                    <m:sty m:val="bi"/>
                  </m:rPr>
                  <w:rPr>
                    <w:rFonts w:ascii="Cambria Math" w:eastAsia="Cambria Math" w:hAnsi="Cambria Math" w:cs="Arial"/>
                  </w:rPr>
                  <m:t>(T)</m:t>
                </m:r>
              </m:oMath>
            </m:oMathPara>
          </w:p>
        </w:tc>
        <w:tc>
          <w:tcPr>
            <w:tcW w:w="855" w:type="dxa"/>
            <w:shd w:val="clear" w:color="auto" w:fill="auto"/>
            <w:tcMar>
              <w:top w:w="100" w:type="dxa"/>
              <w:left w:w="100" w:type="dxa"/>
              <w:bottom w:w="100" w:type="dxa"/>
              <w:right w:w="100" w:type="dxa"/>
            </w:tcMar>
            <w:vAlign w:val="center"/>
          </w:tcPr>
          <w:p w14:paraId="25AA08B9" w14:textId="77777777" w:rsidR="00DA7E40" w:rsidRPr="00D800F0" w:rsidRDefault="00DA7E40" w:rsidP="0000614D">
            <w:pPr>
              <w:widowControl w:val="0"/>
              <w:jc w:val="center"/>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14</w:t>
            </w:r>
            <w:r w:rsidRPr="00D800F0">
              <w:rPr>
                <w:rFonts w:ascii="Arial" w:eastAsia="Cambria Math" w:hAnsi="Arial" w:cs="Arial"/>
              </w:rPr>
              <w:fldChar w:fldCharType="end"/>
            </w:r>
            <w:r w:rsidRPr="00D800F0">
              <w:rPr>
                <w:rFonts w:ascii="Arial" w:eastAsia="Cambria Math" w:hAnsi="Arial" w:cs="Arial"/>
              </w:rPr>
              <w:t>)</w:t>
            </w:r>
          </w:p>
        </w:tc>
      </w:tr>
    </w:tbl>
    <w:p w14:paraId="0C8E4082" w14:textId="77777777" w:rsidR="00DA7E40" w:rsidRPr="00D800F0" w:rsidRDefault="00DA7E40" w:rsidP="00DA7E40">
      <w:pPr>
        <w:rPr>
          <w:rFonts w:ascii="Arial" w:hAnsi="Arial" w:cs="Arial"/>
        </w:rPr>
      </w:pPr>
      <w:r w:rsidRPr="00D800F0">
        <w:rPr>
          <w:rFonts w:ascii="Arial" w:hAnsi="Arial" w:cs="Arial"/>
        </w:rPr>
        <w:t xml:space="preserve">where </w:t>
      </w:r>
      <m:oMath>
        <m:sSub>
          <m:sSubPr>
            <m:ctrlPr>
              <w:rPr>
                <w:rFonts w:ascii="Cambria Math" w:eastAsia="Cambria Math" w:hAnsi="Cambria Math" w:cs="Arial"/>
                <w:b/>
                <w:bCs/>
              </w:rPr>
            </m:ctrlPr>
          </m:sSubPr>
          <m:e>
            <m:r>
              <m:rPr>
                <m:sty m:val="bi"/>
              </m:rPr>
              <w:rPr>
                <w:rFonts w:ascii="Cambria Math" w:eastAsia="Cambria Math" w:hAnsi="Cambria Math" w:cs="Arial"/>
              </w:rPr>
              <m:t>L</m:t>
            </m:r>
          </m:e>
          <m:sub>
            <m:r>
              <m:rPr>
                <m:sty m:val="bi"/>
              </m:rPr>
              <w:rPr>
                <w:rFonts w:ascii="Cambria Math" w:eastAsia="Cambria Math" w:hAnsi="Cambria Math" w:cs="Arial"/>
              </w:rPr>
              <m:t>loan</m:t>
            </m:r>
          </m:sub>
        </m:sSub>
      </m:oMath>
      <w:r w:rsidRPr="00D800F0">
        <w:rPr>
          <w:rFonts w:ascii="Arial" w:hAnsi="Arial" w:cs="Arial"/>
        </w:rPr>
        <w:t xml:space="preserve"> is the loan lifetime in years, </w:t>
      </w:r>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a</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y</m:t>
            </m:r>
          </m:sub>
        </m:sSub>
      </m:oMath>
      <w:r w:rsidRPr="00D800F0">
        <w:rPr>
          <w:rFonts w:ascii="Arial" w:hAnsi="Arial" w:cs="Arial"/>
        </w:rPr>
        <w:t xml:space="preserve"> are the operating hours per year, </w:t>
      </w:r>
      <m:oMath>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NH</m:t>
            </m:r>
            <m:r>
              <m:rPr>
                <m:sty m:val="bi"/>
              </m:rPr>
              <w:rPr>
                <w:rFonts w:ascii="Cambria Math" w:eastAsia="Cambria Math" w:hAnsi="Cambria Math" w:cs="Arial"/>
              </w:rPr>
              <m:t>3</m:t>
            </m:r>
          </m:sub>
        </m:sSub>
      </m:oMath>
      <w:r w:rsidRPr="00D800F0">
        <w:rPr>
          <w:rFonts w:ascii="Arial" w:hAnsi="Arial" w:cs="Arial"/>
        </w:rPr>
        <w:t xml:space="preserve"> is the monthly ammonia production and </w:t>
      </w:r>
      <m:oMath>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NH</m:t>
            </m:r>
            <m:r>
              <m:rPr>
                <m:sty m:val="bi"/>
              </m:rPr>
              <w:rPr>
                <w:rFonts w:ascii="Cambria Math" w:eastAsia="Cambria Math" w:hAnsi="Cambria Math" w:cs="Arial"/>
              </w:rPr>
              <m:t>3</m:t>
            </m:r>
          </m:sub>
        </m:sSub>
        <m:r>
          <m:rPr>
            <m:sty m:val="bi"/>
          </m:rPr>
          <w:rPr>
            <w:rFonts w:ascii="Cambria Math" w:eastAsia="Cambria Math" w:hAnsi="Cambria Math" w:cs="Arial"/>
          </w:rPr>
          <m:t>(T)</m:t>
        </m:r>
      </m:oMath>
      <w:r w:rsidRPr="00D800F0">
        <w:rPr>
          <w:rFonts w:ascii="Arial" w:hAnsi="Arial" w:cs="Arial"/>
        </w:rPr>
        <w:t xml:space="preserve"> its market-dependent cost. </w:t>
      </w:r>
    </w:p>
    <w:p w14:paraId="484D64D0" w14:textId="77777777" w:rsidR="00DA7E40" w:rsidRPr="00D800F0" w:rsidRDefault="00DA7E40" w:rsidP="00DA7E40">
      <w:pPr>
        <w:rPr>
          <w:rFonts w:ascii="Arial" w:hAnsi="Arial" w:cs="Arial"/>
        </w:rPr>
      </w:pPr>
      <w:r w:rsidRPr="00D800F0">
        <w:rPr>
          <w:rFonts w:ascii="Arial" w:hAnsi="Arial" w:cs="Arial"/>
          <w:b/>
          <w:bCs/>
        </w:rPr>
        <w:tab/>
      </w:r>
      <m:oMath>
        <m:r>
          <m:rPr>
            <m:sty m:val="bi"/>
          </m:rPr>
          <w:rPr>
            <w:rFonts w:ascii="Cambria Math" w:eastAsia="Cambria Math" w:hAnsi="Cambria Math" w:cs="Arial"/>
          </w:rPr>
          <m:t>Tax</m:t>
        </m:r>
        <m:d>
          <m:dPr>
            <m:ctrlPr>
              <w:rPr>
                <w:rFonts w:ascii="Cambria Math" w:eastAsia="Cambria Math" w:hAnsi="Cambria Math" w:cs="Arial"/>
                <w:b/>
                <w:bCs/>
              </w:rPr>
            </m:ctrlPr>
          </m:dPr>
          <m:e>
            <m:r>
              <m:rPr>
                <m:sty m:val="bi"/>
              </m:rPr>
              <w:rPr>
                <w:rFonts w:ascii="Cambria Math" w:eastAsia="Cambria Math" w:hAnsi="Cambria Math" w:cs="Arial"/>
              </w:rPr>
              <m:t>T</m:t>
            </m:r>
          </m:e>
        </m:d>
      </m:oMath>
      <w:r w:rsidRPr="00D800F0">
        <w:rPr>
          <w:rFonts w:ascii="Arial" w:hAnsi="Arial" w:cs="Arial"/>
        </w:rPr>
        <w:t xml:space="preserve"> is the income tax and </w:t>
      </w:r>
      <m:oMath>
        <m:r>
          <m:rPr>
            <m:sty m:val="bi"/>
          </m:rPr>
          <w:rPr>
            <w:rFonts w:ascii="Cambria Math" w:eastAsia="Cambria Math" w:hAnsi="Cambria Math" w:cs="Arial"/>
          </w:rPr>
          <m:t>Credit</m:t>
        </m:r>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CE</m:t>
            </m:r>
          </m:sub>
        </m:sSub>
        <m:d>
          <m:dPr>
            <m:ctrlPr>
              <w:rPr>
                <w:rFonts w:ascii="Cambria Math" w:eastAsia="Cambria Math" w:hAnsi="Cambria Math" w:cs="Arial"/>
                <w:b/>
                <w:bCs/>
              </w:rPr>
            </m:ctrlPr>
          </m:dPr>
          <m:e>
            <m:r>
              <m:rPr>
                <m:sty m:val="bi"/>
              </m:rPr>
              <w:rPr>
                <w:rFonts w:ascii="Cambria Math" w:eastAsia="Cambria Math" w:hAnsi="Cambria Math" w:cs="Arial"/>
              </w:rPr>
              <m:t>T</m:t>
            </m:r>
          </m:e>
        </m:d>
      </m:oMath>
      <w:r w:rsidRPr="00D800F0">
        <w:rPr>
          <w:rFonts w:ascii="Arial" w:hAnsi="Arial" w:cs="Arial"/>
        </w:rPr>
        <w:t xml:space="preserve"> represents the cash-equivalent IRA tax credits. The following  variables are interconnected in the financial analysis of income and expenses, with depreciation and uninstalled equipment cost playing key roles in determining net revenue and, subsequently, tax.</w:t>
      </w:r>
    </w:p>
    <w:tbl>
      <w:tblPr>
        <w:tblW w:w="9360" w:type="dxa"/>
        <w:tblLayout w:type="fixed"/>
        <w:tblLook w:val="0600" w:firstRow="0" w:lastRow="0" w:firstColumn="0" w:lastColumn="0" w:noHBand="1" w:noVBand="1"/>
      </w:tblPr>
      <w:tblGrid>
        <w:gridCol w:w="8505"/>
        <w:gridCol w:w="855"/>
      </w:tblGrid>
      <w:tr w:rsidR="00DA7E40" w:rsidRPr="00D800F0" w14:paraId="392FAA5A" w14:textId="77777777" w:rsidTr="0000614D">
        <w:trPr>
          <w:cantSplit/>
          <w:trHeight w:val="839"/>
        </w:trPr>
        <w:tc>
          <w:tcPr>
            <w:tcW w:w="8505" w:type="dxa"/>
            <w:shd w:val="clear" w:color="auto" w:fill="auto"/>
            <w:tcMar>
              <w:top w:w="100" w:type="dxa"/>
              <w:left w:w="100" w:type="dxa"/>
              <w:bottom w:w="100" w:type="dxa"/>
              <w:right w:w="100" w:type="dxa"/>
            </w:tcMar>
            <w:vAlign w:val="center"/>
          </w:tcPr>
          <w:p w14:paraId="5C215222"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Tax </m:t>
                </m:r>
                <m:d>
                  <m:dPr>
                    <m:ctrlPr>
                      <w:rPr>
                        <w:rFonts w:ascii="Cambria Math" w:eastAsia="Cambria Math" w:hAnsi="Cambria Math" w:cs="Arial"/>
                        <w:b/>
                        <w:bCs/>
                      </w:rPr>
                    </m:ctrlPr>
                  </m:dPr>
                  <m:e>
                    <m:r>
                      <m:rPr>
                        <m:sty m:val="bi"/>
                      </m:rPr>
                      <w:rPr>
                        <w:rFonts w:ascii="Cambria Math" w:eastAsia="Cambria Math" w:hAnsi="Cambria Math" w:cs="Arial"/>
                      </w:rPr>
                      <m:t>S+C&lt;T&lt;S+C+L</m:t>
                    </m:r>
                  </m:e>
                </m:d>
                <m:r>
                  <m:rPr>
                    <m:sty m:val="bi"/>
                  </m:rPr>
                  <w:rPr>
                    <w:rFonts w:ascii="Cambria Math" w:eastAsia="Cambria Math" w:hAnsi="Cambria Math" w:cs="Arial"/>
                  </w:rPr>
                  <m:t>=-</m:t>
                </m:r>
                <m:d>
                  <m:dPr>
                    <m:ctrlPr>
                      <w:rPr>
                        <w:rFonts w:ascii="Cambria Math" w:eastAsia="Cambria Math" w:hAnsi="Cambria Math" w:cs="Arial"/>
                        <w:b/>
                        <w:bCs/>
                      </w:rPr>
                    </m:ctrlPr>
                  </m:dPr>
                  <m:e>
                    <m:r>
                      <m:rPr>
                        <m:sty m:val="bi"/>
                      </m:rPr>
                      <w:rPr>
                        <w:rFonts w:ascii="Cambria Math" w:eastAsia="Cambria Math" w:hAnsi="Cambria Math" w:cs="Arial"/>
                      </w:rPr>
                      <m:t>Net revenue(T)</m:t>
                    </m:r>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φ</m:t>
                    </m:r>
                  </m:e>
                  <m:sub>
                    <m:r>
                      <m:rPr>
                        <m:sty m:val="bi"/>
                      </m:rPr>
                      <w:rPr>
                        <w:rFonts w:ascii="Cambria Math" w:eastAsia="Cambria Math" w:hAnsi="Cambria Math" w:cs="Arial"/>
                      </w:rPr>
                      <m:t>state</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φ</m:t>
                    </m:r>
                  </m:e>
                  <m:sub>
                    <m:r>
                      <m:rPr>
                        <m:sty m:val="bi"/>
                      </m:rPr>
                      <w:rPr>
                        <w:rFonts w:ascii="Cambria Math" w:eastAsia="Cambria Math" w:hAnsi="Cambria Math" w:cs="Arial"/>
                      </w:rPr>
                      <m:t>federal</m:t>
                    </m:r>
                  </m:sub>
                </m:sSub>
                <m:r>
                  <m:rPr>
                    <m:sty m:val="bi"/>
                  </m:rPr>
                  <w:rPr>
                    <w:rFonts w:ascii="Cambria Math" w:eastAsia="Cambria Math" w:hAnsi="Cambria Math" w:cs="Arial"/>
                  </w:rPr>
                  <m:t>)</m:t>
                </m:r>
              </m:oMath>
            </m:oMathPara>
          </w:p>
        </w:tc>
        <w:tc>
          <w:tcPr>
            <w:tcW w:w="855" w:type="dxa"/>
            <w:shd w:val="clear" w:color="auto" w:fill="auto"/>
            <w:tcMar>
              <w:top w:w="100" w:type="dxa"/>
              <w:left w:w="100" w:type="dxa"/>
              <w:bottom w:w="100" w:type="dxa"/>
              <w:right w:w="100" w:type="dxa"/>
            </w:tcMar>
            <w:vAlign w:val="center"/>
          </w:tcPr>
          <w:p w14:paraId="0558C2A3" w14:textId="77777777" w:rsidR="00DA7E40" w:rsidRPr="00D800F0" w:rsidRDefault="00DA7E40" w:rsidP="0000614D">
            <w:pPr>
              <w:widowControl w:val="0"/>
              <w:jc w:val="center"/>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15</w:t>
            </w:r>
            <w:r w:rsidRPr="00D800F0">
              <w:rPr>
                <w:rFonts w:ascii="Arial" w:eastAsia="Cambria Math" w:hAnsi="Arial" w:cs="Arial"/>
              </w:rPr>
              <w:fldChar w:fldCharType="end"/>
            </w:r>
            <w:r w:rsidRPr="00D800F0">
              <w:rPr>
                <w:rFonts w:ascii="Arial" w:eastAsia="Cambria Math" w:hAnsi="Arial" w:cs="Arial"/>
              </w:rPr>
              <w:t>)</w:t>
            </w:r>
          </w:p>
        </w:tc>
      </w:tr>
      <w:tr w:rsidR="00DA7E40" w:rsidRPr="00D800F0" w14:paraId="27646411" w14:textId="77777777" w:rsidTr="0000614D">
        <w:trPr>
          <w:cantSplit/>
          <w:trHeight w:val="839"/>
        </w:trPr>
        <w:tc>
          <w:tcPr>
            <w:tcW w:w="8505" w:type="dxa"/>
            <w:shd w:val="clear" w:color="auto" w:fill="auto"/>
            <w:tcMar>
              <w:top w:w="100" w:type="dxa"/>
              <w:left w:w="100" w:type="dxa"/>
              <w:bottom w:w="100" w:type="dxa"/>
              <w:right w:w="100" w:type="dxa"/>
            </w:tcMar>
            <w:vAlign w:val="center"/>
          </w:tcPr>
          <w:p w14:paraId="74A70EF1"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Net revenue</m:t>
                </m:r>
                <m:d>
                  <m:dPr>
                    <m:ctrlPr>
                      <w:rPr>
                        <w:rFonts w:ascii="Cambria Math" w:eastAsia="Cambria Math" w:hAnsi="Cambria Math" w:cs="Arial"/>
                        <w:b/>
                        <w:bCs/>
                      </w:rPr>
                    </m:ctrlPr>
                  </m:dPr>
                  <m:e>
                    <m:r>
                      <m:rPr>
                        <m:sty m:val="bi"/>
                      </m:rPr>
                      <w:rPr>
                        <w:rFonts w:ascii="Cambria Math" w:eastAsia="Cambria Math" w:hAnsi="Cambria Math" w:cs="Arial"/>
                      </w:rPr>
                      <m:t>S+C≤T≤S+C+L</m:t>
                    </m:r>
                  </m:e>
                </m:d>
                <m:r>
                  <m:rPr>
                    <m:sty m:val="bi"/>
                  </m:rPr>
                  <w:rPr>
                    <w:rFonts w:ascii="Cambria Math" w:eastAsia="Cambria Math" w:hAnsi="Cambria Math" w:cs="Arial"/>
                  </w:rPr>
                  <m:t>=Depreciation</m:t>
                </m:r>
                <m:d>
                  <m:dPr>
                    <m:ctrlPr>
                      <w:rPr>
                        <w:rFonts w:ascii="Cambria Math" w:eastAsia="Cambria Math" w:hAnsi="Cambria Math" w:cs="Arial"/>
                        <w:b/>
                        <w:bCs/>
                      </w:rPr>
                    </m:ctrlPr>
                  </m:dPr>
                  <m:e>
                    <m:r>
                      <m:rPr>
                        <m:sty m:val="bi"/>
                      </m:rPr>
                      <w:rPr>
                        <w:rFonts w:ascii="Cambria Math" w:eastAsia="Cambria Math" w:hAnsi="Cambria Math" w:cs="Arial"/>
                      </w:rPr>
                      <m:t>S+C≤T≤S+C+</m:t>
                    </m:r>
                    <m:sSub>
                      <m:sSubPr>
                        <m:ctrlPr>
                          <w:rPr>
                            <w:rFonts w:ascii="Cambria Math" w:eastAsia="Cambria Math" w:hAnsi="Cambria Math" w:cs="Arial"/>
                            <w:b/>
                            <w:bCs/>
                          </w:rPr>
                        </m:ctrlPr>
                      </m:sSubPr>
                      <m:e>
                        <m:r>
                          <m:rPr>
                            <m:sty m:val="bi"/>
                          </m:rPr>
                          <w:rPr>
                            <w:rFonts w:ascii="Cambria Math" w:eastAsia="Cambria Math" w:hAnsi="Cambria Math" w:cs="Arial"/>
                          </w:rPr>
                          <m:t>L</m:t>
                        </m:r>
                      </m:e>
                      <m:sub>
                        <m:r>
                          <m:rPr>
                            <m:sty m:val="bi"/>
                          </m:rPr>
                          <w:rPr>
                            <w:rFonts w:ascii="Cambria Math" w:eastAsia="Cambria Math" w:hAnsi="Cambria Math" w:cs="Arial"/>
                          </w:rPr>
                          <m:t>equipment</m:t>
                        </m:r>
                      </m:sub>
                    </m:sSub>
                  </m:e>
                </m:d>
              </m:oMath>
            </m:oMathPara>
          </w:p>
          <w:p w14:paraId="47F521FF"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+OPEX</m:t>
                </m:r>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+Sales</m:t>
                </m:r>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+PMT</m:t>
                </m:r>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855" w:type="dxa"/>
            <w:shd w:val="clear" w:color="auto" w:fill="auto"/>
            <w:tcMar>
              <w:top w:w="100" w:type="dxa"/>
              <w:left w:w="100" w:type="dxa"/>
              <w:bottom w:w="100" w:type="dxa"/>
              <w:right w:w="100" w:type="dxa"/>
            </w:tcMar>
            <w:vAlign w:val="center"/>
          </w:tcPr>
          <w:p w14:paraId="22260396" w14:textId="77777777" w:rsidR="00DA7E40" w:rsidRPr="00D800F0" w:rsidRDefault="00DA7E40" w:rsidP="0000614D">
            <w:pPr>
              <w:widowControl w:val="0"/>
              <w:jc w:val="center"/>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16</w:t>
            </w:r>
            <w:r w:rsidRPr="00D800F0">
              <w:rPr>
                <w:rFonts w:ascii="Arial" w:eastAsia="Cambria Math" w:hAnsi="Arial" w:cs="Arial"/>
              </w:rPr>
              <w:fldChar w:fldCharType="end"/>
            </w:r>
            <w:r w:rsidRPr="00D800F0">
              <w:rPr>
                <w:rFonts w:ascii="Arial" w:eastAsia="Cambria Math" w:hAnsi="Arial" w:cs="Arial"/>
              </w:rPr>
              <w:t>)</w:t>
            </w:r>
          </w:p>
        </w:tc>
      </w:tr>
      <w:tr w:rsidR="00DA7E40" w:rsidRPr="00D800F0" w14:paraId="42225898" w14:textId="77777777" w:rsidTr="0000614D">
        <w:trPr>
          <w:cantSplit/>
          <w:trHeight w:val="839"/>
        </w:trPr>
        <w:tc>
          <w:tcPr>
            <w:tcW w:w="8505" w:type="dxa"/>
            <w:shd w:val="clear" w:color="auto" w:fill="auto"/>
            <w:tcMar>
              <w:top w:w="100" w:type="dxa"/>
              <w:left w:w="100" w:type="dxa"/>
              <w:bottom w:w="100" w:type="dxa"/>
              <w:right w:w="100" w:type="dxa"/>
            </w:tcMar>
            <w:vAlign w:val="center"/>
          </w:tcPr>
          <w:p w14:paraId="515F9A18"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Depreciation</m:t>
                </m:r>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m:t>
                </m:r>
                <m:d>
                  <m:dPr>
                    <m:ctrlPr>
                      <w:rPr>
                        <w:rFonts w:ascii="Cambria Math" w:eastAsia="Cambria Math" w:hAnsi="Cambria Math" w:cs="Arial"/>
                        <w:b/>
                        <w:bCs/>
                      </w:rPr>
                    </m:ctrlPr>
                  </m:dPr>
                  <m:e>
                    <m:f>
                      <m:fPr>
                        <m:ctrlPr>
                          <w:rPr>
                            <w:rFonts w:ascii="Cambria Math" w:eastAsia="Cambria Math" w:hAnsi="Cambria Math" w:cs="Arial"/>
                            <w:b/>
                            <w:bCs/>
                          </w:rPr>
                        </m:ctrlPr>
                      </m:fPr>
                      <m:num>
                        <m:r>
                          <m:rPr>
                            <m:sty m:val="bi"/>
                          </m:rPr>
                          <w:rPr>
                            <w:rFonts w:ascii="Cambria Math" w:eastAsia="Cambria Math" w:hAnsi="Cambria Math" w:cs="Arial"/>
                          </w:rPr>
                          <m:t>100%</m:t>
                        </m:r>
                      </m:num>
                      <m:den>
                        <m:sSub>
                          <m:sSubPr>
                            <m:ctrlPr>
                              <w:rPr>
                                <w:rFonts w:ascii="Cambria Math" w:eastAsia="Cambria Math" w:hAnsi="Cambria Math" w:cs="Arial"/>
                                <w:b/>
                                <w:bCs/>
                              </w:rPr>
                            </m:ctrlPr>
                          </m:sSubPr>
                          <m:e>
                            <m:r>
                              <m:rPr>
                                <m:sty m:val="bi"/>
                              </m:rPr>
                              <w:rPr>
                                <w:rFonts w:ascii="Cambria Math" w:eastAsia="Cambria Math" w:hAnsi="Cambria Math" w:cs="Arial"/>
                              </w:rPr>
                              <m:t>L</m:t>
                            </m:r>
                          </m:e>
                          <m:sub>
                            <m:r>
                              <m:rPr>
                                <m:sty m:val="bi"/>
                              </m:rPr>
                              <w:rPr>
                                <w:rFonts w:ascii="Cambria Math" w:eastAsia="Cambria Math" w:hAnsi="Cambria Math" w:cs="Arial"/>
                              </w:rPr>
                              <m:t>equipment</m:t>
                            </m:r>
                          </m:sub>
                        </m:sSub>
                      </m:den>
                    </m:f>
                  </m:e>
                </m:d>
                <m:r>
                  <m:rPr>
                    <m:sty m:val="bi"/>
                  </m:rPr>
                  <w:rPr>
                    <w:rFonts w:ascii="Cambria Math" w:eastAsia="Cambria Math" w:hAnsi="Cambria Math" w:cs="Arial"/>
                  </w:rPr>
                  <m:t>*E</m:t>
                </m:r>
                <m:sSub>
                  <m:sSubPr>
                    <m:ctrlPr>
                      <w:rPr>
                        <w:rFonts w:ascii="Cambria Math" w:eastAsia="Cambria Math" w:hAnsi="Cambria Math" w:cs="Arial"/>
                        <w:b/>
                        <w:bCs/>
                      </w:rPr>
                    </m:ctrlPr>
                  </m:sSubPr>
                  <m:e>
                    <m:r>
                      <m:rPr>
                        <m:sty m:val="bi"/>
                      </m:rPr>
                      <w:rPr>
                        <w:rFonts w:ascii="Cambria Math" w:eastAsia="Cambria Math" w:hAnsi="Cambria Math" w:cs="Arial"/>
                      </w:rPr>
                      <m:t>C</m:t>
                    </m:r>
                  </m:e>
                  <m:sub>
                    <m:sSub>
                      <m:sSubPr>
                        <m:ctrlPr>
                          <w:rPr>
                            <w:rFonts w:ascii="Cambria Math" w:eastAsia="Cambria Math" w:hAnsi="Cambria Math" w:cs="Arial"/>
                            <w:b/>
                            <w:bCs/>
                          </w:rPr>
                        </m:ctrlPr>
                      </m:sSubPr>
                      <m:e>
                        <m:r>
                          <m:rPr>
                            <m:sty m:val="bi"/>
                          </m:rPr>
                          <w:rPr>
                            <w:rFonts w:ascii="Cambria Math" w:eastAsia="Cambria Math" w:hAnsi="Cambria Math" w:cs="Arial"/>
                          </w:rPr>
                          <m:t>u</m:t>
                        </m:r>
                      </m:e>
                      <m:sub>
                        <m:r>
                          <m:rPr>
                            <m:sty m:val="bi"/>
                          </m:rPr>
                          <w:rPr>
                            <w:rFonts w:ascii="Cambria Math" w:eastAsia="Cambria Math" w:hAnsi="Cambria Math" w:cs="Arial"/>
                          </w:rPr>
                          <m:t>j</m:t>
                        </m:r>
                      </m:sub>
                    </m:sSub>
                  </m:sub>
                </m:sSub>
              </m:oMath>
            </m:oMathPara>
          </w:p>
        </w:tc>
        <w:tc>
          <w:tcPr>
            <w:tcW w:w="855" w:type="dxa"/>
            <w:shd w:val="clear" w:color="auto" w:fill="auto"/>
            <w:tcMar>
              <w:top w:w="100" w:type="dxa"/>
              <w:left w:w="100" w:type="dxa"/>
              <w:bottom w:w="100" w:type="dxa"/>
              <w:right w:w="100" w:type="dxa"/>
            </w:tcMar>
            <w:vAlign w:val="center"/>
          </w:tcPr>
          <w:p w14:paraId="5BA77437" w14:textId="77777777" w:rsidR="00DA7E40" w:rsidRPr="00D800F0" w:rsidRDefault="00DA7E40" w:rsidP="0000614D">
            <w:pPr>
              <w:widowControl w:val="0"/>
              <w:jc w:val="center"/>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17</w:t>
            </w:r>
            <w:r w:rsidRPr="00D800F0">
              <w:rPr>
                <w:rFonts w:ascii="Arial" w:eastAsia="Cambria Math" w:hAnsi="Arial" w:cs="Arial"/>
              </w:rPr>
              <w:fldChar w:fldCharType="end"/>
            </w:r>
            <w:r w:rsidRPr="00D800F0">
              <w:rPr>
                <w:rFonts w:ascii="Arial" w:eastAsia="Cambria Math" w:hAnsi="Arial" w:cs="Arial"/>
              </w:rPr>
              <w:t>)</w:t>
            </w:r>
          </w:p>
        </w:tc>
      </w:tr>
    </w:tbl>
    <w:p w14:paraId="3AAD874D" w14:textId="77777777" w:rsidR="00DA7E40" w:rsidRPr="00D800F0" w:rsidRDefault="00DA7E40" w:rsidP="006864F3">
      <w:pPr>
        <w:pStyle w:val="Heading3"/>
        <w:rPr>
          <w:rFonts w:ascii="Arial" w:hAnsi="Arial" w:cs="Arial"/>
        </w:rPr>
      </w:pPr>
      <w:bookmarkStart w:id="40" w:name="_Toc148296625"/>
      <w:r w:rsidRPr="00D800F0">
        <w:rPr>
          <w:rFonts w:ascii="Arial" w:hAnsi="Arial" w:cs="Arial"/>
        </w:rPr>
        <w:t>Policy Model</w:t>
      </w:r>
      <w:bookmarkEnd w:id="40"/>
    </w:p>
    <w:p w14:paraId="2E2C64C6" w14:textId="77777777" w:rsidR="00DA7E40" w:rsidRPr="00D800F0" w:rsidRDefault="00DA7E40" w:rsidP="006864F3">
      <w:pPr>
        <w:pStyle w:val="Heading4"/>
        <w:rPr>
          <w:rFonts w:ascii="Arial" w:hAnsi="Arial" w:cs="Arial"/>
        </w:rPr>
      </w:pPr>
      <w:r w:rsidRPr="00D800F0">
        <w:rPr>
          <w:rFonts w:ascii="Arial" w:hAnsi="Arial" w:cs="Arial"/>
        </w:rPr>
        <w:t>Carbon Intensity Calculations</w:t>
      </w:r>
    </w:p>
    <w:p w14:paraId="7822C490" w14:textId="61DD8EC9" w:rsidR="00DA7E40" w:rsidRPr="00D800F0" w:rsidRDefault="00DA7E40" w:rsidP="00DA7E40">
      <w:pPr>
        <w:rPr>
          <w:rFonts w:ascii="Arial" w:hAnsi="Arial" w:cs="Arial"/>
        </w:rPr>
      </w:pPr>
      <w:r w:rsidRPr="00D800F0">
        <w:rPr>
          <w:rFonts w:ascii="Arial" w:hAnsi="Arial" w:cs="Arial"/>
        </w:rPr>
        <w:lastRenderedPageBreak/>
        <w:t xml:space="preserve">The calculation of the carbon intensity as a function of time, </w:t>
      </w:r>
      <m:oMath>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(T)</m:t>
        </m:r>
      </m:oMath>
      <w:r w:rsidRPr="00D800F0">
        <w:rPr>
          <w:rFonts w:ascii="Arial" w:hAnsi="Arial" w:cs="Arial"/>
        </w:rPr>
        <w:t xml:space="preserve">, the carbon intensity is divided into multiple components. Each component is in units </w:t>
      </w:r>
      <m:oMath>
        <m:f>
          <m:fPr>
            <m:ctrlPr>
              <w:rPr>
                <w:rFonts w:ascii="Cambria Math" w:eastAsia="Cambria Math" w:hAnsi="Cambria Math" w:cs="Arial"/>
                <w:b/>
                <w:bCs/>
              </w:rPr>
            </m:ctrlPr>
          </m:fPr>
          <m:num>
            <m:r>
              <m:rPr>
                <m:sty m:val="bi"/>
              </m:rPr>
              <w:rPr>
                <w:rFonts w:ascii="Cambria Math" w:eastAsia="Cambria Math" w:hAnsi="Cambria Math" w:cs="Arial"/>
              </w:rPr>
              <m:t>K</m:t>
            </m:r>
            <m:sSub>
              <m:sSubPr>
                <m:ctrlPr>
                  <w:rPr>
                    <w:rFonts w:ascii="Cambria Math" w:eastAsia="Cambria Math" w:hAnsi="Cambria Math" w:cs="Arial"/>
                    <w:b/>
                    <w:bCs/>
                  </w:rPr>
                </m:ctrlPr>
              </m:sSubPr>
              <m:e>
                <m:r>
                  <m:rPr>
                    <m:sty m:val="bi"/>
                  </m:rPr>
                  <w:rPr>
                    <w:rFonts w:ascii="Cambria Math" w:eastAsia="Cambria Math" w:hAnsi="Cambria Math" w:cs="Arial"/>
                  </w:rPr>
                  <m:t>g</m:t>
                </m:r>
              </m:e>
              <m:sub>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O</m:t>
                    </m:r>
                  </m:e>
                  <m:sub>
                    <m:r>
                      <m:rPr>
                        <m:sty m:val="bi"/>
                      </m:rPr>
                      <w:rPr>
                        <w:rFonts w:ascii="Cambria Math" w:eastAsia="Cambria Math" w:hAnsi="Cambria Math" w:cs="Arial"/>
                      </w:rPr>
                      <m:t>2</m:t>
                    </m:r>
                  </m:sub>
                </m:sSub>
              </m:sub>
            </m:sSub>
          </m:num>
          <m:den>
            <m:r>
              <m:rPr>
                <m:sty m:val="bi"/>
              </m:rPr>
              <w:rPr>
                <w:rFonts w:ascii="Cambria Math" w:eastAsia="Cambria Math" w:hAnsi="Cambria Math" w:cs="Arial"/>
              </w:rPr>
              <m:t>K</m:t>
            </m:r>
            <m:sSub>
              <m:sSubPr>
                <m:ctrlPr>
                  <w:rPr>
                    <w:rFonts w:ascii="Cambria Math" w:eastAsia="Cambria Math" w:hAnsi="Cambria Math" w:cs="Arial"/>
                    <w:b/>
                    <w:bCs/>
                  </w:rPr>
                </m:ctrlPr>
              </m:sSubPr>
              <m:e>
                <m:r>
                  <m:rPr>
                    <m:sty m:val="bi"/>
                  </m:rPr>
                  <w:rPr>
                    <w:rFonts w:ascii="Cambria Math" w:eastAsia="Cambria Math" w:hAnsi="Cambria Math" w:cs="Arial"/>
                  </w:rPr>
                  <m:t>g</m:t>
                </m:r>
              </m:e>
              <m:sub>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sub>
            </m:sSub>
          </m:den>
        </m:f>
      </m:oMath>
      <w:r w:rsidRPr="00D800F0">
        <w:rPr>
          <w:rFonts w:ascii="Arial" w:hAnsi="Arial" w:cs="Arial"/>
        </w:rPr>
        <w:t xml:space="preserve"> in </w:t>
      </w:r>
      <w:r w:rsidRPr="00D800F0">
        <w:rPr>
          <w:rFonts w:ascii="Arial" w:hAnsi="Arial" w:cs="Arial"/>
        </w:rPr>
        <w:fldChar w:fldCharType="begin"/>
      </w:r>
      <w:r w:rsidRPr="00D800F0">
        <w:rPr>
          <w:rFonts w:ascii="Arial" w:hAnsi="Arial" w:cs="Arial"/>
        </w:rPr>
        <w:instrText xml:space="preserve"> REF _Ref147606528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eastAsia="Cambria Math" w:hAnsi="Arial" w:cs="Arial"/>
        </w:rPr>
        <w:t>(</w:t>
      </w:r>
      <w:r w:rsidRPr="00D800F0">
        <w:rPr>
          <w:rFonts w:ascii="Arial" w:eastAsia="Cambria Math" w:hAnsi="Arial" w:cs="Arial"/>
          <w:noProof/>
        </w:rPr>
        <w:t>C</w:t>
      </w:r>
      <w:r w:rsidRPr="00D800F0">
        <w:rPr>
          <w:rFonts w:ascii="Arial" w:eastAsia="Cambria Math" w:hAnsi="Arial" w:cs="Arial"/>
        </w:rPr>
        <w:t>.</w:t>
      </w:r>
      <w:r w:rsidRPr="00D800F0">
        <w:rPr>
          <w:rFonts w:ascii="Arial" w:eastAsia="Cambria Math" w:hAnsi="Arial" w:cs="Arial"/>
          <w:noProof/>
        </w:rPr>
        <w:t>18</w:t>
      </w:r>
      <w:r w:rsidRPr="00D800F0">
        <w:rPr>
          <w:rFonts w:ascii="Arial" w:eastAsia="Cambria Math" w:hAnsi="Arial" w:cs="Arial"/>
        </w:rPr>
        <w:t>)</w:t>
      </w:r>
      <w:r w:rsidRPr="00D800F0">
        <w:rPr>
          <w:rFonts w:ascii="Arial" w:hAnsi="Arial" w:cs="Arial"/>
        </w:rPr>
        <w:fldChar w:fldCharType="end"/>
      </w:r>
      <w:r w:rsidRPr="00D800F0">
        <w:rPr>
          <w:rFonts w:ascii="Arial" w:hAnsi="Arial" w:cs="Arial"/>
        </w:rPr>
        <w:t xml:space="preserve">. The electric grid carbon intensity </w:t>
      </w:r>
      <w:r w:rsidRPr="00D800F0">
        <w:rPr>
          <w:rFonts w:ascii="Arial" w:hAnsi="Arial" w:cs="Arial"/>
        </w:rPr>
        <w:fldChar w:fldCharType="begin"/>
      </w:r>
      <w:r w:rsidRPr="00D800F0">
        <w:rPr>
          <w:rFonts w:ascii="Arial" w:hAnsi="Arial" w:cs="Arial"/>
        </w:rPr>
        <w:instrText xml:space="preserve"> REF _Ref146931804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eastAsia="Cambria Math" w:hAnsi="Arial" w:cs="Arial"/>
        </w:rPr>
        <w:t>(</w:t>
      </w:r>
      <w:r w:rsidRPr="00D800F0">
        <w:rPr>
          <w:rFonts w:ascii="Arial" w:eastAsia="Cambria Math" w:hAnsi="Arial" w:cs="Arial"/>
          <w:noProof/>
        </w:rPr>
        <w:t>C</w:t>
      </w:r>
      <w:r w:rsidRPr="00D800F0">
        <w:rPr>
          <w:rFonts w:ascii="Arial" w:eastAsia="Cambria Math" w:hAnsi="Arial" w:cs="Arial"/>
        </w:rPr>
        <w:t>.</w:t>
      </w:r>
      <w:r w:rsidRPr="00D800F0">
        <w:rPr>
          <w:rFonts w:ascii="Arial" w:eastAsia="Cambria Math" w:hAnsi="Arial" w:cs="Arial"/>
          <w:noProof/>
        </w:rPr>
        <w:t>19</w:t>
      </w:r>
      <w:r w:rsidRPr="00D800F0">
        <w:rPr>
          <w:rFonts w:ascii="Arial" w:eastAsia="Cambria Math" w:hAnsi="Arial" w:cs="Arial"/>
        </w:rPr>
        <w:t>)</w:t>
      </w:r>
      <w:r w:rsidRPr="00D800F0">
        <w:rPr>
          <w:rFonts w:ascii="Arial" w:hAnsi="Arial" w:cs="Arial"/>
        </w:rPr>
        <w:fldChar w:fldCharType="end"/>
      </w:r>
      <w:r w:rsidRPr="00D800F0">
        <w:rPr>
          <w:rFonts w:ascii="Arial" w:hAnsi="Arial" w:cs="Arial"/>
        </w:rPr>
        <w:t xml:space="preserve"> in</w:t>
      </w:r>
      <w:r w:rsidRPr="00D800F0">
        <w:rPr>
          <w:rFonts w:ascii="Arial" w:hAnsi="Arial" w:cs="Arial"/>
          <w:b/>
          <w:bCs/>
        </w:rPr>
        <w:t xml:space="preserve"> </w:t>
      </w:r>
      <m:oMath>
        <m:f>
          <m:fPr>
            <m:ctrlPr>
              <w:rPr>
                <w:rFonts w:ascii="Cambria Math" w:eastAsia="Cambria Math" w:hAnsi="Cambria Math" w:cs="Arial"/>
                <w:b/>
                <w:bCs/>
              </w:rPr>
            </m:ctrlPr>
          </m:fPr>
          <m:num>
            <m:r>
              <m:rPr>
                <m:sty m:val="bi"/>
              </m:rPr>
              <w:rPr>
                <w:rFonts w:ascii="Cambria Math" w:eastAsia="Cambria Math" w:hAnsi="Cambria Math" w:cs="Arial"/>
              </w:rPr>
              <m:t>K</m:t>
            </m:r>
            <m:sSub>
              <m:sSubPr>
                <m:ctrlPr>
                  <w:rPr>
                    <w:rFonts w:ascii="Cambria Math" w:eastAsia="Cambria Math" w:hAnsi="Cambria Math" w:cs="Arial"/>
                    <w:b/>
                    <w:bCs/>
                  </w:rPr>
                </m:ctrlPr>
              </m:sSubPr>
              <m:e>
                <m:r>
                  <m:rPr>
                    <m:sty m:val="bi"/>
                  </m:rPr>
                  <w:rPr>
                    <w:rFonts w:ascii="Cambria Math" w:eastAsia="Cambria Math" w:hAnsi="Cambria Math" w:cs="Arial"/>
                  </w:rPr>
                  <m:t>g</m:t>
                </m:r>
              </m:e>
              <m:sub>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O</m:t>
                    </m:r>
                  </m:e>
                  <m:sub>
                    <m:r>
                      <m:rPr>
                        <m:sty m:val="bi"/>
                      </m:rPr>
                      <w:rPr>
                        <w:rFonts w:ascii="Cambria Math" w:eastAsia="Cambria Math" w:hAnsi="Cambria Math" w:cs="Arial"/>
                      </w:rPr>
                      <m:t>2</m:t>
                    </m:r>
                  </m:sub>
                </m:sSub>
              </m:sub>
            </m:sSub>
          </m:num>
          <m:den>
            <m:r>
              <m:rPr>
                <m:sty m:val="bi"/>
              </m:rPr>
              <w:rPr>
                <w:rFonts w:ascii="Cambria Math" w:eastAsia="Cambria Math" w:hAnsi="Cambria Math" w:cs="Arial"/>
              </w:rPr>
              <m:t>K</m:t>
            </m:r>
            <m:sSub>
              <m:sSubPr>
                <m:ctrlPr>
                  <w:rPr>
                    <w:rFonts w:ascii="Cambria Math" w:eastAsia="Cambria Math" w:hAnsi="Cambria Math" w:cs="Arial"/>
                    <w:b/>
                    <w:bCs/>
                  </w:rPr>
                </m:ctrlPr>
              </m:sSubPr>
              <m:e>
                <m:r>
                  <m:rPr>
                    <m:sty m:val="bi"/>
                  </m:rPr>
                  <w:rPr>
                    <w:rFonts w:ascii="Cambria Math" w:eastAsia="Cambria Math" w:hAnsi="Cambria Math" w:cs="Arial"/>
                  </w:rPr>
                  <m:t>g</m:t>
                </m:r>
              </m:e>
              <m:sub>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sub>
            </m:sSub>
          </m:den>
        </m:f>
      </m:oMath>
      <w:r w:rsidRPr="00D800F0">
        <w:rPr>
          <w:rFonts w:ascii="Arial" w:hAnsi="Arial" w:cs="Arial"/>
        </w:rPr>
        <w:t xml:space="preserve"> is the electric mix weighted average of the carbon intensities of each type of electric generation times the electric demand of the technology </w:t>
      </w:r>
      <m:oMath>
        <m:r>
          <m:rPr>
            <m:sty m:val="bi"/>
          </m:rPr>
          <w:rPr>
            <w:rFonts w:ascii="Cambria Math" w:eastAsia="Cambria Math" w:hAnsi="Cambria Math" w:cs="Arial"/>
          </w:rPr>
          <m:t>j</m:t>
        </m:r>
      </m:oMath>
      <w:r w:rsidRPr="00D800F0">
        <w:rPr>
          <w:rFonts w:ascii="Arial" w:hAnsi="Arial" w:cs="Arial"/>
        </w:rPr>
        <w:t xml:space="preserve"> over the hydrogen production. In this study, we use the electricity demand of hydrogen only because the tax credits only depend on the emissions of hydrogen. </w:t>
      </w:r>
    </w:p>
    <w:tbl>
      <w:tblPr>
        <w:tblW w:w="9360" w:type="dxa"/>
        <w:tblLayout w:type="fixed"/>
        <w:tblLook w:val="0600" w:firstRow="0" w:lastRow="0" w:firstColumn="0" w:lastColumn="0" w:noHBand="1" w:noVBand="1"/>
      </w:tblPr>
      <w:tblGrid>
        <w:gridCol w:w="8505"/>
        <w:gridCol w:w="855"/>
      </w:tblGrid>
      <w:tr w:rsidR="00DA7E40" w:rsidRPr="00D800F0" w14:paraId="7D029AEF" w14:textId="77777777" w:rsidTr="0000614D">
        <w:trPr>
          <w:cantSplit/>
          <w:trHeight w:val="839"/>
        </w:trPr>
        <w:tc>
          <w:tcPr>
            <w:tcW w:w="8505" w:type="dxa"/>
            <w:shd w:val="clear" w:color="auto" w:fill="auto"/>
            <w:tcMar>
              <w:top w:w="100" w:type="dxa"/>
              <w:left w:w="100" w:type="dxa"/>
              <w:bottom w:w="100" w:type="dxa"/>
              <w:right w:w="100" w:type="dxa"/>
            </w:tcMar>
            <w:vAlign w:val="center"/>
          </w:tcPr>
          <w:p w14:paraId="68DBB0D6"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(T)=C</m:t>
                </m:r>
                <m:sSub>
                  <m:sSubPr>
                    <m:ctrlPr>
                      <w:rPr>
                        <w:rFonts w:ascii="Cambria Math" w:eastAsia="Cambria Math" w:hAnsi="Cambria Math" w:cs="Arial"/>
                        <w:b/>
                        <w:bCs/>
                      </w:rPr>
                    </m:ctrlPr>
                  </m:sSubPr>
                  <m:e>
                    <m:r>
                      <m:rPr>
                        <m:sty m:val="bi"/>
                      </m:rPr>
                      <w:rPr>
                        <w:rFonts w:ascii="Cambria Math" w:eastAsia="Cambria Math" w:hAnsi="Cambria Math" w:cs="Arial"/>
                      </w:rPr>
                      <m:t>I</m:t>
                    </m:r>
                  </m:e>
                  <m:sub>
                    <m:sSub>
                      <m:sSubPr>
                        <m:ctrlPr>
                          <w:rPr>
                            <w:rFonts w:ascii="Cambria Math" w:eastAsia="Cambria Math" w:hAnsi="Cambria Math" w:cs="Arial"/>
                            <w:b/>
                            <w:bCs/>
                          </w:rPr>
                        </m:ctrlPr>
                      </m:sSubPr>
                      <m:e>
                        <m:r>
                          <m:rPr>
                            <m:sty m:val="bi"/>
                          </m:rPr>
                          <w:rPr>
                            <w:rFonts w:ascii="Cambria Math" w:eastAsia="Cambria Math" w:hAnsi="Cambria Math" w:cs="Arial"/>
                          </w:rPr>
                          <m:t>j</m:t>
                        </m:r>
                      </m:e>
                      <m:sub>
                        <m:r>
                          <m:rPr>
                            <m:sty m:val="bi"/>
                          </m:rPr>
                          <w:rPr>
                            <w:rFonts w:ascii="Cambria Math" w:eastAsia="Cambria Math" w:hAnsi="Cambria Math" w:cs="Arial"/>
                          </w:rPr>
                          <m:t>direct</m:t>
                        </m:r>
                      </m:sub>
                    </m:sSub>
                  </m:sub>
                </m:sSub>
                <m:r>
                  <m:rPr>
                    <m:sty m:val="bi"/>
                  </m:rPr>
                  <w:rPr>
                    <w:rFonts w:ascii="Cambria Math" w:eastAsia="Cambria Math" w:hAnsi="Cambria Math" w:cs="Arial"/>
                  </w:rPr>
                  <m:t>+C</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e>
                  <m:sub>
                    <m:r>
                      <m:rPr>
                        <m:sty m:val="bi"/>
                      </m:rPr>
                      <w:rPr>
                        <w:rFonts w:ascii="Cambria Math" w:eastAsia="Cambria Math" w:hAnsi="Cambria Math" w:cs="Arial"/>
                      </w:rPr>
                      <m:t>NG</m:t>
                    </m:r>
                  </m:sub>
                </m:sSub>
                <m:r>
                  <m:rPr>
                    <m:sty m:val="bi"/>
                  </m:rPr>
                  <w:rPr>
                    <w:rFonts w:ascii="Cambria Math" w:eastAsia="Cambria Math" w:hAnsi="Cambria Math" w:cs="Arial"/>
                  </w:rPr>
                  <m:t>+C</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e>
                  <m:sub>
                    <m:r>
                      <m:rPr>
                        <m:sty m:val="bi"/>
                      </m:rPr>
                      <w:rPr>
                        <w:rFonts w:ascii="Cambria Math" w:eastAsia="Cambria Math" w:hAnsi="Cambria Math" w:cs="Arial"/>
                      </w:rPr>
                      <m:t>Biomass</m:t>
                    </m:r>
                  </m:sub>
                </m:sSub>
                <m:r>
                  <m:rPr>
                    <m:sty m:val="bi"/>
                  </m:rPr>
                  <w:rPr>
                    <w:rFonts w:ascii="Cambria Math" w:eastAsia="Cambria Math" w:hAnsi="Cambria Math" w:cs="Arial"/>
                  </w:rPr>
                  <m:t>+C</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e>
                  <m:sub>
                    <m:r>
                      <m:rPr>
                        <m:sty m:val="bi"/>
                      </m:rPr>
                      <w:rPr>
                        <w:rFonts w:ascii="Cambria Math" w:eastAsia="Cambria Math" w:hAnsi="Cambria Math" w:cs="Arial"/>
                      </w:rPr>
                      <m:t>Electricity</m:t>
                    </m:r>
                  </m:sub>
                </m:sSub>
                <m:r>
                  <m:rPr>
                    <m:sty m:val="bi"/>
                  </m:rPr>
                  <w:rPr>
                    <w:rFonts w:ascii="Cambria Math" w:eastAsia="Cambria Math" w:hAnsi="Cambria Math" w:cs="Arial"/>
                  </w:rPr>
                  <m:t>(T)</m:t>
                </m:r>
              </m:oMath>
            </m:oMathPara>
          </w:p>
        </w:tc>
        <w:tc>
          <w:tcPr>
            <w:tcW w:w="855" w:type="dxa"/>
            <w:shd w:val="clear" w:color="auto" w:fill="auto"/>
            <w:tcMar>
              <w:top w:w="100" w:type="dxa"/>
              <w:left w:w="100" w:type="dxa"/>
              <w:bottom w:w="100" w:type="dxa"/>
              <w:right w:w="100" w:type="dxa"/>
            </w:tcMar>
            <w:vAlign w:val="center"/>
          </w:tcPr>
          <w:p w14:paraId="4F1BEA91" w14:textId="77777777" w:rsidR="00DA7E40" w:rsidRPr="00D800F0" w:rsidRDefault="00DA7E40" w:rsidP="0000614D">
            <w:pPr>
              <w:widowControl w:val="0"/>
              <w:jc w:val="center"/>
              <w:rPr>
                <w:rFonts w:ascii="Arial" w:hAnsi="Arial" w:cs="Arial"/>
              </w:rPr>
            </w:pPr>
            <w:bookmarkStart w:id="41" w:name="_Ref147606528"/>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18</w:t>
            </w:r>
            <w:r w:rsidRPr="00D800F0">
              <w:rPr>
                <w:rFonts w:ascii="Arial" w:eastAsia="Cambria Math" w:hAnsi="Arial" w:cs="Arial"/>
              </w:rPr>
              <w:fldChar w:fldCharType="end"/>
            </w:r>
            <w:r w:rsidRPr="00D800F0">
              <w:rPr>
                <w:rFonts w:ascii="Arial" w:eastAsia="Cambria Math" w:hAnsi="Arial" w:cs="Arial"/>
              </w:rPr>
              <w:t>)</w:t>
            </w:r>
            <w:bookmarkEnd w:id="41"/>
          </w:p>
        </w:tc>
      </w:tr>
      <w:tr w:rsidR="00DA7E40" w:rsidRPr="00D800F0" w14:paraId="21D85921" w14:textId="77777777" w:rsidTr="0000614D">
        <w:trPr>
          <w:cantSplit/>
          <w:trHeight w:val="839"/>
        </w:trPr>
        <w:tc>
          <w:tcPr>
            <w:tcW w:w="8505" w:type="dxa"/>
            <w:shd w:val="clear" w:color="auto" w:fill="auto"/>
            <w:tcMar>
              <w:top w:w="100" w:type="dxa"/>
              <w:left w:w="100" w:type="dxa"/>
              <w:bottom w:w="100" w:type="dxa"/>
              <w:right w:w="100" w:type="dxa"/>
            </w:tcMar>
            <w:vAlign w:val="center"/>
          </w:tcPr>
          <w:p w14:paraId="67FEAFFE"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e>
                  <m:sub>
                    <m:r>
                      <m:rPr>
                        <m:sty m:val="bi"/>
                      </m:rPr>
                      <w:rPr>
                        <w:rFonts w:ascii="Cambria Math" w:eastAsia="Cambria Math" w:hAnsi="Cambria Math" w:cs="Arial"/>
                      </w:rPr>
                      <m:t>Electricity</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m:t>
                </m:r>
              </m:oMath>
            </m:oMathPara>
          </w:p>
          <w:p w14:paraId="30B29624" w14:textId="77777777" w:rsidR="00DA7E40" w:rsidRPr="00D800F0" w:rsidRDefault="00000000" w:rsidP="0000614D">
            <w:pPr>
              <w:jc w:val="center"/>
              <w:rPr>
                <w:rFonts w:ascii="Arial" w:eastAsia="Cambria Math" w:hAnsi="Arial" w:cs="Arial"/>
                <w:b/>
                <w:bCs/>
              </w:rPr>
            </w:pPr>
            <m:oMathPara>
              <m:oMath>
                <m:d>
                  <m:dPr>
                    <m:begChr m:val="["/>
                    <m:endChr m:val="]"/>
                    <m:ctrlPr>
                      <w:rPr>
                        <w:rFonts w:ascii="Cambria Math" w:eastAsia="Cambria Math" w:hAnsi="Cambria Math" w:cs="Arial"/>
                        <w:b/>
                        <w:bCs/>
                      </w:rPr>
                    </m:ctrlPr>
                  </m:dPr>
                  <m:e>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oil</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ele</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oil</m:t>
                            </m:r>
                          </m:sub>
                        </m:sSub>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nuclear</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ele</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nuclear</m:t>
                            </m:r>
                          </m:sub>
                        </m:sSub>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renewables</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ele</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nuclear</m:t>
                            </m:r>
                          </m:sub>
                        </m:sSub>
                      </m:sub>
                    </m:sSub>
                    <m:r>
                      <m:rPr>
                        <m:sty m:val="bi"/>
                      </m:rPr>
                      <w:rPr>
                        <w:rFonts w:ascii="Cambria Math" w:eastAsia="Cambria Math" w:hAnsi="Cambria Math" w:cs="Arial"/>
                      </w:rPr>
                      <m:t xml:space="preserve">+ </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NG</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ele</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NG</m:t>
                            </m:r>
                          </m:sub>
                        </m:sSub>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coal</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ele</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coal</m:t>
                            </m:r>
                          </m:sub>
                        </m:sSub>
                      </m:sub>
                    </m:sSub>
                  </m:e>
                </m:d>
              </m:oMath>
            </m:oMathPara>
          </w:p>
        </w:tc>
        <w:tc>
          <w:tcPr>
            <w:tcW w:w="855" w:type="dxa"/>
            <w:shd w:val="clear" w:color="auto" w:fill="auto"/>
            <w:tcMar>
              <w:top w:w="100" w:type="dxa"/>
              <w:left w:w="100" w:type="dxa"/>
              <w:bottom w:w="100" w:type="dxa"/>
              <w:right w:w="100" w:type="dxa"/>
            </w:tcMar>
            <w:vAlign w:val="center"/>
          </w:tcPr>
          <w:p w14:paraId="4E36A803" w14:textId="77777777" w:rsidR="00DA7E40" w:rsidRPr="00D800F0" w:rsidRDefault="00DA7E40" w:rsidP="0000614D">
            <w:pPr>
              <w:widowControl w:val="0"/>
              <w:jc w:val="center"/>
              <w:rPr>
                <w:rFonts w:ascii="Arial" w:hAnsi="Arial" w:cs="Arial"/>
              </w:rPr>
            </w:pPr>
            <w:bookmarkStart w:id="42" w:name="_Ref146931804"/>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19</w:t>
            </w:r>
            <w:r w:rsidRPr="00D800F0">
              <w:rPr>
                <w:rFonts w:ascii="Arial" w:eastAsia="Cambria Math" w:hAnsi="Arial" w:cs="Arial"/>
              </w:rPr>
              <w:fldChar w:fldCharType="end"/>
            </w:r>
            <w:r w:rsidRPr="00D800F0">
              <w:rPr>
                <w:rFonts w:ascii="Arial" w:eastAsia="Cambria Math" w:hAnsi="Arial" w:cs="Arial"/>
              </w:rPr>
              <w:t>)</w:t>
            </w:r>
            <w:bookmarkEnd w:id="42"/>
          </w:p>
        </w:tc>
      </w:tr>
    </w:tbl>
    <w:p w14:paraId="03DFF8E5" w14:textId="0BBB9F9C" w:rsidR="00DA7E40" w:rsidRPr="00D800F0" w:rsidRDefault="00DA7E40" w:rsidP="00DA7E40">
      <w:pPr>
        <w:rPr>
          <w:rFonts w:ascii="Arial" w:hAnsi="Arial" w:cs="Arial"/>
        </w:rPr>
      </w:pPr>
      <w:r w:rsidRPr="00D800F0">
        <w:rPr>
          <w:rFonts w:ascii="Arial" w:hAnsi="Arial" w:cs="Arial"/>
        </w:rPr>
        <w:tab/>
        <w:t xml:space="preserve">The natural gas carbon intensity of SMR and CCS are estimated from the upstream emissions per kWh of electricity of an NGCC plant times the average efficiency of an NGCC plant (see </w:t>
      </w:r>
      <w:r w:rsidRPr="00D800F0">
        <w:rPr>
          <w:rFonts w:ascii="Arial" w:hAnsi="Arial" w:cs="Arial"/>
        </w:rPr>
        <w:fldChar w:fldCharType="begin"/>
      </w:r>
      <w:r w:rsidRPr="00D800F0">
        <w:rPr>
          <w:rFonts w:ascii="Arial" w:hAnsi="Arial" w:cs="Arial"/>
        </w:rPr>
        <w:instrText xml:space="preserve"> REF _Ref148199286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Table </w:t>
      </w:r>
      <w:r w:rsidRPr="00D800F0">
        <w:rPr>
          <w:rFonts w:ascii="Arial" w:hAnsi="Arial" w:cs="Arial"/>
          <w:noProof/>
        </w:rPr>
        <w:t>C</w:t>
      </w:r>
      <w:r w:rsidRPr="00D800F0">
        <w:rPr>
          <w:rFonts w:ascii="Arial" w:hAnsi="Arial" w:cs="Arial"/>
        </w:rPr>
        <w:noBreakHyphen/>
      </w:r>
      <w:r w:rsidRPr="00D800F0">
        <w:rPr>
          <w:rFonts w:ascii="Arial" w:hAnsi="Arial" w:cs="Arial"/>
          <w:noProof/>
        </w:rPr>
        <w:t>2</w:t>
      </w:r>
      <w:r w:rsidRPr="00D800F0">
        <w:rPr>
          <w:rFonts w:ascii="Arial" w:hAnsi="Arial" w:cs="Arial"/>
        </w:rPr>
        <w:fldChar w:fldCharType="end"/>
      </w:r>
      <w:r w:rsidRPr="00D800F0">
        <w:rPr>
          <w:rFonts w:ascii="Arial" w:hAnsi="Arial" w:cs="Arial"/>
        </w:rPr>
        <w:t>).  The direct, or stack, emissions,</w:t>
      </w:r>
      <w:r w:rsidRPr="00D800F0">
        <w:rPr>
          <w:rFonts w:ascii="Arial" w:hAnsi="Arial" w:cs="Arial"/>
          <w:i/>
        </w:rPr>
        <w:t xml:space="preserve"> </w:t>
      </w:r>
      <m:oMath>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sSub>
              <m:sSubPr>
                <m:ctrlPr>
                  <w:rPr>
                    <w:rFonts w:ascii="Cambria Math" w:eastAsia="Cambria Math" w:hAnsi="Cambria Math" w:cs="Arial"/>
                    <w:b/>
                    <w:bCs/>
                  </w:rPr>
                </m:ctrlPr>
              </m:sSubPr>
              <m:e>
                <m:r>
                  <m:rPr>
                    <m:sty m:val="bi"/>
                  </m:rPr>
                  <w:rPr>
                    <w:rFonts w:ascii="Cambria Math" w:eastAsia="Cambria Math" w:hAnsi="Cambria Math" w:cs="Arial"/>
                  </w:rPr>
                  <m:t>j</m:t>
                </m:r>
              </m:e>
              <m:sub>
                <m:r>
                  <m:rPr>
                    <m:sty m:val="bi"/>
                  </m:rPr>
                  <w:rPr>
                    <w:rFonts w:ascii="Cambria Math" w:eastAsia="Cambria Math" w:hAnsi="Cambria Math" w:cs="Arial"/>
                  </w:rPr>
                  <m:t>direct</m:t>
                </m:r>
              </m:sub>
            </m:sSub>
          </m:sub>
        </m:sSub>
      </m:oMath>
      <w:r w:rsidRPr="00D800F0">
        <w:rPr>
          <w:rFonts w:ascii="Arial" w:hAnsi="Arial" w:cs="Arial"/>
        </w:rPr>
        <w:t>, from SMR and CCS come from Lewis et al. (2022) and assumed to be 0 for BH2S and AEC.</w:t>
      </w:r>
    </w:p>
    <w:tbl>
      <w:tblPr>
        <w:tblW w:w="9360" w:type="dxa"/>
        <w:tblLayout w:type="fixed"/>
        <w:tblLook w:val="0600" w:firstRow="0" w:lastRow="0" w:firstColumn="0" w:lastColumn="0" w:noHBand="1" w:noVBand="1"/>
      </w:tblPr>
      <w:tblGrid>
        <w:gridCol w:w="8505"/>
        <w:gridCol w:w="855"/>
      </w:tblGrid>
      <w:tr w:rsidR="00DA7E40" w:rsidRPr="00D800F0" w14:paraId="240C83AB" w14:textId="77777777" w:rsidTr="0000614D">
        <w:trPr>
          <w:cantSplit/>
          <w:trHeight w:val="839"/>
        </w:trPr>
        <w:tc>
          <w:tcPr>
            <w:tcW w:w="8505" w:type="dxa"/>
            <w:shd w:val="clear" w:color="auto" w:fill="auto"/>
            <w:tcMar>
              <w:top w:w="100" w:type="dxa"/>
              <w:left w:w="100" w:type="dxa"/>
              <w:bottom w:w="100" w:type="dxa"/>
              <w:right w:w="100" w:type="dxa"/>
            </w:tcMar>
            <w:vAlign w:val="center"/>
          </w:tcPr>
          <w:p w14:paraId="425C1B9E"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SMR</m:t>
                        </m:r>
                      </m:sub>
                    </m:sSub>
                  </m:e>
                  <m:sub>
                    <m:r>
                      <m:rPr>
                        <m:sty m:val="bi"/>
                      </m:rPr>
                      <w:rPr>
                        <w:rFonts w:ascii="Cambria Math" w:eastAsia="Cambria Math" w:hAnsi="Cambria Math" w:cs="Arial"/>
                      </w:rPr>
                      <m:t>NG</m:t>
                    </m:r>
                  </m:sub>
                </m:sSub>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ele</m:t>
                    </m:r>
                    <m:sSub>
                      <m:sSubPr>
                        <m:ctrlPr>
                          <w:rPr>
                            <w:rFonts w:ascii="Cambria Math" w:eastAsia="Cambria Math" w:hAnsi="Cambria Math" w:cs="Arial"/>
                            <w:b/>
                            <w:bCs/>
                          </w:rPr>
                        </m:ctrlPr>
                      </m:sSubPr>
                      <m:e>
                        <m:r>
                          <m:rPr>
                            <m:sty m:val="bi"/>
                          </m:rPr>
                          <w:rPr>
                            <w:rFonts w:ascii="Cambria Math" w:eastAsia="Cambria Math" w:hAnsi="Cambria Math" w:cs="Arial"/>
                          </w:rPr>
                          <m:t>c</m:t>
                        </m:r>
                      </m:e>
                      <m:sub>
                        <m:r>
                          <m:rPr>
                            <m:sty m:val="bi"/>
                          </m:rPr>
                          <w:rPr>
                            <w:rFonts w:ascii="Cambria Math" w:eastAsia="Cambria Math" w:hAnsi="Cambria Math" w:cs="Arial"/>
                          </w:rPr>
                          <m:t>NG</m:t>
                        </m:r>
                      </m:sub>
                    </m:sSub>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η</m:t>
                    </m:r>
                  </m:e>
                  <m:sub>
                    <m:r>
                      <m:rPr>
                        <m:sty m:val="bi"/>
                      </m:rPr>
                      <w:rPr>
                        <w:rFonts w:ascii="Cambria Math" w:eastAsia="Cambria Math" w:hAnsi="Cambria Math" w:cs="Arial"/>
                      </w:rPr>
                      <m:t>NGCC</m:t>
                    </m:r>
                  </m:sub>
                </m:sSub>
                <m:r>
                  <m:rPr>
                    <m:sty m:val="bi"/>
                  </m:rPr>
                  <w:rPr>
                    <w:rFonts w:ascii="Cambria Math" w:eastAsia="Cambria Math" w:hAnsi="Cambria Math" w:cs="Arial"/>
                  </w:rPr>
                  <m:t>×</m:t>
                </m:r>
                <m:f>
                  <m:fPr>
                    <m:ctrlPr>
                      <w:rPr>
                        <w:rFonts w:ascii="Cambria Math" w:eastAsia="Cambria Math" w:hAnsi="Cambria Math" w:cs="Arial"/>
                        <w:b/>
                        <w:bCs/>
                      </w:rPr>
                    </m:ctrlPr>
                  </m:fPr>
                  <m:num>
                    <m:f>
                      <m:fPr>
                        <m:ctrlPr>
                          <w:rPr>
                            <w:rFonts w:ascii="Cambria Math" w:hAnsi="Cambria Math" w:cs="Arial"/>
                            <w:b/>
                            <w:bCs/>
                            <w:i/>
                          </w:rPr>
                        </m:ctrlPr>
                      </m:fPr>
                      <m:num>
                        <m:sSubSup>
                          <m:sSubSupPr>
                            <m:ctrlPr>
                              <w:rPr>
                                <w:rFonts w:ascii="Cambria Math" w:hAnsi="Cambria Math" w:cs="Arial"/>
                                <w:b/>
                                <w:bCs/>
                                <w:i/>
                              </w:rPr>
                            </m:ctrlPr>
                          </m:sSubSupPr>
                          <m:e>
                            <m:r>
                              <m:rPr>
                                <m:sty m:val="bi"/>
                              </m:rPr>
                              <w:rPr>
                                <w:rFonts w:ascii="Cambria Math" w:hAnsi="Cambria Math" w:cs="Arial"/>
                              </w:rPr>
                              <m:t>M</m:t>
                            </m:r>
                          </m:e>
                          <m:sub>
                            <m:r>
                              <m:rPr>
                                <m:sty m:val="bi"/>
                              </m:rPr>
                              <w:rPr>
                                <w:rFonts w:ascii="Cambria Math" w:hAnsi="Cambria Math" w:cs="Arial"/>
                              </w:rPr>
                              <m:t>N</m:t>
                            </m:r>
                            <m:sSub>
                              <m:sSubPr>
                                <m:ctrlPr>
                                  <w:rPr>
                                    <w:rFonts w:ascii="Cambria Math" w:hAnsi="Cambria Math" w:cs="Arial"/>
                                    <w:b/>
                                    <w:bCs/>
                                    <w:i/>
                                  </w:rPr>
                                </m:ctrlPr>
                              </m:sSubPr>
                              <m:e>
                                <m:r>
                                  <m:rPr>
                                    <m:sty m:val="bi"/>
                                  </m:rPr>
                                  <w:rPr>
                                    <w:rFonts w:ascii="Cambria Math" w:hAnsi="Cambria Math" w:cs="Arial"/>
                                  </w:rPr>
                                  <m:t>G</m:t>
                                </m:r>
                              </m:e>
                              <m:sub>
                                <m:r>
                                  <m:rPr>
                                    <m:sty m:val="bi"/>
                                  </m:rPr>
                                  <w:rPr>
                                    <w:rFonts w:ascii="Cambria Math" w:hAnsi="Cambria Math" w:cs="Arial"/>
                                  </w:rPr>
                                  <m:t>j</m:t>
                                </m:r>
                              </m:sub>
                            </m:sSub>
                          </m:sub>
                          <m:sup>
                            <m:r>
                              <m:rPr>
                                <m:sty m:val="bi"/>
                              </m:rPr>
                              <w:rPr>
                                <w:rFonts w:ascii="Cambria Math" w:hAnsi="Cambria Math" w:cs="Arial"/>
                              </w:rPr>
                              <m:t>.</m:t>
                            </m:r>
                          </m:sup>
                        </m:sSubSup>
                      </m:num>
                      <m:den>
                        <m:r>
                          <m:rPr>
                            <m:sty m:val="bi"/>
                          </m:rPr>
                          <w:rPr>
                            <w:rFonts w:ascii="Cambria Math" w:hAnsi="Cambria Math" w:cs="Arial"/>
                          </w:rPr>
                          <m:t>365</m:t>
                        </m:r>
                      </m:den>
                    </m:f>
                  </m:num>
                  <m:den>
                    <m:sSub>
                      <m:sSubPr>
                        <m:ctrlPr>
                          <w:rPr>
                            <w:rFonts w:ascii="Cambria Math" w:eastAsia="Cambria Math" w:hAnsi="Cambria Math" w:cs="Arial"/>
                            <w:b/>
                            <w:bCs/>
                          </w:rPr>
                        </m:ctrlPr>
                      </m:sSubPr>
                      <m:e>
                        <m:r>
                          <m:rPr>
                            <m:sty m:val="bi"/>
                          </m:rPr>
                          <w:rPr>
                            <w:rFonts w:ascii="Cambria Math" w:eastAsia="Cambria Math" w:hAnsi="Cambria Math" w:cs="Arial"/>
                          </w:rPr>
                          <m:t>M</m:t>
                        </m:r>
                      </m:e>
                      <m:sub>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sub>
                    </m:sSub>
                    <m:r>
                      <m:rPr>
                        <m:sty m:val="bi"/>
                      </m:rPr>
                      <w:rPr>
                        <w:rFonts w:ascii="Cambria Math" w:eastAsia="Cambria Math" w:hAnsi="Cambria Math" w:cs="Arial"/>
                      </w:rPr>
                      <m:t>×</m:t>
                    </m:r>
                    <m:sSubSup>
                      <m:sSubSupPr>
                        <m:ctrlPr>
                          <w:rPr>
                            <w:rFonts w:ascii="Cambria Math" w:eastAsia="Cambria Math" w:hAnsi="Cambria Math" w:cs="Arial"/>
                            <w:b/>
                            <w:bCs/>
                            <w:i/>
                          </w:rPr>
                        </m:ctrlPr>
                      </m:sSubSupPr>
                      <m:e>
                        <m:r>
                          <m:rPr>
                            <m:sty m:val="bi"/>
                          </m:rPr>
                          <w:rPr>
                            <w:rFonts w:ascii="Cambria Math" w:eastAsia="Cambria Math" w:hAnsi="Cambria Math" w:cs="Arial"/>
                          </w:rPr>
                          <m:t>h</m:t>
                        </m:r>
                      </m:e>
                      <m:sub>
                        <m:r>
                          <m:rPr>
                            <m:sty m:val="bi"/>
                          </m:rPr>
                          <w:rPr>
                            <w:rFonts w:ascii="Cambria Math" w:eastAsia="Cambria Math" w:hAnsi="Cambria Math" w:cs="Arial"/>
                          </w:rPr>
                          <m:t>NG</m:t>
                        </m:r>
                      </m:sub>
                      <m:sup>
                        <m:r>
                          <m:rPr>
                            <m:sty m:val="bi"/>
                          </m:rPr>
                          <w:rPr>
                            <w:rFonts w:ascii="Cambria Math" w:eastAsia="Cambria Math" w:hAnsi="Cambria Math" w:cs="Arial"/>
                          </w:rPr>
                          <m:t>LHV</m:t>
                        </m:r>
                      </m:sup>
                    </m:sSubSup>
                    <m:r>
                      <m:rPr>
                        <m:sty m:val="bi"/>
                      </m:rPr>
                      <w:rPr>
                        <w:rFonts w:ascii="Cambria Math" w:eastAsia="Cambria Math" w:hAnsi="Cambria Math" w:cs="Arial"/>
                      </w:rPr>
                      <m:t>×</m:t>
                    </m:r>
                    <m:d>
                      <m:dPr>
                        <m:begChr m:val="["/>
                        <m:endChr m:val="]"/>
                        <m:ctrlPr>
                          <w:rPr>
                            <w:rFonts w:ascii="Cambria Math" w:eastAsia="Cambria Math" w:hAnsi="Cambria Math" w:cs="Arial"/>
                            <w:b/>
                            <w:bCs/>
                            <w:i/>
                          </w:rPr>
                        </m:ctrlPr>
                      </m:dPr>
                      <m:e>
                        <m:r>
                          <m:rPr>
                            <m:sty m:val="bi"/>
                          </m:rPr>
                          <w:rPr>
                            <w:rFonts w:ascii="Cambria Math" w:eastAsia="Cambria Math" w:hAnsi="Cambria Math" w:cs="Arial"/>
                          </w:rPr>
                          <m:t>0.000948</m:t>
                        </m:r>
                        <m:f>
                          <m:fPr>
                            <m:ctrlPr>
                              <w:rPr>
                                <w:rFonts w:ascii="Cambria Math" w:eastAsia="Cambria Math" w:hAnsi="Cambria Math" w:cs="Arial"/>
                                <w:b/>
                                <w:bCs/>
                                <w:i/>
                              </w:rPr>
                            </m:ctrlPr>
                          </m:fPr>
                          <m:num>
                            <m:r>
                              <m:rPr>
                                <m:sty m:val="bi"/>
                              </m:rPr>
                              <w:rPr>
                                <w:rFonts w:ascii="Cambria Math" w:eastAsia="Cambria Math" w:hAnsi="Cambria Math" w:cs="Arial"/>
                              </w:rPr>
                              <m:t>MMBtu</m:t>
                            </m:r>
                          </m:num>
                          <m:den>
                            <m:r>
                              <m:rPr>
                                <m:sty m:val="bi"/>
                              </m:rPr>
                              <w:rPr>
                                <w:rFonts w:ascii="Cambria Math" w:eastAsia="Cambria Math" w:hAnsi="Cambria Math" w:cs="Arial"/>
                              </w:rPr>
                              <m:t>MJ</m:t>
                            </m:r>
                          </m:den>
                        </m:f>
                      </m:e>
                    </m:d>
                    <m:r>
                      <m:rPr>
                        <m:sty m:val="bi"/>
                      </m:rPr>
                      <w:rPr>
                        <w:rFonts w:ascii="Cambria Math" w:eastAsia="Cambria Math" w:hAnsi="Cambria Math" w:cs="Arial"/>
                      </w:rPr>
                      <m:t>×[1000</m:t>
                    </m:r>
                    <m:f>
                      <m:fPr>
                        <m:ctrlPr>
                          <w:rPr>
                            <w:rFonts w:ascii="Cambria Math" w:eastAsia="Cambria Math" w:hAnsi="Cambria Math" w:cs="Arial"/>
                            <w:b/>
                            <w:bCs/>
                            <w:i/>
                          </w:rPr>
                        </m:ctrlPr>
                      </m:fPr>
                      <m:num>
                        <m:r>
                          <m:rPr>
                            <m:sty m:val="bi"/>
                          </m:rPr>
                          <w:rPr>
                            <w:rFonts w:ascii="Cambria Math" w:eastAsia="Cambria Math" w:hAnsi="Cambria Math" w:cs="Arial"/>
                          </w:rPr>
                          <m:t>kg</m:t>
                        </m:r>
                      </m:num>
                      <m:den>
                        <m:r>
                          <m:rPr>
                            <m:sty m:val="bi"/>
                          </m:rPr>
                          <w:rPr>
                            <w:rFonts w:ascii="Cambria Math" w:eastAsia="Cambria Math" w:hAnsi="Cambria Math" w:cs="Arial"/>
                          </w:rPr>
                          <m:t>tonne</m:t>
                        </m:r>
                      </m:den>
                    </m:f>
                    <m:r>
                      <m:rPr>
                        <m:sty m:val="bi"/>
                      </m:rPr>
                      <w:rPr>
                        <w:rFonts w:ascii="Cambria Math" w:eastAsia="Cambria Math" w:hAnsi="Cambria Math" w:cs="Arial"/>
                      </w:rPr>
                      <m:t xml:space="preserve">] </m:t>
                    </m:r>
                  </m:den>
                </m:f>
              </m:oMath>
            </m:oMathPara>
          </w:p>
        </w:tc>
        <w:tc>
          <w:tcPr>
            <w:tcW w:w="855" w:type="dxa"/>
            <w:shd w:val="clear" w:color="auto" w:fill="auto"/>
            <w:tcMar>
              <w:top w:w="100" w:type="dxa"/>
              <w:left w:w="100" w:type="dxa"/>
              <w:bottom w:w="100" w:type="dxa"/>
              <w:right w:w="100" w:type="dxa"/>
            </w:tcMar>
            <w:vAlign w:val="center"/>
          </w:tcPr>
          <w:p w14:paraId="629C5F9A" w14:textId="77777777" w:rsidR="00DA7E40" w:rsidRPr="00D800F0" w:rsidRDefault="00DA7E40" w:rsidP="0000614D">
            <w:pPr>
              <w:widowControl w:val="0"/>
              <w:jc w:val="center"/>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20</w:t>
            </w:r>
            <w:r w:rsidRPr="00D800F0">
              <w:rPr>
                <w:rFonts w:ascii="Arial" w:eastAsia="Cambria Math" w:hAnsi="Arial" w:cs="Arial"/>
              </w:rPr>
              <w:fldChar w:fldCharType="end"/>
            </w:r>
            <w:r w:rsidRPr="00D800F0">
              <w:rPr>
                <w:rFonts w:ascii="Arial" w:eastAsia="Cambria Math" w:hAnsi="Arial" w:cs="Arial"/>
              </w:rPr>
              <w:t>)</w:t>
            </w:r>
          </w:p>
        </w:tc>
      </w:tr>
      <w:tr w:rsidR="00DA7E40" w:rsidRPr="00D800F0" w14:paraId="63526A9F" w14:textId="77777777" w:rsidTr="0000614D">
        <w:trPr>
          <w:cantSplit/>
          <w:trHeight w:val="839"/>
        </w:trPr>
        <w:tc>
          <w:tcPr>
            <w:tcW w:w="8505" w:type="dxa"/>
            <w:shd w:val="clear" w:color="auto" w:fill="auto"/>
            <w:tcMar>
              <w:top w:w="100" w:type="dxa"/>
              <w:left w:w="100" w:type="dxa"/>
              <w:bottom w:w="100" w:type="dxa"/>
              <w:right w:w="100" w:type="dxa"/>
            </w:tcMar>
            <w:vAlign w:val="center"/>
          </w:tcPr>
          <w:p w14:paraId="0F24001B"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CCS</m:t>
                        </m:r>
                      </m:sub>
                    </m:sSub>
                  </m:e>
                  <m:sub>
                    <m:r>
                      <m:rPr>
                        <m:sty m:val="bi"/>
                      </m:rPr>
                      <w:rPr>
                        <w:rFonts w:ascii="Cambria Math" w:eastAsia="Cambria Math" w:hAnsi="Cambria Math" w:cs="Arial"/>
                      </w:rPr>
                      <m:t>NG</m:t>
                    </m:r>
                  </m:sub>
                </m:sSub>
                <m:r>
                  <m:rPr>
                    <m:sty m:val="bi"/>
                  </m:rPr>
                  <w:rPr>
                    <w:rFonts w:ascii="Cambria Math" w:eastAsia="Cambria Math" w:hAnsi="Cambria Math" w:cs="Arial"/>
                  </w:rPr>
                  <m:t>=C</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SMR</m:t>
                        </m:r>
                      </m:sub>
                    </m:sSub>
                  </m:e>
                  <m:sub>
                    <m:r>
                      <m:rPr>
                        <m:sty m:val="bi"/>
                      </m:rPr>
                      <w:rPr>
                        <w:rFonts w:ascii="Cambria Math" w:eastAsia="Cambria Math" w:hAnsi="Cambria Math" w:cs="Arial"/>
                      </w:rPr>
                      <m:t>NG</m:t>
                    </m:r>
                  </m:sub>
                </m:sSub>
                <m:r>
                  <m:rPr>
                    <m:sty m:val="bi"/>
                  </m:rPr>
                  <w:rPr>
                    <w:rFonts w:ascii="Cambria Math" w:eastAsia="Cambria Math" w:hAnsi="Cambria Math" w:cs="Arial"/>
                  </w:rPr>
                  <m:t>*(1-</m:t>
                </m:r>
                <m:sSub>
                  <m:sSubPr>
                    <m:ctrlPr>
                      <w:rPr>
                        <w:rFonts w:ascii="Cambria Math" w:eastAsia="Cambria Math" w:hAnsi="Cambria Math" w:cs="Arial"/>
                        <w:b/>
                        <w:i/>
                      </w:rPr>
                    </m:ctrlPr>
                  </m:sSubPr>
                  <m:e>
                    <m:r>
                      <m:rPr>
                        <m:sty m:val="bi"/>
                      </m:rPr>
                      <w:rPr>
                        <w:rFonts w:ascii="Cambria Math" w:eastAsia="Cambria Math" w:hAnsi="Cambria Math" w:cs="Arial"/>
                      </w:rPr>
                      <m:t>R</m:t>
                    </m:r>
                  </m:e>
                  <m:sub>
                    <m:r>
                      <m:rPr>
                        <m:sty m:val="bi"/>
                      </m:rPr>
                      <w:rPr>
                        <w:rFonts w:ascii="Cambria Math" w:eastAsia="Cambria Math" w:hAnsi="Cambria Math" w:cs="Arial"/>
                      </w:rPr>
                      <m:t>C</m:t>
                    </m:r>
                    <m:sSub>
                      <m:sSubPr>
                        <m:ctrlPr>
                          <w:rPr>
                            <w:rFonts w:ascii="Cambria Math" w:eastAsia="Cambria Math" w:hAnsi="Cambria Math" w:cs="Arial"/>
                            <w:b/>
                            <w:i/>
                          </w:rPr>
                        </m:ctrlPr>
                      </m:sSubPr>
                      <m:e>
                        <m:r>
                          <m:rPr>
                            <m:sty m:val="bi"/>
                          </m:rPr>
                          <w:rPr>
                            <w:rFonts w:ascii="Cambria Math" w:eastAsia="Cambria Math" w:hAnsi="Cambria Math" w:cs="Arial"/>
                          </w:rPr>
                          <m:t>O</m:t>
                        </m:r>
                      </m:e>
                      <m:sub>
                        <m:r>
                          <m:rPr>
                            <m:sty m:val="bi"/>
                          </m:rPr>
                          <w:rPr>
                            <w:rFonts w:ascii="Cambria Math" w:eastAsia="Cambria Math" w:hAnsi="Cambria Math" w:cs="Arial"/>
                          </w:rPr>
                          <m:t>2</m:t>
                        </m:r>
                      </m:sub>
                    </m:sSub>
                  </m:sub>
                </m:sSub>
                <m:r>
                  <m:rPr>
                    <m:sty m:val="bi"/>
                  </m:rPr>
                  <w:rPr>
                    <w:rFonts w:ascii="Cambria Math" w:eastAsia="Cambria Math" w:hAnsi="Cambria Math" w:cs="Arial"/>
                  </w:rPr>
                  <m:t>)</m:t>
                </m:r>
              </m:oMath>
            </m:oMathPara>
          </w:p>
        </w:tc>
        <w:tc>
          <w:tcPr>
            <w:tcW w:w="855" w:type="dxa"/>
            <w:shd w:val="clear" w:color="auto" w:fill="auto"/>
            <w:tcMar>
              <w:top w:w="100" w:type="dxa"/>
              <w:left w:w="100" w:type="dxa"/>
              <w:bottom w:w="100" w:type="dxa"/>
              <w:right w:w="100" w:type="dxa"/>
            </w:tcMar>
            <w:vAlign w:val="center"/>
          </w:tcPr>
          <w:p w14:paraId="7324BC22" w14:textId="77777777" w:rsidR="00DA7E40" w:rsidRPr="00D800F0" w:rsidRDefault="00DA7E40" w:rsidP="0000614D">
            <w:pPr>
              <w:widowControl w:val="0"/>
              <w:jc w:val="center"/>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21</w:t>
            </w:r>
            <w:r w:rsidRPr="00D800F0">
              <w:rPr>
                <w:rFonts w:ascii="Arial" w:eastAsia="Cambria Math" w:hAnsi="Arial" w:cs="Arial"/>
              </w:rPr>
              <w:fldChar w:fldCharType="end"/>
            </w:r>
            <w:r w:rsidRPr="00D800F0">
              <w:rPr>
                <w:rFonts w:ascii="Arial" w:eastAsia="Cambria Math" w:hAnsi="Arial" w:cs="Arial"/>
              </w:rPr>
              <w:t>)</w:t>
            </w:r>
          </w:p>
        </w:tc>
      </w:tr>
      <w:tr w:rsidR="00DA7E40" w:rsidRPr="00D800F0" w14:paraId="398782F3" w14:textId="77777777" w:rsidTr="0000614D">
        <w:trPr>
          <w:cantSplit/>
          <w:trHeight w:val="839"/>
        </w:trPr>
        <w:tc>
          <w:tcPr>
            <w:tcW w:w="8505" w:type="dxa"/>
            <w:shd w:val="clear" w:color="auto" w:fill="auto"/>
            <w:tcMar>
              <w:top w:w="100" w:type="dxa"/>
              <w:left w:w="100" w:type="dxa"/>
              <w:bottom w:w="100" w:type="dxa"/>
              <w:right w:w="100" w:type="dxa"/>
            </w:tcMar>
            <w:vAlign w:val="center"/>
          </w:tcPr>
          <w:p w14:paraId="6BD142C8"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e>
                  <m:sub>
                    <m:r>
                      <m:rPr>
                        <m:sty m:val="bi"/>
                      </m:rPr>
                      <w:rPr>
                        <w:rFonts w:ascii="Cambria Math" w:eastAsia="Cambria Math" w:hAnsi="Cambria Math" w:cs="Arial"/>
                      </w:rPr>
                      <m:t>Biomass</m:t>
                    </m:r>
                  </m:sub>
                </m:sSub>
                <m:r>
                  <m:rPr>
                    <m:sty m:val="bi"/>
                  </m:rPr>
                  <w:rPr>
                    <w:rFonts w:ascii="Cambria Math" w:eastAsia="Cambria Math" w:hAnsi="Cambria Math" w:cs="Arial"/>
                  </w:rPr>
                  <m:t>=</m:t>
                </m:r>
                <m:f>
                  <m:fPr>
                    <m:ctrlPr>
                      <w:rPr>
                        <w:rFonts w:ascii="Cambria Math" w:eastAsia="Cambria Math" w:hAnsi="Cambria Math" w:cs="Arial"/>
                        <w:b/>
                        <w:bCs/>
                      </w:rPr>
                    </m:ctrlPr>
                  </m:fPr>
                  <m:num>
                    <m:sSubSup>
                      <m:sSubSupPr>
                        <m:ctrlPr>
                          <w:rPr>
                            <w:rFonts w:ascii="Cambria Math" w:eastAsia="Cambria Math" w:hAnsi="Cambria Math" w:cs="Arial"/>
                            <w:b/>
                            <w:i/>
                          </w:rPr>
                        </m:ctrlPr>
                      </m:sSubSupPr>
                      <m:e>
                        <m:r>
                          <m:rPr>
                            <m:sty m:val="bi"/>
                          </m:rPr>
                          <w:rPr>
                            <w:rFonts w:ascii="Cambria Math" w:eastAsia="Cambria Math" w:hAnsi="Cambria Math" w:cs="Arial"/>
                          </w:rPr>
                          <m:t>M</m:t>
                        </m:r>
                      </m:e>
                      <m:sub>
                        <m:r>
                          <m:rPr>
                            <m:sty m:val="bi"/>
                          </m:rPr>
                          <w:rPr>
                            <w:rFonts w:ascii="Cambria Math" w:eastAsia="Cambria Math" w:hAnsi="Cambria Math" w:cs="Arial"/>
                          </w:rPr>
                          <m:t>biomass</m:t>
                        </m:r>
                      </m:sub>
                      <m:sup>
                        <m:r>
                          <m:rPr>
                            <m:sty m:val="bi"/>
                          </m:rPr>
                          <w:rPr>
                            <w:rFonts w:ascii="Cambria Math" w:eastAsia="Cambria Math" w:hAnsi="Cambria Math" w:cs="Arial"/>
                          </w:rPr>
                          <m:t>.</m:t>
                        </m:r>
                      </m:sup>
                    </m:sSubSup>
                  </m:num>
                  <m:den>
                    <m:sSub>
                      <m:sSubPr>
                        <m:ctrlPr>
                          <w:rPr>
                            <w:rFonts w:ascii="Cambria Math" w:eastAsia="Cambria Math" w:hAnsi="Cambria Math" w:cs="Arial"/>
                            <w:b/>
                            <w:bCs/>
                          </w:rPr>
                        </m:ctrlPr>
                      </m:sSubPr>
                      <m:e>
                        <m:r>
                          <m:rPr>
                            <m:sty m:val="bi"/>
                          </m:rPr>
                          <w:rPr>
                            <w:rFonts w:ascii="Cambria Math" w:eastAsia="Cambria Math" w:hAnsi="Cambria Math" w:cs="Arial"/>
                          </w:rPr>
                          <m:t>M</m:t>
                        </m:r>
                      </m:e>
                      <m:sub>
                        <m:sSub>
                          <m:sSubPr>
                            <m:ctrlPr>
                              <w:rPr>
                                <w:rFonts w:ascii="Cambria Math" w:eastAsia="Cambria Math" w:hAnsi="Cambria Math" w:cs="Arial"/>
                                <w:b/>
                                <w:bCs/>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sub>
                    </m:sSub>
                  </m:den>
                </m:f>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Biomass</m:t>
                    </m:r>
                  </m:sub>
                </m:sSub>
              </m:oMath>
            </m:oMathPara>
          </w:p>
        </w:tc>
        <w:tc>
          <w:tcPr>
            <w:tcW w:w="855" w:type="dxa"/>
            <w:shd w:val="clear" w:color="auto" w:fill="auto"/>
            <w:tcMar>
              <w:top w:w="100" w:type="dxa"/>
              <w:left w:w="100" w:type="dxa"/>
              <w:bottom w:w="100" w:type="dxa"/>
              <w:right w:w="100" w:type="dxa"/>
            </w:tcMar>
            <w:vAlign w:val="center"/>
          </w:tcPr>
          <w:p w14:paraId="55FBD782" w14:textId="77777777" w:rsidR="00DA7E40" w:rsidRPr="00D800F0" w:rsidRDefault="00DA7E40" w:rsidP="0000614D">
            <w:pPr>
              <w:widowControl w:val="0"/>
              <w:jc w:val="center"/>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22</w:t>
            </w:r>
            <w:r w:rsidRPr="00D800F0">
              <w:rPr>
                <w:rFonts w:ascii="Arial" w:eastAsia="Cambria Math" w:hAnsi="Arial" w:cs="Arial"/>
              </w:rPr>
              <w:fldChar w:fldCharType="end"/>
            </w:r>
            <w:r w:rsidRPr="00D800F0">
              <w:rPr>
                <w:rFonts w:ascii="Arial" w:eastAsia="Cambria Math" w:hAnsi="Arial" w:cs="Arial"/>
              </w:rPr>
              <w:t>)</w:t>
            </w:r>
          </w:p>
        </w:tc>
      </w:tr>
    </w:tbl>
    <w:p w14:paraId="1EB76D43" w14:textId="77777777" w:rsidR="00DA7E40" w:rsidRPr="00D800F0" w:rsidRDefault="00DA7E40" w:rsidP="00DA7E40">
      <w:pPr>
        <w:jc w:val="center"/>
        <w:rPr>
          <w:rFonts w:ascii="Arial" w:hAnsi="Arial" w:cs="Arial"/>
        </w:rPr>
      </w:pPr>
    </w:p>
    <w:p w14:paraId="7DE753AA" w14:textId="77777777" w:rsidR="00DA7E40" w:rsidRPr="00D800F0" w:rsidRDefault="00DA7E40" w:rsidP="006864F3">
      <w:pPr>
        <w:pStyle w:val="Heading4"/>
        <w:rPr>
          <w:rFonts w:ascii="Arial" w:hAnsi="Arial" w:cs="Arial"/>
        </w:rPr>
      </w:pPr>
      <w:r w:rsidRPr="00D800F0">
        <w:rPr>
          <w:rFonts w:ascii="Arial" w:hAnsi="Arial" w:cs="Arial"/>
        </w:rPr>
        <w:t>Policy Tax Credits</w:t>
      </w:r>
    </w:p>
    <w:p w14:paraId="2E81A708" w14:textId="77777777" w:rsidR="00DA7E40" w:rsidRPr="00D800F0" w:rsidRDefault="00DA7E40" w:rsidP="00DA7E40">
      <w:pPr>
        <w:ind w:firstLine="720"/>
        <w:rPr>
          <w:rFonts w:ascii="Arial" w:hAnsi="Arial" w:cs="Arial"/>
        </w:rPr>
      </w:pPr>
      <w:r w:rsidRPr="00D800F0">
        <w:rPr>
          <w:rFonts w:ascii="Arial" w:hAnsi="Arial" w:cs="Arial"/>
        </w:rPr>
        <w:t>The AP plan first must decide on a credit program (45V or 45Q). AP BH2S and AP AEC do not qualify for 45Q. Hence, only AP CCS can choose between 45V and 45Q by using the formula below:</w:t>
      </w:r>
    </w:p>
    <w:tbl>
      <w:tblPr>
        <w:tblW w:w="9360" w:type="dxa"/>
        <w:tblLayout w:type="fixed"/>
        <w:tblLook w:val="0600" w:firstRow="0" w:lastRow="0" w:firstColumn="0" w:lastColumn="0" w:noHBand="1" w:noVBand="1"/>
      </w:tblPr>
      <w:tblGrid>
        <w:gridCol w:w="8505"/>
        <w:gridCol w:w="855"/>
      </w:tblGrid>
      <w:tr w:rsidR="00DA7E40" w:rsidRPr="00D800F0" w14:paraId="425CF0D4" w14:textId="77777777" w:rsidTr="0000614D">
        <w:trPr>
          <w:cantSplit/>
          <w:trHeight w:val="839"/>
        </w:trPr>
        <w:tc>
          <w:tcPr>
            <w:tcW w:w="8505" w:type="dxa"/>
            <w:shd w:val="clear" w:color="auto" w:fill="auto"/>
            <w:tcMar>
              <w:top w:w="100" w:type="dxa"/>
              <w:left w:w="100" w:type="dxa"/>
              <w:bottom w:w="100" w:type="dxa"/>
              <w:right w:w="100" w:type="dxa"/>
            </w:tcMar>
            <w:vAlign w:val="center"/>
          </w:tcPr>
          <w:p w14:paraId="3EF1A490" w14:textId="77777777" w:rsidR="00DA7E40" w:rsidRPr="00D800F0" w:rsidRDefault="00000000" w:rsidP="0000614D">
            <w:pPr>
              <w:jc w:val="center"/>
              <w:rPr>
                <w:rFonts w:ascii="Arial" w:eastAsiaTheme="minorEastAsia" w:hAnsi="Arial" w:cs="Arial"/>
              </w:rPr>
            </w:pPr>
            <m:oMathPara>
              <m:oMath>
                <m:func>
                  <m:funcPr>
                    <m:ctrlPr>
                      <w:rPr>
                        <w:rFonts w:ascii="Cambria Math" w:hAnsi="Cambria Math" w:cs="Arial"/>
                        <w:i/>
                      </w:rPr>
                    </m:ctrlPr>
                  </m:funcPr>
                  <m:fName>
                    <m:r>
                      <m:rPr>
                        <m:sty m:val="p"/>
                      </m:rPr>
                      <w:rPr>
                        <w:rFonts w:ascii="Cambria Math" w:hAnsi="Cambria Math" w:cs="Arial"/>
                      </w:rPr>
                      <m:t>max</m:t>
                    </m:r>
                  </m:fName>
                  <m:e>
                    <m:d>
                      <m:dPr>
                        <m:begChr m:val="["/>
                        <m:endChr m:val="]"/>
                        <m:ctrlPr>
                          <w:rPr>
                            <w:rFonts w:ascii="Cambria Math" w:hAnsi="Cambria Math" w:cs="Arial"/>
                            <w:i/>
                          </w:rPr>
                        </m:ctrlPr>
                      </m:dPr>
                      <m:e>
                        <m:eqArr>
                          <m:eqArrPr>
                            <m:ctrlPr>
                              <w:rPr>
                                <w:rFonts w:ascii="Cambria Math" w:hAnsi="Cambria Math" w:cs="Arial"/>
                                <w:i/>
                              </w:rPr>
                            </m:ctrlPr>
                          </m:eqArrPr>
                          <m:e>
                            <m:r>
                              <w:rPr>
                                <w:rFonts w:ascii="Cambria Math" w:hAnsi="Cambria Math" w:cs="Arial"/>
                              </w:rPr>
                              <m:t>45V:</m:t>
                            </m:r>
                            <m:nary>
                              <m:naryPr>
                                <m:chr m:val="∑"/>
                                <m:limLoc m:val="undOvr"/>
                                <m:ctrlPr>
                                  <w:rPr>
                                    <w:rFonts w:ascii="Cambria Math" w:hAnsi="Cambria Math" w:cs="Arial"/>
                                    <w:i/>
                                  </w:rPr>
                                </m:ctrlPr>
                              </m:naryPr>
                              <m:sub>
                                <m:r>
                                  <m:rPr>
                                    <m:sty m:val="bi"/>
                                  </m:rPr>
                                  <w:rPr>
                                    <w:rFonts w:ascii="Cambria Math" w:hAnsi="Cambria Math" w:cs="Arial"/>
                                  </w:rPr>
                                  <m:t>T=S+C</m:t>
                                </m:r>
                              </m:sub>
                              <m:sup>
                                <m:r>
                                  <m:rPr>
                                    <m:sty m:val="bi"/>
                                  </m:rPr>
                                  <w:rPr>
                                    <w:rFonts w:ascii="Cambria Math" w:hAnsi="Cambria Math" w:cs="Arial"/>
                                  </w:rPr>
                                  <m:t>L+S+C</m:t>
                                </m:r>
                              </m:sup>
                              <m:e>
                                <m:sSub>
                                  <m:sSubPr>
                                    <m:ctrlPr>
                                      <w:rPr>
                                        <w:rFonts w:ascii="Cambria Math" w:hAnsi="Cambria Math" w:cs="Arial"/>
                                        <w:b/>
                                        <w:bCs/>
                                        <w:i/>
                                      </w:rPr>
                                    </m:ctrlPr>
                                  </m:sSubPr>
                                  <m:e>
                                    <m:r>
                                      <m:rPr>
                                        <m:scr m:val="script"/>
                                        <m:sty m:val="bi"/>
                                      </m:rPr>
                                      <w:rPr>
                                        <w:rFonts w:ascii="Cambria Math" w:hAnsi="Cambria Math" w:cs="Arial"/>
                                      </w:rPr>
                                      <m:t>H</m:t>
                                    </m:r>
                                  </m:e>
                                  <m:sub>
                                    <m:r>
                                      <m:rPr>
                                        <m:sty m:val="bi"/>
                                      </m:rPr>
                                      <w:rPr>
                                        <w:rFonts w:ascii="Cambria Math" w:hAnsi="Cambria Math" w:cs="Arial"/>
                                      </w:rPr>
                                      <m:t>CE</m:t>
                                    </m:r>
                                  </m:sub>
                                </m:sSub>
                                <m:r>
                                  <m:rPr>
                                    <m:sty m:val="bi"/>
                                  </m:rPr>
                                  <w:rPr>
                                    <w:rFonts w:ascii="Cambria Math" w:hAnsi="Cambria Math" w:cs="Arial"/>
                                  </w:rPr>
                                  <m:t> </m:t>
                                </m:r>
                                <m:d>
                                  <m:dPr>
                                    <m:begChr m:val="["/>
                                    <m:endChr m:val="]"/>
                                    <m:ctrlPr>
                                      <w:rPr>
                                        <w:rFonts w:ascii="Cambria Math" w:hAnsi="Cambria Math" w:cs="Arial"/>
                                        <w:i/>
                                      </w:rPr>
                                    </m:ctrlPr>
                                  </m:dPr>
                                  <m:e>
                                    <m:f>
                                      <m:fPr>
                                        <m:ctrlPr>
                                          <w:rPr>
                                            <w:rFonts w:ascii="Cambria Math" w:hAnsi="Cambria Math" w:cs="Arial"/>
                                            <w:b/>
                                            <w:bCs/>
                                            <w:i/>
                                          </w:rPr>
                                        </m:ctrlPr>
                                      </m:fPr>
                                      <m:num>
                                        <m:sSub>
                                          <m:sSubPr>
                                            <m:ctrlPr>
                                              <w:rPr>
                                                <w:rFonts w:ascii="Cambria Math" w:eastAsia="Cambria Math" w:hAnsi="Cambria Math" w:cs="Arial"/>
                                                <w:b/>
                                                <w:bCs/>
                                              </w:rPr>
                                            </m:ctrlPr>
                                          </m:sSubPr>
                                          <m:e>
                                            <m:r>
                                              <m:rPr>
                                                <m:sty m:val="b"/>
                                              </m:rPr>
                                              <w:rPr>
                                                <w:rFonts w:ascii="Cambria Math" w:eastAsia="Cambria Math" w:hAnsi="Cambria Math" w:cs="Arial"/>
                                              </w:rPr>
                                              <m:t>F</m:t>
                                            </m:r>
                                            <m:ctrlPr>
                                              <w:rPr>
                                                <w:rFonts w:ascii="Cambria Math" w:eastAsia="Cambria Math" w:hAnsi="Cambria Math" w:cs="Arial"/>
                                                <w:b/>
                                                <w:i/>
                                              </w:rPr>
                                            </m:ctrlPr>
                                          </m:e>
                                          <m:sub>
                                            <m:r>
                                              <m:rPr>
                                                <m:sty m:val="b"/>
                                              </m:rPr>
                                              <w:rPr>
                                                <w:rFonts w:ascii="Cambria Math" w:eastAsia="Cambria Math" w:hAnsi="Cambria Math" w:cs="Arial"/>
                                              </w:rPr>
                                              <m:t>45Q</m:t>
                                            </m:r>
                                          </m:sub>
                                        </m:sSub>
                                        <m:r>
                                          <m:rPr>
                                            <m:sty m:val="bi"/>
                                          </m:rPr>
                                          <w:rPr>
                                            <w:rFonts w:ascii="Cambria Math" w:eastAsia="Cambria Math" w:hAnsi="Cambria Math" w:cs="Arial"/>
                                          </w:rPr>
                                          <m:t>*</m:t>
                                        </m:r>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H</m:t>
                                            </m:r>
                                            <m:r>
                                              <m:rPr>
                                                <m:sty m:val="bi"/>
                                              </m:rPr>
                                              <w:rPr>
                                                <w:rFonts w:ascii="Cambria Math" w:eastAsia="Cambria Math" w:hAnsi="Cambria Math" w:cs="Arial"/>
                                              </w:rPr>
                                              <m:t>2</m:t>
                                            </m:r>
                                          </m:sub>
                                        </m:sSub>
                                        <m:d>
                                          <m:dPr>
                                            <m:ctrlPr>
                                              <w:rPr>
                                                <w:rFonts w:ascii="Cambria Math" w:eastAsia="Cambria Math" w:hAnsi="Cambria Math" w:cs="Arial"/>
                                                <w:b/>
                                                <w:bCs/>
                                              </w:rPr>
                                            </m:ctrlPr>
                                          </m:dPr>
                                          <m:e>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SM</m:t>
                                                </m:r>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direct</m:t>
                                                    </m:r>
                                                  </m:sub>
                                                </m:sSub>
                                              </m:sub>
                                            </m:sSub>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 xml:space="preserve"> </m:t>
                                                </m:r>
                                                <m:sSub>
                                                  <m:sSubPr>
                                                    <m:ctrlPr>
                                                      <w:rPr>
                                                        <w:rFonts w:ascii="Cambria Math" w:eastAsia="Cambria Math" w:hAnsi="Cambria Math" w:cs="Arial"/>
                                                        <w:b/>
                                                        <w:i/>
                                                      </w:rPr>
                                                    </m:ctrlPr>
                                                  </m:sSubPr>
                                                  <m:e>
                                                    <m:r>
                                                      <m:rPr>
                                                        <m:sty m:val="bi"/>
                                                      </m:rPr>
                                                      <w:rPr>
                                                        <w:rFonts w:ascii="Cambria Math" w:eastAsia="Cambria Math" w:hAnsi="Cambria Math" w:cs="Arial"/>
                                                      </w:rPr>
                                                      <m:t>j</m:t>
                                                    </m:r>
                                                  </m:e>
                                                  <m:sub>
                                                    <m:r>
                                                      <m:rPr>
                                                        <m:sty m:val="bi"/>
                                                      </m:rPr>
                                                      <w:rPr>
                                                        <w:rFonts w:ascii="Cambria Math" w:eastAsia="Cambria Math" w:hAnsi="Cambria Math" w:cs="Arial"/>
                                                      </w:rPr>
                                                      <m:t>direct</m:t>
                                                    </m:r>
                                                  </m:sub>
                                                </m:sSub>
                                              </m:sub>
                                            </m:sSub>
                                          </m:e>
                                        </m:d>
                                        <m:ctrlPr>
                                          <w:rPr>
                                            <w:rFonts w:ascii="Cambria Math" w:hAnsi="Cambria Math" w:cs="Arial"/>
                                            <w:i/>
                                          </w:rPr>
                                        </m:ctrlPr>
                                      </m:num>
                                      <m:den>
                                        <m:sSup>
                                          <m:sSupPr>
                                            <m:ctrlPr>
                                              <w:rPr>
                                                <w:rFonts w:ascii="Cambria Math" w:hAnsi="Cambria Math" w:cs="Arial"/>
                                                <w:i/>
                                              </w:rPr>
                                            </m:ctrlPr>
                                          </m:sSupPr>
                                          <m:e>
                                            <m:d>
                                              <m:dPr>
                                                <m:ctrlPr>
                                                  <w:rPr>
                                                    <w:rFonts w:ascii="Cambria Math" w:hAnsi="Cambria Math" w:cs="Arial"/>
                                                    <w:b/>
                                                    <w:bCs/>
                                                    <w:i/>
                                                  </w:rPr>
                                                </m:ctrlPr>
                                              </m:dPr>
                                              <m:e>
                                                <m:r>
                                                  <m:rPr>
                                                    <m:sty m:val="bi"/>
                                                  </m:rPr>
                                                  <w:rPr>
                                                    <w:rFonts w:ascii="Cambria Math" w:hAnsi="Cambria Math" w:cs="Arial"/>
                                                  </w:rPr>
                                                  <m:t>1+</m:t>
                                                </m:r>
                                                <m:sSub>
                                                  <m:sSubPr>
                                                    <m:ctrlPr>
                                                      <w:rPr>
                                                        <w:rFonts w:ascii="Cambria Math" w:hAnsi="Cambria Math" w:cs="Arial"/>
                                                        <w:b/>
                                                        <w:bCs/>
                                                        <w:i/>
                                                      </w:rPr>
                                                    </m:ctrlPr>
                                                  </m:sSubPr>
                                                  <m:e>
                                                    <m:r>
                                                      <m:rPr>
                                                        <m:sty m:val="bi"/>
                                                      </m:rPr>
                                                      <w:rPr>
                                                        <w:rFonts w:ascii="Cambria Math" w:hAnsi="Cambria Math" w:cs="Arial"/>
                                                      </w:rPr>
                                                      <m:t>d</m:t>
                                                    </m:r>
                                                  </m:e>
                                                  <m:sub>
                                                    <m:r>
                                                      <m:rPr>
                                                        <m:sty m:val="bi"/>
                                                      </m:rPr>
                                                      <w:rPr>
                                                        <w:rFonts w:ascii="Cambria Math" w:hAnsi="Cambria Math" w:cs="Arial"/>
                                                      </w:rPr>
                                                      <m:t>p</m:t>
                                                    </m:r>
                                                  </m:sub>
                                                </m:sSub>
                                              </m:e>
                                            </m:d>
                                          </m:e>
                                          <m:sup>
                                            <m:r>
                                              <m:rPr>
                                                <m:sty m:val="bi"/>
                                              </m:rPr>
                                              <w:rPr>
                                                <w:rFonts w:ascii="Cambria Math" w:hAnsi="Cambria Math" w:cs="Arial"/>
                                              </w:rPr>
                                              <m:t>T-S</m:t>
                                            </m:r>
                                          </m:sup>
                                        </m:sSup>
                                      </m:den>
                                    </m:f>
                                    <m:ctrlPr>
                                      <w:rPr>
                                        <w:rFonts w:ascii="Cambria Math" w:hAnsi="Cambria Math" w:cs="Arial"/>
                                        <w:b/>
                                        <w:bCs/>
                                        <w:i/>
                                      </w:rPr>
                                    </m:ctrlPr>
                                  </m:e>
                                </m:d>
                              </m:e>
                            </m:nary>
                            <m:r>
                              <w:rPr>
                                <w:rFonts w:ascii="Cambria Math" w:hAnsi="Cambria Math" w:cs="Arial"/>
                              </w:rPr>
                              <m:t>,</m:t>
                            </m:r>
                          </m:e>
                          <m:e>
                            <m:r>
                              <w:rPr>
                                <w:rFonts w:ascii="Cambria Math" w:hAnsi="Cambria Math" w:cs="Arial"/>
                              </w:rPr>
                              <m:t>45Q:</m:t>
                            </m:r>
                            <m:nary>
                              <m:naryPr>
                                <m:chr m:val="∑"/>
                                <m:limLoc m:val="undOvr"/>
                                <m:ctrlPr>
                                  <w:rPr>
                                    <w:rFonts w:ascii="Cambria Math" w:hAnsi="Cambria Math" w:cs="Arial"/>
                                    <w:i/>
                                  </w:rPr>
                                </m:ctrlPr>
                              </m:naryPr>
                              <m:sub>
                                <m:r>
                                  <m:rPr>
                                    <m:sty m:val="bi"/>
                                  </m:rPr>
                                  <w:rPr>
                                    <w:rFonts w:ascii="Cambria Math" w:hAnsi="Cambria Math" w:cs="Arial"/>
                                  </w:rPr>
                                  <m:t>T=S+C</m:t>
                                </m:r>
                              </m:sub>
                              <m:sup>
                                <m:r>
                                  <m:rPr>
                                    <m:sty m:val="bi"/>
                                  </m:rPr>
                                  <w:rPr>
                                    <w:rFonts w:ascii="Cambria Math" w:hAnsi="Cambria Math" w:cs="Arial"/>
                                  </w:rPr>
                                  <m:t>L+S+C</m:t>
                                </m:r>
                              </m:sup>
                              <m:e>
                                <m:sSub>
                                  <m:sSubPr>
                                    <m:ctrlPr>
                                      <w:rPr>
                                        <w:rFonts w:ascii="Cambria Math" w:hAnsi="Cambria Math" w:cs="Arial"/>
                                        <w:b/>
                                        <w:bCs/>
                                        <w:i/>
                                      </w:rPr>
                                    </m:ctrlPr>
                                  </m:sSubPr>
                                  <m:e>
                                    <m:r>
                                      <m:rPr>
                                        <m:scr m:val="script"/>
                                        <m:sty m:val="bi"/>
                                      </m:rPr>
                                      <w:rPr>
                                        <w:rFonts w:ascii="Cambria Math" w:hAnsi="Cambria Math" w:cs="Arial"/>
                                      </w:rPr>
                                      <m:t>H</m:t>
                                    </m:r>
                                  </m:e>
                                  <m:sub>
                                    <m:r>
                                      <m:rPr>
                                        <m:sty m:val="bi"/>
                                      </m:rPr>
                                      <w:rPr>
                                        <w:rFonts w:ascii="Cambria Math" w:hAnsi="Cambria Math" w:cs="Arial"/>
                                      </w:rPr>
                                      <m:t>CE</m:t>
                                    </m:r>
                                  </m:sub>
                                </m:sSub>
                                <m:r>
                                  <m:rPr>
                                    <m:sty m:val="bi"/>
                                  </m:rPr>
                                  <w:rPr>
                                    <w:rFonts w:ascii="Cambria Math" w:hAnsi="Cambria Math" w:cs="Arial"/>
                                  </w:rPr>
                                  <m:t> </m:t>
                                </m:r>
                                <m:d>
                                  <m:dPr>
                                    <m:begChr m:val="["/>
                                    <m:endChr m:val="]"/>
                                    <m:ctrlPr>
                                      <w:rPr>
                                        <w:rFonts w:ascii="Cambria Math" w:hAnsi="Cambria Math" w:cs="Arial"/>
                                        <w:i/>
                                      </w:rPr>
                                    </m:ctrlPr>
                                  </m:dPr>
                                  <m:e>
                                    <m:f>
                                      <m:fPr>
                                        <m:ctrlPr>
                                          <w:rPr>
                                            <w:rFonts w:ascii="Cambria Math" w:hAnsi="Cambria Math" w:cs="Arial"/>
                                            <w:b/>
                                            <w:bCs/>
                                            <w:i/>
                                          </w:rPr>
                                        </m:ctrlPr>
                                      </m:fPr>
                                      <m:num>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H</m:t>
                                            </m:r>
                                            <m:r>
                                              <m:rPr>
                                                <m:sty m:val="bi"/>
                                              </m:rPr>
                                              <w:rPr>
                                                <w:rFonts w:ascii="Cambria Math" w:eastAsia="Cambria Math" w:hAnsi="Cambria Math" w:cs="Arial"/>
                                              </w:rPr>
                                              <m:t>2</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V</m:t>
                                            </m:r>
                                          </m:sub>
                                        </m:sSub>
                                        <m:d>
                                          <m:dPr>
                                            <m:ctrlPr>
                                              <w:rPr>
                                                <w:rFonts w:ascii="Cambria Math" w:eastAsia="Cambria Math" w:hAnsi="Cambria Math" w:cs="Arial"/>
                                                <w:b/>
                                                <w:bCs/>
                                              </w:rPr>
                                            </m:ctrlPr>
                                          </m:dPr>
                                          <m:e>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e>
                                        </m:d>
                                        <m:ctrlPr>
                                          <w:rPr>
                                            <w:rFonts w:ascii="Cambria Math" w:hAnsi="Cambria Math" w:cs="Arial"/>
                                            <w:i/>
                                          </w:rPr>
                                        </m:ctrlPr>
                                      </m:num>
                                      <m:den>
                                        <m:sSup>
                                          <m:sSupPr>
                                            <m:ctrlPr>
                                              <w:rPr>
                                                <w:rFonts w:ascii="Cambria Math" w:hAnsi="Cambria Math" w:cs="Arial"/>
                                                <w:i/>
                                              </w:rPr>
                                            </m:ctrlPr>
                                          </m:sSupPr>
                                          <m:e>
                                            <m:d>
                                              <m:dPr>
                                                <m:ctrlPr>
                                                  <w:rPr>
                                                    <w:rFonts w:ascii="Cambria Math" w:hAnsi="Cambria Math" w:cs="Arial"/>
                                                    <w:b/>
                                                    <w:bCs/>
                                                    <w:i/>
                                                  </w:rPr>
                                                </m:ctrlPr>
                                              </m:dPr>
                                              <m:e>
                                                <m:r>
                                                  <m:rPr>
                                                    <m:sty m:val="bi"/>
                                                  </m:rPr>
                                                  <w:rPr>
                                                    <w:rFonts w:ascii="Cambria Math" w:hAnsi="Cambria Math" w:cs="Arial"/>
                                                  </w:rPr>
                                                  <m:t>1+</m:t>
                                                </m:r>
                                                <m:sSub>
                                                  <m:sSubPr>
                                                    <m:ctrlPr>
                                                      <w:rPr>
                                                        <w:rFonts w:ascii="Cambria Math" w:hAnsi="Cambria Math" w:cs="Arial"/>
                                                        <w:b/>
                                                        <w:bCs/>
                                                        <w:i/>
                                                      </w:rPr>
                                                    </m:ctrlPr>
                                                  </m:sSubPr>
                                                  <m:e>
                                                    <m:r>
                                                      <m:rPr>
                                                        <m:sty m:val="bi"/>
                                                      </m:rPr>
                                                      <w:rPr>
                                                        <w:rFonts w:ascii="Cambria Math" w:hAnsi="Cambria Math" w:cs="Arial"/>
                                                      </w:rPr>
                                                      <m:t>d</m:t>
                                                    </m:r>
                                                  </m:e>
                                                  <m:sub>
                                                    <m:r>
                                                      <m:rPr>
                                                        <m:sty m:val="bi"/>
                                                      </m:rPr>
                                                      <w:rPr>
                                                        <w:rFonts w:ascii="Cambria Math" w:hAnsi="Cambria Math" w:cs="Arial"/>
                                                      </w:rPr>
                                                      <m:t>p</m:t>
                                                    </m:r>
                                                  </m:sub>
                                                </m:sSub>
                                              </m:e>
                                            </m:d>
                                          </m:e>
                                          <m:sup>
                                            <m:r>
                                              <m:rPr>
                                                <m:sty m:val="bi"/>
                                              </m:rPr>
                                              <w:rPr>
                                                <w:rFonts w:ascii="Cambria Math" w:hAnsi="Cambria Math" w:cs="Arial"/>
                                              </w:rPr>
                                              <m:t>T-S</m:t>
                                            </m:r>
                                          </m:sup>
                                        </m:sSup>
                                      </m:den>
                                    </m:f>
                                    <m:ctrlPr>
                                      <w:rPr>
                                        <w:rFonts w:ascii="Cambria Math" w:hAnsi="Cambria Math" w:cs="Arial"/>
                                        <w:b/>
                                        <w:bCs/>
                                        <w:i/>
                                      </w:rPr>
                                    </m:ctrlPr>
                                  </m:e>
                                </m:d>
                              </m:e>
                            </m:nary>
                          </m:e>
                        </m:eqArr>
                      </m:e>
                    </m:d>
                  </m:e>
                </m:func>
              </m:oMath>
            </m:oMathPara>
          </w:p>
        </w:tc>
        <w:tc>
          <w:tcPr>
            <w:tcW w:w="855" w:type="dxa"/>
            <w:shd w:val="clear" w:color="auto" w:fill="auto"/>
            <w:tcMar>
              <w:top w:w="100" w:type="dxa"/>
              <w:left w:w="100" w:type="dxa"/>
              <w:bottom w:w="100" w:type="dxa"/>
              <w:right w:w="100" w:type="dxa"/>
            </w:tcMar>
            <w:vAlign w:val="center"/>
          </w:tcPr>
          <w:p w14:paraId="57430D2A" w14:textId="77777777" w:rsidR="00DA7E40" w:rsidRPr="00D800F0" w:rsidRDefault="00DA7E40" w:rsidP="0000614D">
            <w:pPr>
              <w:widowControl w:val="0"/>
              <w:jc w:val="center"/>
              <w:rPr>
                <w:rFonts w:ascii="Arial" w:eastAsia="Cambria Math"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23</w:t>
            </w:r>
            <w:r w:rsidRPr="00D800F0">
              <w:rPr>
                <w:rFonts w:ascii="Arial" w:eastAsia="Cambria Math" w:hAnsi="Arial" w:cs="Arial"/>
              </w:rPr>
              <w:fldChar w:fldCharType="end"/>
            </w:r>
            <w:r w:rsidRPr="00D800F0">
              <w:rPr>
                <w:rFonts w:ascii="Arial" w:eastAsia="Cambria Math" w:hAnsi="Arial" w:cs="Arial"/>
              </w:rPr>
              <w:t>)</w:t>
            </w:r>
          </w:p>
        </w:tc>
      </w:tr>
    </w:tbl>
    <w:p w14:paraId="028FD66D" w14:textId="77777777" w:rsidR="00DA7E40" w:rsidRPr="00D800F0" w:rsidRDefault="00DA7E40" w:rsidP="00DA7E40">
      <w:pPr>
        <w:rPr>
          <w:rFonts w:ascii="Arial" w:hAnsi="Arial" w:cs="Arial"/>
        </w:rPr>
      </w:pPr>
      <w:r w:rsidRPr="00D800F0">
        <w:rPr>
          <w:rFonts w:ascii="Arial" w:hAnsi="Arial" w:cs="Arial"/>
        </w:rPr>
        <w:tab/>
      </w:r>
    </w:p>
    <w:p w14:paraId="6321CC2B" w14:textId="2D2F061C" w:rsidR="00DA7E40" w:rsidRPr="00D800F0" w:rsidRDefault="00DA7E40" w:rsidP="00DA7E40">
      <w:pPr>
        <w:rPr>
          <w:rFonts w:ascii="Arial" w:hAnsi="Arial" w:cs="Arial"/>
        </w:rPr>
      </w:pPr>
      <w:r w:rsidRPr="00D800F0">
        <w:rPr>
          <w:rFonts w:ascii="Arial" w:hAnsi="Arial" w:cs="Arial"/>
        </w:rPr>
        <w:t xml:space="preserve">where </w:t>
      </w:r>
      <m:oMath>
        <m:sSub>
          <m:sSubPr>
            <m:ctrlPr>
              <w:rPr>
                <w:rFonts w:ascii="Cambria Math" w:hAnsi="Cambria Math" w:cs="Arial"/>
                <w:b/>
                <w:bCs/>
                <w:i/>
              </w:rPr>
            </m:ctrlPr>
          </m:sSubPr>
          <m:e>
            <m:r>
              <m:rPr>
                <m:scr m:val="script"/>
                <m:sty m:val="bi"/>
              </m:rPr>
              <w:rPr>
                <w:rFonts w:ascii="Cambria Math" w:hAnsi="Cambria Math" w:cs="Arial"/>
              </w:rPr>
              <m:t>H</m:t>
            </m:r>
          </m:e>
          <m:sub>
            <m:r>
              <m:rPr>
                <m:sty m:val="bi"/>
              </m:rPr>
              <w:rPr>
                <w:rFonts w:ascii="Cambria Math" w:hAnsi="Cambria Math" w:cs="Arial"/>
              </w:rPr>
              <m:t>CE</m:t>
            </m:r>
          </m:sub>
        </m:sSub>
      </m:oMath>
      <w:r w:rsidRPr="00D800F0">
        <w:rPr>
          <w:rFonts w:ascii="Arial" w:hAnsi="Arial" w:cs="Arial"/>
          <w:b/>
          <w:bCs/>
        </w:rPr>
        <w:t xml:space="preserve"> </w:t>
      </w:r>
      <w:r w:rsidRPr="00D800F0">
        <w:rPr>
          <w:rFonts w:ascii="Arial" w:hAnsi="Arial" w:cs="Arial"/>
        </w:rPr>
        <w:t xml:space="preserve">is an operator that converts the tax credits from the IRA eligible tax credits to the cash-equivalent utilizing the “direct pay” and “transferability” capabilities of the credits – it performs the logical operation in equations </w:t>
      </w:r>
      <w:r w:rsidRPr="00D800F0">
        <w:rPr>
          <w:rFonts w:ascii="Arial" w:hAnsi="Arial" w:cs="Arial"/>
        </w:rPr>
        <w:fldChar w:fldCharType="begin"/>
      </w:r>
      <w:r w:rsidRPr="00D800F0">
        <w:rPr>
          <w:rFonts w:ascii="Arial" w:hAnsi="Arial" w:cs="Arial"/>
        </w:rPr>
        <w:instrText xml:space="preserve"> REF _Ref146932616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eastAsia="Cambria Math" w:hAnsi="Arial" w:cs="Arial"/>
        </w:rPr>
        <w:t>(</w:t>
      </w:r>
      <w:r w:rsidRPr="00D800F0">
        <w:rPr>
          <w:rFonts w:ascii="Arial" w:eastAsia="Cambria Math" w:hAnsi="Arial" w:cs="Arial"/>
          <w:noProof/>
        </w:rPr>
        <w:t>C</w:t>
      </w:r>
      <w:r w:rsidRPr="00D800F0">
        <w:rPr>
          <w:rFonts w:ascii="Arial" w:eastAsia="Cambria Math" w:hAnsi="Arial" w:cs="Arial"/>
        </w:rPr>
        <w:t>.</w:t>
      </w:r>
      <w:r w:rsidRPr="00D800F0">
        <w:rPr>
          <w:rFonts w:ascii="Arial" w:eastAsia="Cambria Math" w:hAnsi="Arial" w:cs="Arial"/>
          <w:noProof/>
        </w:rPr>
        <w:t>26</w:t>
      </w:r>
      <w:r w:rsidRPr="00D800F0">
        <w:rPr>
          <w:rFonts w:ascii="Arial" w:eastAsia="Cambria Math" w:hAnsi="Arial" w:cs="Arial"/>
        </w:rPr>
        <w:t>)</w:t>
      </w:r>
      <w:r w:rsidRPr="00D800F0">
        <w:rPr>
          <w:rFonts w:ascii="Arial" w:hAnsi="Arial" w:cs="Arial"/>
        </w:rPr>
        <w:fldChar w:fldCharType="end"/>
      </w:r>
      <w:r w:rsidRPr="00D800F0">
        <w:rPr>
          <w:rFonts w:ascii="Arial" w:hAnsi="Arial" w:cs="Arial"/>
        </w:rPr>
        <w:t xml:space="preserve"> and </w:t>
      </w:r>
      <w:r w:rsidRPr="00D800F0">
        <w:rPr>
          <w:rFonts w:ascii="Arial" w:hAnsi="Arial" w:cs="Arial"/>
        </w:rPr>
        <w:fldChar w:fldCharType="begin"/>
      </w:r>
      <w:r w:rsidRPr="00D800F0">
        <w:rPr>
          <w:rFonts w:ascii="Arial" w:hAnsi="Arial" w:cs="Arial"/>
        </w:rPr>
        <w:instrText xml:space="preserve"> REF _Ref146932621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eastAsia="Cambria Math" w:hAnsi="Arial" w:cs="Arial"/>
        </w:rPr>
        <w:t>(</w:t>
      </w:r>
      <w:r w:rsidRPr="00D800F0">
        <w:rPr>
          <w:rFonts w:ascii="Arial" w:eastAsia="Cambria Math" w:hAnsi="Arial" w:cs="Arial"/>
          <w:noProof/>
        </w:rPr>
        <w:t>C</w:t>
      </w:r>
      <w:r w:rsidRPr="00D800F0">
        <w:rPr>
          <w:rFonts w:ascii="Arial" w:eastAsia="Cambria Math" w:hAnsi="Arial" w:cs="Arial"/>
        </w:rPr>
        <w:t>.</w:t>
      </w:r>
      <w:r w:rsidRPr="00D800F0">
        <w:rPr>
          <w:rFonts w:ascii="Arial" w:eastAsia="Cambria Math" w:hAnsi="Arial" w:cs="Arial"/>
          <w:noProof/>
        </w:rPr>
        <w:t>27</w:t>
      </w:r>
      <w:r w:rsidRPr="00D800F0">
        <w:rPr>
          <w:rFonts w:ascii="Arial" w:eastAsia="Cambria Math" w:hAnsi="Arial" w:cs="Arial"/>
        </w:rPr>
        <w:t>)</w:t>
      </w:r>
      <w:r w:rsidRPr="00D800F0">
        <w:rPr>
          <w:rFonts w:ascii="Arial" w:hAnsi="Arial" w:cs="Arial"/>
        </w:rPr>
        <w:fldChar w:fldCharType="end"/>
      </w:r>
      <w:r w:rsidRPr="00D800F0">
        <w:rPr>
          <w:rFonts w:ascii="Arial" w:hAnsi="Arial" w:cs="Arial"/>
        </w:rPr>
        <w:t xml:space="preserve">. The first term in the max function is the NPV of 45V credits. The second term is the NPV of 45Q credits. </w:t>
      </w:r>
    </w:p>
    <w:tbl>
      <w:tblPr>
        <w:tblW w:w="9360" w:type="dxa"/>
        <w:tblLayout w:type="fixed"/>
        <w:tblLook w:val="0600" w:firstRow="0" w:lastRow="0" w:firstColumn="0" w:lastColumn="0" w:noHBand="1" w:noVBand="1"/>
      </w:tblPr>
      <w:tblGrid>
        <w:gridCol w:w="8505"/>
        <w:gridCol w:w="855"/>
      </w:tblGrid>
      <w:tr w:rsidR="00DA7E40" w:rsidRPr="00D800F0" w14:paraId="05BDBD0F" w14:textId="77777777" w:rsidTr="0000614D">
        <w:trPr>
          <w:cantSplit/>
          <w:trHeight w:val="839"/>
        </w:trPr>
        <w:tc>
          <w:tcPr>
            <w:tcW w:w="8505" w:type="dxa"/>
            <w:shd w:val="clear" w:color="auto" w:fill="auto"/>
            <w:tcMar>
              <w:top w:w="100" w:type="dxa"/>
              <w:left w:w="100" w:type="dxa"/>
              <w:bottom w:w="100" w:type="dxa"/>
              <w:right w:w="100" w:type="dxa"/>
            </w:tcMar>
          </w:tcPr>
          <w:p w14:paraId="22A26CC9"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Credit</m:t>
                </m:r>
                <m:sSub>
                  <m:sSubPr>
                    <m:ctrlPr>
                      <w:rPr>
                        <w:rFonts w:ascii="Cambria Math" w:eastAsia="Cambria Math" w:hAnsi="Cambria Math" w:cs="Arial"/>
                        <w:b/>
                        <w:bCs/>
                      </w:rPr>
                    </m:ctrlPr>
                  </m:sSubPr>
                  <m:e>
                    <m:sSub>
                      <m:sSubPr>
                        <m:ctrlPr>
                          <w:rPr>
                            <w:rFonts w:ascii="Cambria Math" w:eastAsia="Cambria Math" w:hAnsi="Cambria Math" w:cs="Arial"/>
                            <w:b/>
                            <w:i/>
                          </w:rPr>
                        </m:ctrlPr>
                      </m:sSubPr>
                      <m:e>
                        <m:r>
                          <m:rPr>
                            <m:sty m:val="bi"/>
                          </m:rPr>
                          <w:rPr>
                            <w:rFonts w:ascii="Cambria Math" w:eastAsia="Cambria Math" w:hAnsi="Cambria Math" w:cs="Arial"/>
                          </w:rPr>
                          <m:t>s</m:t>
                        </m:r>
                      </m:e>
                      <m:sub>
                        <m:r>
                          <m:rPr>
                            <m:sty m:val="bi"/>
                          </m:rPr>
                          <w:rPr>
                            <w:rFonts w:ascii="Cambria Math" w:eastAsia="Cambria Math" w:hAnsi="Cambria Math" w:cs="Arial"/>
                          </w:rPr>
                          <m:t>45</m:t>
                        </m:r>
                        <m:r>
                          <m:rPr>
                            <m:sty m:val="bi"/>
                          </m:rPr>
                          <w:rPr>
                            <w:rFonts w:ascii="Cambria Math" w:eastAsia="Cambria Math" w:hAnsi="Cambria Math" w:cs="Arial"/>
                          </w:rPr>
                          <m:t>V</m:t>
                        </m:r>
                      </m:sub>
                    </m:sSub>
                  </m:e>
                  <m:sub>
                    <m:r>
                      <m:rPr>
                        <m:sty m:val="bi"/>
                      </m:rPr>
                      <w:rPr>
                        <w:rFonts w:ascii="Cambria Math" w:eastAsia="Cambria Math" w:hAnsi="Cambria Math" w:cs="Arial"/>
                      </w:rPr>
                      <m:t>j</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m:t>
                </m:r>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H</m:t>
                    </m:r>
                    <m:r>
                      <m:rPr>
                        <m:sty m:val="bi"/>
                      </m:rPr>
                      <w:rPr>
                        <w:rFonts w:ascii="Cambria Math" w:eastAsia="Cambria Math" w:hAnsi="Cambria Math" w:cs="Arial"/>
                      </w:rPr>
                      <m:t>2</m:t>
                    </m:r>
                  </m:sub>
                </m:sSub>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V</m:t>
                    </m:r>
                  </m:sub>
                </m:sSub>
                <m:d>
                  <m:dPr>
                    <m:ctrlPr>
                      <w:rPr>
                        <w:rFonts w:ascii="Cambria Math" w:eastAsia="Cambria Math" w:hAnsi="Cambria Math" w:cs="Arial"/>
                        <w:b/>
                        <w:bCs/>
                      </w:rPr>
                    </m:ctrlPr>
                  </m:dPr>
                  <m:e>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e>
                </m:d>
              </m:oMath>
            </m:oMathPara>
          </w:p>
        </w:tc>
        <w:tc>
          <w:tcPr>
            <w:tcW w:w="855" w:type="dxa"/>
            <w:shd w:val="clear" w:color="auto" w:fill="auto"/>
            <w:tcMar>
              <w:top w:w="100" w:type="dxa"/>
              <w:left w:w="100" w:type="dxa"/>
              <w:bottom w:w="100" w:type="dxa"/>
              <w:right w:w="100" w:type="dxa"/>
            </w:tcMar>
          </w:tcPr>
          <w:p w14:paraId="4C34195C" w14:textId="77777777" w:rsidR="00DA7E40" w:rsidRPr="00D800F0" w:rsidRDefault="00DA7E40" w:rsidP="0000614D">
            <w:pPr>
              <w:widowControl w:val="0"/>
              <w:rPr>
                <w:rFonts w:ascii="Arial"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24</w:t>
            </w:r>
            <w:r w:rsidRPr="00D800F0">
              <w:rPr>
                <w:rFonts w:ascii="Arial" w:eastAsia="Cambria Math" w:hAnsi="Arial" w:cs="Arial"/>
              </w:rPr>
              <w:fldChar w:fldCharType="end"/>
            </w:r>
            <w:r w:rsidRPr="00D800F0">
              <w:rPr>
                <w:rFonts w:ascii="Arial" w:eastAsia="Cambria Math" w:hAnsi="Arial" w:cs="Arial"/>
              </w:rPr>
              <w:t>)</w:t>
            </w:r>
          </w:p>
        </w:tc>
      </w:tr>
      <w:tr w:rsidR="00DA7E40" w:rsidRPr="00D800F0" w14:paraId="012339E4" w14:textId="77777777" w:rsidTr="0000614D">
        <w:trPr>
          <w:cantSplit/>
          <w:trHeight w:val="839"/>
        </w:trPr>
        <w:tc>
          <w:tcPr>
            <w:tcW w:w="8505" w:type="dxa"/>
            <w:shd w:val="clear" w:color="auto" w:fill="auto"/>
            <w:tcMar>
              <w:top w:w="100" w:type="dxa"/>
              <w:left w:w="100" w:type="dxa"/>
              <w:bottom w:w="100" w:type="dxa"/>
              <w:right w:w="100" w:type="dxa"/>
            </w:tcMar>
          </w:tcPr>
          <w:p w14:paraId="5B0AABBC" w14:textId="77777777" w:rsidR="00DA7E40" w:rsidRPr="00D800F0" w:rsidRDefault="00DA7E40" w:rsidP="0000614D">
            <w:pPr>
              <w:jc w:val="center"/>
              <w:rPr>
                <w:rFonts w:ascii="Arial" w:hAnsi="Arial" w:cs="Arial"/>
                <w:b/>
              </w:rPr>
            </w:pPr>
            <m:oMathPara>
              <m:oMath>
                <m:r>
                  <m:rPr>
                    <m:sty m:val="bi"/>
                  </m:rPr>
                  <w:rPr>
                    <w:rFonts w:ascii="Cambria Math" w:eastAsia="Cambria Math" w:hAnsi="Cambria Math" w:cs="Arial"/>
                  </w:rPr>
                  <m:t>Credit</m:t>
                </m:r>
                <m:sSub>
                  <m:sSubPr>
                    <m:ctrlPr>
                      <w:rPr>
                        <w:rFonts w:ascii="Cambria Math" w:eastAsia="Cambria Math" w:hAnsi="Cambria Math" w:cs="Arial"/>
                        <w:b/>
                        <w:bCs/>
                      </w:rPr>
                    </m:ctrlPr>
                  </m:sSubPr>
                  <m:e>
                    <m:sSub>
                      <m:sSubPr>
                        <m:ctrlPr>
                          <w:rPr>
                            <w:rFonts w:ascii="Cambria Math" w:eastAsia="Cambria Math" w:hAnsi="Cambria Math" w:cs="Arial"/>
                            <w:b/>
                            <w:i/>
                          </w:rPr>
                        </m:ctrlPr>
                      </m:sSubPr>
                      <m:e>
                        <m:r>
                          <m:rPr>
                            <m:sty m:val="bi"/>
                          </m:rPr>
                          <w:rPr>
                            <w:rFonts w:ascii="Cambria Math" w:eastAsia="Cambria Math" w:hAnsi="Cambria Math" w:cs="Arial"/>
                          </w:rPr>
                          <m:t>s</m:t>
                        </m:r>
                      </m:e>
                      <m:sub>
                        <m:r>
                          <m:rPr>
                            <m:sty m:val="bi"/>
                          </m:rPr>
                          <w:rPr>
                            <w:rFonts w:ascii="Cambria Math" w:eastAsia="Cambria Math" w:hAnsi="Cambria Math" w:cs="Arial"/>
                          </w:rPr>
                          <m:t>45</m:t>
                        </m:r>
                        <m:r>
                          <m:rPr>
                            <m:sty m:val="bi"/>
                          </m:rPr>
                          <w:rPr>
                            <w:rFonts w:ascii="Cambria Math" w:eastAsia="Cambria Math" w:hAnsi="Cambria Math" w:cs="Arial"/>
                          </w:rPr>
                          <m:t>Q</m:t>
                        </m:r>
                      </m:sub>
                    </m:sSub>
                  </m:e>
                  <m:sub>
                    <m:r>
                      <m:rPr>
                        <m:sty m:val="bi"/>
                      </m:rPr>
                      <w:rPr>
                        <w:rFonts w:ascii="Cambria Math" w:eastAsia="Cambria Math" w:hAnsi="Cambria Math" w:cs="Arial"/>
                      </w:rPr>
                      <m:t>j</m:t>
                    </m:r>
                  </m:sub>
                </m:sSub>
                <m:d>
                  <m:dPr>
                    <m:ctrlPr>
                      <w:rPr>
                        <w:rFonts w:ascii="Cambria Math" w:eastAsia="Cambria Math" w:hAnsi="Cambria Math" w:cs="Arial"/>
                        <w:b/>
                        <w:bCs/>
                      </w:rPr>
                    </m:ctrlPr>
                  </m:dPr>
                  <m:e>
                    <m:r>
                      <m:rPr>
                        <m:sty m:val="bi"/>
                      </m:rPr>
                      <w:rPr>
                        <w:rFonts w:ascii="Cambria Math" w:eastAsia="Cambria Math" w:hAnsi="Cambria Math" w:cs="Arial"/>
                      </w:rPr>
                      <m:t>T</m:t>
                    </m:r>
                  </m:e>
                </m:d>
                <m:r>
                  <m:rPr>
                    <m:sty m:val="bi"/>
                  </m:rPr>
                  <w:rPr>
                    <w:rFonts w:ascii="Cambria Math" w:eastAsia="Cambria Math" w:hAnsi="Cambria Math" w:cs="Arial"/>
                  </w:rPr>
                  <m:t>=</m:t>
                </m:r>
                <m:sSub>
                  <m:sSubPr>
                    <m:ctrlPr>
                      <w:rPr>
                        <w:rFonts w:ascii="Cambria Math" w:eastAsia="Cambria Math" w:hAnsi="Cambria Math" w:cs="Arial"/>
                        <w:b/>
                        <w:bCs/>
                      </w:rPr>
                    </m:ctrlPr>
                  </m:sSubPr>
                  <m:e>
                    <m:r>
                      <m:rPr>
                        <m:sty m:val="b"/>
                      </m:rPr>
                      <w:rPr>
                        <w:rFonts w:ascii="Cambria Math" w:eastAsia="Cambria Math" w:hAnsi="Cambria Math" w:cs="Arial"/>
                      </w:rPr>
                      <m:t>F</m:t>
                    </m:r>
                    <m:ctrlPr>
                      <w:rPr>
                        <w:rFonts w:ascii="Cambria Math" w:eastAsia="Cambria Math" w:hAnsi="Cambria Math" w:cs="Arial"/>
                        <w:b/>
                        <w:i/>
                      </w:rPr>
                    </m:ctrlPr>
                  </m:e>
                  <m:sub>
                    <m:r>
                      <m:rPr>
                        <m:sty m:val="b"/>
                      </m:rPr>
                      <w:rPr>
                        <w:rFonts w:ascii="Cambria Math" w:eastAsia="Cambria Math" w:hAnsi="Cambria Math" w:cs="Arial"/>
                      </w:rPr>
                      <m:t>45Q</m:t>
                    </m:r>
                  </m:sub>
                </m:sSub>
                <m:r>
                  <m:rPr>
                    <m:sty m:val="bi"/>
                  </m:rPr>
                  <w:rPr>
                    <w:rFonts w:ascii="Cambria Math" w:eastAsia="Cambria Math" w:hAnsi="Cambria Math" w:cs="Arial"/>
                  </w:rPr>
                  <m:t>*</m:t>
                </m:r>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H</m:t>
                    </m:r>
                    <m:r>
                      <m:rPr>
                        <m:sty m:val="bi"/>
                      </m:rPr>
                      <w:rPr>
                        <w:rFonts w:ascii="Cambria Math" w:eastAsia="Cambria Math" w:hAnsi="Cambria Math" w:cs="Arial"/>
                      </w:rPr>
                      <m:t>2</m:t>
                    </m:r>
                  </m:sub>
                </m:sSub>
                <m:d>
                  <m:dPr>
                    <m:ctrlPr>
                      <w:rPr>
                        <w:rFonts w:ascii="Cambria Math" w:eastAsia="Cambria Math" w:hAnsi="Cambria Math" w:cs="Arial"/>
                        <w:b/>
                        <w:bCs/>
                      </w:rPr>
                    </m:ctrlPr>
                  </m:dPr>
                  <m:e>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SM</m:t>
                        </m:r>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direct</m:t>
                            </m:r>
                          </m:sub>
                        </m:sSub>
                      </m:sub>
                    </m:sSub>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 xml:space="preserve"> </m:t>
                        </m:r>
                        <m:sSub>
                          <m:sSubPr>
                            <m:ctrlPr>
                              <w:rPr>
                                <w:rFonts w:ascii="Cambria Math" w:eastAsia="Cambria Math" w:hAnsi="Cambria Math" w:cs="Arial"/>
                                <w:b/>
                                <w:i/>
                              </w:rPr>
                            </m:ctrlPr>
                          </m:sSubPr>
                          <m:e>
                            <m:r>
                              <m:rPr>
                                <m:sty m:val="bi"/>
                              </m:rPr>
                              <w:rPr>
                                <w:rFonts w:ascii="Cambria Math" w:eastAsia="Cambria Math" w:hAnsi="Cambria Math" w:cs="Arial"/>
                              </w:rPr>
                              <m:t>j</m:t>
                            </m:r>
                          </m:e>
                          <m:sub>
                            <m:r>
                              <m:rPr>
                                <m:sty m:val="bi"/>
                              </m:rPr>
                              <w:rPr>
                                <w:rFonts w:ascii="Cambria Math" w:eastAsia="Cambria Math" w:hAnsi="Cambria Math" w:cs="Arial"/>
                              </w:rPr>
                              <m:t>direct</m:t>
                            </m:r>
                          </m:sub>
                        </m:sSub>
                      </m:sub>
                    </m:sSub>
                  </m:e>
                </m:d>
              </m:oMath>
            </m:oMathPara>
          </w:p>
        </w:tc>
        <w:tc>
          <w:tcPr>
            <w:tcW w:w="855" w:type="dxa"/>
            <w:shd w:val="clear" w:color="auto" w:fill="auto"/>
            <w:tcMar>
              <w:top w:w="100" w:type="dxa"/>
              <w:left w:w="100" w:type="dxa"/>
              <w:bottom w:w="100" w:type="dxa"/>
              <w:right w:w="100" w:type="dxa"/>
            </w:tcMar>
          </w:tcPr>
          <w:p w14:paraId="436B297B" w14:textId="77777777" w:rsidR="00DA7E40" w:rsidRPr="00D800F0" w:rsidRDefault="00DA7E40" w:rsidP="0000614D">
            <w:pPr>
              <w:widowControl w:val="0"/>
              <w:rPr>
                <w:rFonts w:ascii="Arial" w:eastAsia="Cambria Math" w:hAnsi="Arial" w:cs="Arial"/>
              </w:rPr>
            </w:pP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25</w:t>
            </w:r>
            <w:r w:rsidRPr="00D800F0">
              <w:rPr>
                <w:rFonts w:ascii="Arial" w:eastAsia="Cambria Math" w:hAnsi="Arial" w:cs="Arial"/>
              </w:rPr>
              <w:fldChar w:fldCharType="end"/>
            </w:r>
            <w:r w:rsidRPr="00D800F0">
              <w:rPr>
                <w:rFonts w:ascii="Arial" w:eastAsia="Cambria Math" w:hAnsi="Arial" w:cs="Arial"/>
              </w:rPr>
              <w:t>)</w:t>
            </w:r>
          </w:p>
        </w:tc>
      </w:tr>
      <w:tr w:rsidR="00DA7E40" w:rsidRPr="00D800F0" w14:paraId="450F8C23" w14:textId="77777777" w:rsidTr="0000614D">
        <w:trPr>
          <w:cantSplit/>
          <w:trHeight w:val="839"/>
        </w:trPr>
        <w:tc>
          <w:tcPr>
            <w:tcW w:w="8505" w:type="dxa"/>
            <w:shd w:val="clear" w:color="auto" w:fill="auto"/>
            <w:tcMar>
              <w:top w:w="100" w:type="dxa"/>
              <w:left w:w="100" w:type="dxa"/>
              <w:bottom w:w="100" w:type="dxa"/>
              <w:right w:w="100" w:type="dxa"/>
            </w:tcMar>
          </w:tcPr>
          <w:p w14:paraId="3F708A03"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Credit</m:t>
                </m:r>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CE</m:t>
                    </m:r>
                  </m:sub>
                </m:sSub>
                <m:r>
                  <m:rPr>
                    <m:sty m:val="bi"/>
                  </m:rPr>
                  <w:rPr>
                    <w:rFonts w:ascii="Cambria Math" w:eastAsia="Cambria Math" w:hAnsi="Cambria Math" w:cs="Arial"/>
                  </w:rPr>
                  <m:t xml:space="preserve"> (T| |Tax(T)|&gt;Credits(T) )=Credit</m:t>
                </m:r>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j</m:t>
                    </m:r>
                  </m:sub>
                </m:sSub>
                <m:r>
                  <m:rPr>
                    <m:sty m:val="bi"/>
                  </m:rPr>
                  <w:rPr>
                    <w:rFonts w:ascii="Cambria Math" w:eastAsia="Cambria Math" w:hAnsi="Cambria Math" w:cs="Arial"/>
                  </w:rPr>
                  <m:t xml:space="preserve">(T) </m:t>
                </m:r>
              </m:oMath>
            </m:oMathPara>
          </w:p>
        </w:tc>
        <w:tc>
          <w:tcPr>
            <w:tcW w:w="855" w:type="dxa"/>
            <w:shd w:val="clear" w:color="auto" w:fill="auto"/>
            <w:tcMar>
              <w:top w:w="100" w:type="dxa"/>
              <w:left w:w="100" w:type="dxa"/>
              <w:bottom w:w="100" w:type="dxa"/>
              <w:right w:w="100" w:type="dxa"/>
            </w:tcMar>
          </w:tcPr>
          <w:p w14:paraId="5B6B790B" w14:textId="77777777" w:rsidR="00DA7E40" w:rsidRPr="00D800F0" w:rsidRDefault="00DA7E40" w:rsidP="0000614D">
            <w:pPr>
              <w:widowControl w:val="0"/>
              <w:rPr>
                <w:rFonts w:ascii="Arial" w:hAnsi="Arial" w:cs="Arial"/>
              </w:rPr>
            </w:pPr>
            <w:bookmarkStart w:id="43" w:name="_Ref146932616"/>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26</w:t>
            </w:r>
            <w:r w:rsidRPr="00D800F0">
              <w:rPr>
                <w:rFonts w:ascii="Arial" w:eastAsia="Cambria Math" w:hAnsi="Arial" w:cs="Arial"/>
              </w:rPr>
              <w:fldChar w:fldCharType="end"/>
            </w:r>
            <w:r w:rsidRPr="00D800F0">
              <w:rPr>
                <w:rFonts w:ascii="Arial" w:eastAsia="Cambria Math" w:hAnsi="Arial" w:cs="Arial"/>
              </w:rPr>
              <w:t>)</w:t>
            </w:r>
            <w:bookmarkEnd w:id="43"/>
          </w:p>
        </w:tc>
      </w:tr>
      <w:tr w:rsidR="00DA7E40" w:rsidRPr="00D800F0" w14:paraId="5D1A7AA1" w14:textId="77777777" w:rsidTr="0000614D">
        <w:trPr>
          <w:cantSplit/>
          <w:trHeight w:val="839"/>
        </w:trPr>
        <w:tc>
          <w:tcPr>
            <w:tcW w:w="8505" w:type="dxa"/>
            <w:shd w:val="clear" w:color="auto" w:fill="auto"/>
            <w:tcMar>
              <w:top w:w="100" w:type="dxa"/>
              <w:left w:w="100" w:type="dxa"/>
              <w:bottom w:w="100" w:type="dxa"/>
              <w:right w:w="100" w:type="dxa"/>
            </w:tcMar>
          </w:tcPr>
          <w:p w14:paraId="007FFF33"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Credit</m:t>
                </m:r>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CE</m:t>
                    </m:r>
                  </m:sub>
                </m:sSub>
                <m:r>
                  <m:rPr>
                    <m:sty m:val="bi"/>
                  </m:rPr>
                  <w:rPr>
                    <w:rFonts w:ascii="Cambria Math" w:eastAsia="Cambria Math" w:hAnsi="Cambria Math" w:cs="Arial"/>
                  </w:rPr>
                  <m:t xml:space="preserve"> (T| |Tax(T)|&lt;Credits(T) ) =-Tax(T)</m:t>
                </m:r>
              </m:oMath>
            </m:oMathPara>
          </w:p>
          <w:p w14:paraId="496DEAE5"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m:t>
                </m:r>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t</m:t>
                    </m:r>
                  </m:sub>
                </m:sSub>
                <m:r>
                  <m:rPr>
                    <m:sty m:val="bi"/>
                  </m:rPr>
                  <w:rPr>
                    <w:rFonts w:ascii="Cambria Math" w:eastAsia="Cambria Math" w:hAnsi="Cambria Math" w:cs="Arial"/>
                  </w:rPr>
                  <m:t>(T)*(Credit</m:t>
                </m:r>
                <m:sSub>
                  <m:sSubPr>
                    <m:ctrlPr>
                      <w:rPr>
                        <w:rFonts w:ascii="Cambria Math" w:eastAsia="Cambria Math" w:hAnsi="Cambria Math" w:cs="Arial"/>
                        <w:b/>
                        <w:bCs/>
                      </w:rPr>
                    </m:ctrlPr>
                  </m:sSubPr>
                  <m:e>
                    <m:r>
                      <m:rPr>
                        <m:sty m:val="bi"/>
                      </m:rPr>
                      <w:rPr>
                        <w:rFonts w:ascii="Cambria Math" w:eastAsia="Cambria Math" w:hAnsi="Cambria Math" w:cs="Arial"/>
                      </w:rPr>
                      <m:t>s</m:t>
                    </m:r>
                  </m:e>
                  <m:sub>
                    <m:r>
                      <m:rPr>
                        <m:sty m:val="bi"/>
                      </m:rPr>
                      <w:rPr>
                        <w:rFonts w:ascii="Cambria Math" w:eastAsia="Cambria Math" w:hAnsi="Cambria Math" w:cs="Arial"/>
                      </w:rPr>
                      <m:t>j</m:t>
                    </m:r>
                  </m:sub>
                </m:sSub>
                <m:r>
                  <m:rPr>
                    <m:sty m:val="bi"/>
                  </m:rPr>
                  <w:rPr>
                    <w:rFonts w:ascii="Cambria Math" w:eastAsia="Cambria Math" w:hAnsi="Cambria Math" w:cs="Arial"/>
                  </w:rPr>
                  <m:t>(T)+Tax(T))</m:t>
                </m:r>
              </m:oMath>
            </m:oMathPara>
          </w:p>
        </w:tc>
        <w:tc>
          <w:tcPr>
            <w:tcW w:w="855" w:type="dxa"/>
            <w:shd w:val="clear" w:color="auto" w:fill="auto"/>
            <w:tcMar>
              <w:top w:w="100" w:type="dxa"/>
              <w:left w:w="100" w:type="dxa"/>
              <w:bottom w:w="100" w:type="dxa"/>
              <w:right w:w="100" w:type="dxa"/>
            </w:tcMar>
          </w:tcPr>
          <w:p w14:paraId="18D922D8" w14:textId="77777777" w:rsidR="00DA7E40" w:rsidRPr="00D800F0" w:rsidRDefault="00DA7E40" w:rsidP="0000614D">
            <w:pPr>
              <w:widowControl w:val="0"/>
              <w:rPr>
                <w:rFonts w:ascii="Arial" w:hAnsi="Arial" w:cs="Arial"/>
              </w:rPr>
            </w:pPr>
            <w:bookmarkStart w:id="44" w:name="_Ref146932621"/>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STYLEREF 2 \s </w:instrText>
            </w:r>
            <w:r w:rsidRPr="00D800F0">
              <w:rPr>
                <w:rFonts w:ascii="Arial" w:eastAsia="Cambria Math" w:hAnsi="Arial" w:cs="Arial"/>
              </w:rPr>
              <w:fldChar w:fldCharType="separate"/>
            </w:r>
            <w:r w:rsidRPr="00D800F0">
              <w:rPr>
                <w:rFonts w:ascii="Arial" w:eastAsia="Cambria Math" w:hAnsi="Arial" w:cs="Arial"/>
                <w:noProof/>
              </w:rPr>
              <w:t>C</w:t>
            </w:r>
            <w:r w:rsidRPr="00D800F0">
              <w:rPr>
                <w:rFonts w:ascii="Arial" w:eastAsia="Cambria Math" w:hAnsi="Arial" w:cs="Arial"/>
              </w:rPr>
              <w:fldChar w:fldCharType="end"/>
            </w:r>
            <w:r w:rsidRPr="00D800F0">
              <w:rPr>
                <w:rFonts w:ascii="Arial" w:eastAsia="Cambria Math" w:hAnsi="Arial" w:cs="Arial"/>
              </w:rPr>
              <w:t>.</w:t>
            </w:r>
            <w:r w:rsidRPr="00D800F0">
              <w:rPr>
                <w:rFonts w:ascii="Arial" w:eastAsia="Cambria Math" w:hAnsi="Arial" w:cs="Arial"/>
              </w:rPr>
              <w:fldChar w:fldCharType="begin"/>
            </w:r>
            <w:r w:rsidRPr="00D800F0">
              <w:rPr>
                <w:rFonts w:ascii="Arial" w:eastAsia="Cambria Math" w:hAnsi="Arial" w:cs="Arial"/>
              </w:rPr>
              <w:instrText xml:space="preserve"> SEQ Eq \* ARABIC \s 2 </w:instrText>
            </w:r>
            <w:r w:rsidRPr="00D800F0">
              <w:rPr>
                <w:rFonts w:ascii="Arial" w:eastAsia="Cambria Math" w:hAnsi="Arial" w:cs="Arial"/>
              </w:rPr>
              <w:fldChar w:fldCharType="separate"/>
            </w:r>
            <w:r w:rsidRPr="00D800F0">
              <w:rPr>
                <w:rFonts w:ascii="Arial" w:eastAsia="Cambria Math" w:hAnsi="Arial" w:cs="Arial"/>
                <w:noProof/>
              </w:rPr>
              <w:t>27</w:t>
            </w:r>
            <w:r w:rsidRPr="00D800F0">
              <w:rPr>
                <w:rFonts w:ascii="Arial" w:eastAsia="Cambria Math" w:hAnsi="Arial" w:cs="Arial"/>
              </w:rPr>
              <w:fldChar w:fldCharType="end"/>
            </w:r>
            <w:r w:rsidRPr="00D800F0">
              <w:rPr>
                <w:rFonts w:ascii="Arial" w:eastAsia="Cambria Math" w:hAnsi="Arial" w:cs="Arial"/>
              </w:rPr>
              <w:t>)</w:t>
            </w:r>
            <w:bookmarkEnd w:id="44"/>
          </w:p>
        </w:tc>
      </w:tr>
    </w:tbl>
    <w:p w14:paraId="5BDF5B3D" w14:textId="77777777" w:rsidR="00DA7E40" w:rsidRPr="00D800F0" w:rsidRDefault="00DA7E40" w:rsidP="00DA7E40">
      <w:pPr>
        <w:rPr>
          <w:rFonts w:ascii="Arial" w:hAnsi="Arial" w:cs="Arial"/>
        </w:rPr>
      </w:pPr>
      <w:r w:rsidRPr="00D800F0">
        <w:rPr>
          <w:rFonts w:ascii="Arial" w:hAnsi="Arial" w:cs="Arial"/>
        </w:rPr>
        <w:t xml:space="preserve">where </w:t>
      </w:r>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V</m:t>
            </m:r>
          </m:sub>
        </m:sSub>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m:t>
        </m:r>
      </m:oMath>
      <w:r w:rsidRPr="00D800F0">
        <w:rPr>
          <w:rFonts w:ascii="Arial" w:hAnsi="Arial" w:cs="Arial"/>
        </w:rPr>
        <w:t xml:space="preserve"> and  </w:t>
      </w:r>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Q</m:t>
            </m:r>
          </m:sub>
        </m:sSub>
      </m:oMath>
      <w:r w:rsidRPr="00D800F0">
        <w:rPr>
          <w:rFonts w:ascii="Arial" w:hAnsi="Arial" w:cs="Arial"/>
        </w:rPr>
        <w:t xml:space="preserve"> is the intensive tax credits per unit of H</w:t>
      </w:r>
      <w:r w:rsidRPr="00D800F0">
        <w:rPr>
          <w:rFonts w:ascii="Arial" w:hAnsi="Arial" w:cs="Arial"/>
          <w:vertAlign w:val="subscript"/>
        </w:rPr>
        <w:t>2</w:t>
      </w:r>
      <w:r w:rsidRPr="00D800F0">
        <w:rPr>
          <w:rFonts w:ascii="Arial" w:hAnsi="Arial" w:cs="Arial"/>
        </w:rPr>
        <w:t xml:space="preserve"> produced and CO</w:t>
      </w:r>
      <w:r w:rsidRPr="00D800F0">
        <w:rPr>
          <w:rFonts w:ascii="Arial" w:hAnsi="Arial" w:cs="Arial"/>
          <w:vertAlign w:val="subscript"/>
        </w:rPr>
        <w:t>2</w:t>
      </w:r>
      <w:r w:rsidRPr="00D800F0">
        <w:rPr>
          <w:rFonts w:ascii="Arial" w:hAnsi="Arial" w:cs="Arial"/>
        </w:rPr>
        <w:t xml:space="preserve"> captured, respectively. 45V is a piecewise function of CI. 45V and 45Q are mutually exclusive, so the highest tax credit is preferred for technology option </w:t>
      </w:r>
      <m:oMath>
        <m:r>
          <m:rPr>
            <m:sty m:val="bi"/>
          </m:rPr>
          <w:rPr>
            <w:rFonts w:ascii="Cambria Math" w:eastAsia="Cambria Math" w:hAnsi="Cambria Math" w:cs="Arial"/>
          </w:rPr>
          <m:t>j</m:t>
        </m:r>
      </m:oMath>
      <w:r w:rsidRPr="00D800F0">
        <w:rPr>
          <w:rFonts w:ascii="Arial" w:hAnsi="Arial" w:cs="Arial"/>
        </w:rPr>
        <w:t xml:space="preserve">. </w:t>
      </w:r>
      <m:oMath>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H</m:t>
            </m:r>
            <m:r>
              <m:rPr>
                <m:sty m:val="bi"/>
              </m:rPr>
              <w:rPr>
                <w:rFonts w:ascii="Cambria Math" w:eastAsia="Cambria Math" w:hAnsi="Cambria Math" w:cs="Arial"/>
              </w:rPr>
              <m:t>2</m:t>
            </m:r>
          </m:sub>
        </m:sSub>
      </m:oMath>
      <w:r w:rsidRPr="00D800F0">
        <w:rPr>
          <w:rFonts w:ascii="Arial" w:hAnsi="Arial" w:cs="Arial"/>
        </w:rPr>
        <w:t xml:space="preserve"> is the monthly flowrates of H</w:t>
      </w:r>
      <w:r w:rsidRPr="00D800F0">
        <w:rPr>
          <w:rFonts w:ascii="Arial" w:hAnsi="Arial" w:cs="Arial"/>
          <w:vertAlign w:val="subscript"/>
        </w:rPr>
        <w:t>2</w:t>
      </w:r>
      <w:r w:rsidRPr="00D800F0">
        <w:rPr>
          <w:rFonts w:ascii="Arial" w:hAnsi="Arial" w:cs="Arial"/>
        </w:rPr>
        <w:t xml:space="preserve"> and CO</w:t>
      </w:r>
      <w:r w:rsidRPr="00D800F0">
        <w:rPr>
          <w:rFonts w:ascii="Arial" w:hAnsi="Arial" w:cs="Arial"/>
          <w:vertAlign w:val="subscript"/>
        </w:rPr>
        <w:t>2</w:t>
      </w:r>
      <w:r w:rsidRPr="00D800F0">
        <w:rPr>
          <w:rFonts w:ascii="Arial" w:hAnsi="Arial" w:cs="Arial"/>
        </w:rPr>
        <w:t xml:space="preserve">. </w:t>
      </w:r>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t</m:t>
            </m:r>
          </m:sub>
        </m:sSub>
        <m:r>
          <m:rPr>
            <m:sty m:val="bi"/>
          </m:rPr>
          <w:rPr>
            <w:rFonts w:ascii="Cambria Math" w:eastAsia="Cambria Math" w:hAnsi="Cambria Math" w:cs="Arial"/>
          </w:rPr>
          <m:t>(T)</m:t>
        </m:r>
      </m:oMath>
      <w:r w:rsidRPr="00D800F0">
        <w:rPr>
          <w:rFonts w:ascii="Arial" w:hAnsi="Arial" w:cs="Arial"/>
        </w:rPr>
        <w:t xml:space="preserve"> is an exchange rate of USD per tax credit. It is equal to 1 in the first five years of operation (due to direct pay) and then attains a market values of less than one after five years. </w:t>
      </w:r>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V</m:t>
            </m:r>
          </m:sub>
        </m:sSub>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j</m:t>
            </m:r>
          </m:sub>
        </m:sSub>
        <m:r>
          <m:rPr>
            <m:sty m:val="bi"/>
          </m:rPr>
          <w:rPr>
            <w:rFonts w:ascii="Cambria Math" w:eastAsia="Cambria Math" w:hAnsi="Cambria Math" w:cs="Arial"/>
          </w:rPr>
          <m:t>)</m:t>
        </m:r>
      </m:oMath>
      <w:r w:rsidRPr="00D800F0">
        <w:rPr>
          <w:rFonts w:ascii="Arial" w:hAnsi="Arial" w:cs="Arial"/>
          <w:b/>
        </w:rPr>
        <w:t xml:space="preserve"> </w:t>
      </w:r>
      <w:r w:rsidRPr="00D800F0">
        <w:rPr>
          <w:rFonts w:ascii="Arial" w:hAnsi="Arial" w:cs="Arial"/>
          <w:bCs/>
        </w:rPr>
        <w:t xml:space="preserve">and </w:t>
      </w:r>
      <m:oMath>
        <m:sSub>
          <m:sSubPr>
            <m:ctrlPr>
              <w:rPr>
                <w:rFonts w:ascii="Cambria Math" w:eastAsia="Cambria Math" w:hAnsi="Cambria Math" w:cs="Arial"/>
                <w:b/>
                <w:bCs/>
              </w:rPr>
            </m:ctrlPr>
          </m:sSubPr>
          <m:e>
            <m:r>
              <m:rPr>
                <m:sty m:val="b"/>
              </m:rPr>
              <w:rPr>
                <w:rFonts w:ascii="Cambria Math" w:eastAsia="Cambria Math" w:hAnsi="Cambria Math" w:cs="Arial"/>
              </w:rPr>
              <m:t>F</m:t>
            </m:r>
            <m:ctrlPr>
              <w:rPr>
                <w:rFonts w:ascii="Cambria Math" w:eastAsia="Cambria Math" w:hAnsi="Cambria Math" w:cs="Arial"/>
                <w:b/>
                <w:i/>
              </w:rPr>
            </m:ctrlPr>
          </m:e>
          <m:sub>
            <m:r>
              <m:rPr>
                <m:sty m:val="b"/>
              </m:rPr>
              <w:rPr>
                <w:rFonts w:ascii="Cambria Math" w:eastAsia="Cambria Math" w:hAnsi="Cambria Math" w:cs="Arial"/>
              </w:rPr>
              <m:t>45Q</m:t>
            </m:r>
          </m:sub>
        </m:sSub>
      </m:oMath>
      <w:r w:rsidRPr="00D800F0">
        <w:rPr>
          <w:rFonts w:ascii="Arial" w:hAnsi="Arial" w:cs="Arial"/>
          <w:b/>
          <w:bCs/>
        </w:rPr>
        <w:t xml:space="preserve"> </w:t>
      </w:r>
      <w:r w:rsidRPr="00D800F0">
        <w:rPr>
          <w:rFonts w:ascii="Arial" w:hAnsi="Arial" w:cs="Arial"/>
        </w:rPr>
        <w:t>become zero after 10 and 12 years of operation, respectively.</w:t>
      </w:r>
    </w:p>
    <w:p w14:paraId="22BC0A74" w14:textId="77777777" w:rsidR="00DA7E40" w:rsidRPr="00D800F0" w:rsidRDefault="00DA7E40" w:rsidP="006864F3">
      <w:pPr>
        <w:pStyle w:val="Heading3"/>
        <w:rPr>
          <w:rFonts w:ascii="Arial" w:hAnsi="Arial" w:cs="Arial"/>
        </w:rPr>
      </w:pPr>
      <w:bookmarkStart w:id="45" w:name="_Toc148296626"/>
      <w:r w:rsidRPr="00D800F0">
        <w:rPr>
          <w:rFonts w:ascii="Arial" w:hAnsi="Arial" w:cs="Arial"/>
        </w:rPr>
        <w:t>Measurement Metric Formulations</w:t>
      </w:r>
      <w:bookmarkEnd w:id="45"/>
    </w:p>
    <w:p w14:paraId="22E9CF12" w14:textId="77777777" w:rsidR="00DA7E40" w:rsidRPr="00D800F0" w:rsidRDefault="00DA7E40" w:rsidP="00DA7E40">
      <w:pPr>
        <w:rPr>
          <w:rFonts w:ascii="Arial" w:hAnsi="Arial" w:cs="Arial"/>
          <w:lang w:eastAsia="en-GB"/>
        </w:rPr>
      </w:pPr>
    </w:p>
    <w:p w14:paraId="7EB9B196"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C</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2</w:t>
      </w:r>
      <w:r w:rsidRPr="00D800F0">
        <w:rPr>
          <w:rFonts w:ascii="Arial" w:hAnsi="Arial" w:cs="Arial"/>
          <w:noProof/>
        </w:rPr>
        <w:fldChar w:fldCharType="end"/>
      </w:r>
      <w:r w:rsidRPr="00D800F0">
        <w:rPr>
          <w:rFonts w:ascii="Arial" w:hAnsi="Arial" w:cs="Arial"/>
        </w:rPr>
        <w:t>:</w:t>
      </w:r>
      <w:r w:rsidRPr="00D800F0">
        <w:rPr>
          <w:rFonts w:ascii="Arial" w:hAnsi="Arial" w:cs="Arial"/>
          <w:noProof/>
        </w:rPr>
        <w:t xml:space="preserve"> Nomenclature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800"/>
        <w:gridCol w:w="2440"/>
      </w:tblGrid>
      <w:tr w:rsidR="00DA7E40" w:rsidRPr="00D800F0" w14:paraId="1F8B9BC7" w14:textId="77777777" w:rsidTr="0000614D">
        <w:trPr>
          <w:cantSplit/>
          <w:trHeight w:val="343"/>
        </w:trPr>
        <w:tc>
          <w:tcPr>
            <w:tcW w:w="3120" w:type="dxa"/>
            <w:tcBorders>
              <w:top w:val="single" w:sz="4" w:space="0" w:color="auto"/>
              <w:left w:val="nil"/>
              <w:bottom w:val="single" w:sz="4" w:space="0" w:color="auto"/>
              <w:right w:val="nil"/>
            </w:tcBorders>
          </w:tcPr>
          <w:p w14:paraId="34DED5B5" w14:textId="77777777" w:rsidR="00DA7E40" w:rsidRPr="00D800F0" w:rsidRDefault="00DA7E40" w:rsidP="0000614D">
            <w:pPr>
              <w:rPr>
                <w:rFonts w:ascii="Arial" w:hAnsi="Arial" w:cs="Arial"/>
                <w:b/>
                <w:bCs/>
                <w:iCs/>
              </w:rPr>
            </w:pPr>
            <w:r w:rsidRPr="00D800F0">
              <w:rPr>
                <w:rFonts w:ascii="Arial" w:hAnsi="Arial" w:cs="Arial"/>
                <w:b/>
                <w:bCs/>
                <w:iCs/>
              </w:rPr>
              <w:t>Parameters</w:t>
            </w:r>
          </w:p>
        </w:tc>
        <w:tc>
          <w:tcPr>
            <w:tcW w:w="3800" w:type="dxa"/>
            <w:tcBorders>
              <w:top w:val="single" w:sz="4" w:space="0" w:color="auto"/>
              <w:left w:val="nil"/>
              <w:bottom w:val="single" w:sz="4" w:space="0" w:color="auto"/>
              <w:right w:val="nil"/>
            </w:tcBorders>
          </w:tcPr>
          <w:p w14:paraId="63B9514D" w14:textId="77777777" w:rsidR="00DA7E40" w:rsidRPr="00D800F0" w:rsidRDefault="00DA7E40" w:rsidP="0000614D">
            <w:pPr>
              <w:rPr>
                <w:rFonts w:ascii="Arial" w:hAnsi="Arial" w:cs="Arial"/>
                <w:b/>
                <w:bCs/>
                <w:iCs/>
              </w:rPr>
            </w:pPr>
            <w:r w:rsidRPr="00D800F0">
              <w:rPr>
                <w:rFonts w:ascii="Arial" w:hAnsi="Arial" w:cs="Arial"/>
                <w:b/>
                <w:bCs/>
                <w:iCs/>
              </w:rPr>
              <w:t>Description</w:t>
            </w:r>
          </w:p>
        </w:tc>
        <w:tc>
          <w:tcPr>
            <w:tcW w:w="2440" w:type="dxa"/>
            <w:tcBorders>
              <w:top w:val="single" w:sz="4" w:space="0" w:color="auto"/>
              <w:left w:val="nil"/>
              <w:bottom w:val="single" w:sz="4" w:space="0" w:color="auto"/>
              <w:right w:val="nil"/>
            </w:tcBorders>
          </w:tcPr>
          <w:p w14:paraId="5770DAED" w14:textId="77777777" w:rsidR="00DA7E40" w:rsidRPr="00D800F0" w:rsidRDefault="00DA7E40" w:rsidP="0000614D">
            <w:pPr>
              <w:rPr>
                <w:rFonts w:ascii="Arial" w:hAnsi="Arial" w:cs="Arial"/>
                <w:b/>
                <w:bCs/>
                <w:iCs/>
              </w:rPr>
            </w:pPr>
            <w:r w:rsidRPr="00D800F0">
              <w:rPr>
                <w:rFonts w:ascii="Arial" w:hAnsi="Arial" w:cs="Arial"/>
                <w:b/>
                <w:bCs/>
                <w:iCs/>
              </w:rPr>
              <w:t>Units</w:t>
            </w:r>
          </w:p>
        </w:tc>
      </w:tr>
      <w:tr w:rsidR="00DA7E40" w:rsidRPr="00D800F0" w14:paraId="15734DF1" w14:textId="77777777" w:rsidTr="0000614D">
        <w:trPr>
          <w:cantSplit/>
        </w:trPr>
        <w:tc>
          <w:tcPr>
            <w:tcW w:w="3120" w:type="dxa"/>
            <w:tcBorders>
              <w:top w:val="single" w:sz="4" w:space="0" w:color="auto"/>
              <w:left w:val="nil"/>
              <w:bottom w:val="nil"/>
              <w:right w:val="nil"/>
            </w:tcBorders>
            <w:shd w:val="clear" w:color="auto" w:fill="auto"/>
            <w:tcMar>
              <w:top w:w="100" w:type="dxa"/>
              <w:left w:w="100" w:type="dxa"/>
              <w:bottom w:w="100" w:type="dxa"/>
              <w:right w:w="100" w:type="dxa"/>
            </w:tcMar>
          </w:tcPr>
          <w:p w14:paraId="49E3E76D"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CA</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m:oMathPara>
          </w:p>
        </w:tc>
        <w:tc>
          <w:tcPr>
            <w:tcW w:w="3800" w:type="dxa"/>
            <w:tcBorders>
              <w:top w:val="single" w:sz="4" w:space="0" w:color="auto"/>
              <w:left w:val="nil"/>
              <w:bottom w:val="nil"/>
              <w:right w:val="nil"/>
            </w:tcBorders>
            <w:shd w:val="clear" w:color="auto" w:fill="auto"/>
            <w:tcMar>
              <w:top w:w="100" w:type="dxa"/>
              <w:left w:w="100" w:type="dxa"/>
              <w:bottom w:w="100" w:type="dxa"/>
              <w:right w:w="100" w:type="dxa"/>
            </w:tcMar>
          </w:tcPr>
          <w:p w14:paraId="47321B09" w14:textId="77777777" w:rsidR="00DA7E40" w:rsidRPr="00D800F0" w:rsidRDefault="00DA7E40" w:rsidP="0000614D">
            <w:pPr>
              <w:rPr>
                <w:rFonts w:ascii="Arial" w:hAnsi="Arial" w:cs="Arial"/>
              </w:rPr>
            </w:pPr>
            <w:r w:rsidRPr="00D800F0">
              <w:rPr>
                <w:rFonts w:ascii="Arial" w:hAnsi="Arial" w:cs="Arial"/>
              </w:rPr>
              <w:t xml:space="preserve">Carbon abatement cost for technology </w:t>
            </w:r>
            <m:oMath>
              <m:r>
                <m:rPr>
                  <m:sty m:val="bi"/>
                </m:rPr>
                <w:rPr>
                  <w:rFonts w:ascii="Cambria Math" w:hAnsi="Cambria Math" w:cs="Arial"/>
                </w:rPr>
                <m:t>j</m:t>
              </m:r>
            </m:oMath>
          </w:p>
        </w:tc>
        <w:tc>
          <w:tcPr>
            <w:tcW w:w="2440" w:type="dxa"/>
            <w:tcBorders>
              <w:top w:val="single" w:sz="4" w:space="0" w:color="auto"/>
              <w:left w:val="nil"/>
              <w:bottom w:val="nil"/>
              <w:right w:val="nil"/>
            </w:tcBorders>
            <w:shd w:val="clear" w:color="auto" w:fill="auto"/>
            <w:tcMar>
              <w:top w:w="100" w:type="dxa"/>
              <w:left w:w="100" w:type="dxa"/>
              <w:bottom w:w="100" w:type="dxa"/>
              <w:right w:w="100" w:type="dxa"/>
            </w:tcMar>
          </w:tcPr>
          <w:p w14:paraId="68440B53" w14:textId="77777777" w:rsidR="00DA7E40" w:rsidRPr="00D800F0" w:rsidRDefault="00DA7E40" w:rsidP="0000614D">
            <w:pPr>
              <w:widowControl w:val="0"/>
              <w:rPr>
                <w:rFonts w:ascii="Arial" w:hAnsi="Arial" w:cs="Arial"/>
              </w:rPr>
            </w:pPr>
            <w:r w:rsidRPr="00D800F0">
              <w:rPr>
                <w:rFonts w:ascii="Arial" w:hAnsi="Arial" w:cs="Arial"/>
              </w:rPr>
              <w:t>$/tCO2eq</w:t>
            </w:r>
          </w:p>
        </w:tc>
      </w:tr>
      <w:tr w:rsidR="00DA7E40" w:rsidRPr="00D800F0" w14:paraId="2A089E6C"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0381C16A"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s</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23E5AF17" w14:textId="77777777" w:rsidR="00DA7E40" w:rsidRPr="00D800F0" w:rsidRDefault="00DA7E40" w:rsidP="0000614D">
            <w:pPr>
              <w:rPr>
                <w:rFonts w:ascii="Arial" w:hAnsi="Arial" w:cs="Arial"/>
              </w:rPr>
            </w:pPr>
            <w:r w:rsidRPr="00D800F0">
              <w:rPr>
                <w:rFonts w:ascii="Arial" w:hAnsi="Arial" w:cs="Arial"/>
              </w:rPr>
              <w:t>Social discount rate</w:t>
            </w:r>
          </w:p>
        </w:tc>
        <w:tc>
          <w:tcPr>
            <w:tcW w:w="2440" w:type="dxa"/>
            <w:tcBorders>
              <w:top w:val="nil"/>
              <w:left w:val="nil"/>
              <w:bottom w:val="nil"/>
              <w:right w:val="nil"/>
            </w:tcBorders>
            <w:shd w:val="clear" w:color="auto" w:fill="auto"/>
            <w:tcMar>
              <w:top w:w="100" w:type="dxa"/>
              <w:left w:w="100" w:type="dxa"/>
              <w:bottom w:w="100" w:type="dxa"/>
              <w:right w:w="100" w:type="dxa"/>
            </w:tcMar>
          </w:tcPr>
          <w:p w14:paraId="3D7AC5F2" w14:textId="77777777" w:rsidR="00DA7E40" w:rsidRPr="00D800F0" w:rsidRDefault="00DA7E40" w:rsidP="0000614D">
            <w:pPr>
              <w:widowControl w:val="0"/>
              <w:rPr>
                <w:rFonts w:ascii="Arial" w:hAnsi="Arial" w:cs="Arial"/>
              </w:rPr>
            </w:pPr>
            <w:r w:rsidRPr="00D800F0">
              <w:rPr>
                <w:rFonts w:ascii="Arial" w:hAnsi="Arial" w:cs="Arial"/>
              </w:rPr>
              <w:t>%</w:t>
            </w:r>
          </w:p>
        </w:tc>
      </w:tr>
      <w:tr w:rsidR="00DA7E40" w:rsidRPr="00D800F0" w14:paraId="1B633AFA"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27B24FFB" w14:textId="77777777" w:rsidR="00DA7E40" w:rsidRPr="00D800F0" w:rsidRDefault="00DA7E40" w:rsidP="0000614D">
            <w:pPr>
              <w:jc w:val="center"/>
              <w:rPr>
                <w:rFonts w:ascii="Arial" w:hAnsi="Arial" w:cs="Arial"/>
                <w:b/>
                <w:bCs/>
              </w:rPr>
            </w:pPr>
            <m:oMathPara>
              <m:oMath>
                <m:r>
                  <m:rPr>
                    <m:sty m:val="bi"/>
                  </m:rPr>
                  <w:rPr>
                    <w:rFonts w:ascii="Cambria Math" w:hAnsi="Cambria Math" w:cs="Arial"/>
                  </w:rPr>
                  <w:lastRenderedPageBreak/>
                  <m:t>T</m:t>
                </m:r>
                <m:sSub>
                  <m:sSubPr>
                    <m:ctrlPr>
                      <w:rPr>
                        <w:rFonts w:ascii="Cambria Math" w:hAnsi="Cambria Math" w:cs="Arial"/>
                        <w:b/>
                        <w:bCs/>
                        <w:i/>
                      </w:rPr>
                    </m:ctrlPr>
                  </m:sSubPr>
                  <m:e>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j</m:t>
                        </m:r>
                      </m:sub>
                    </m:sSub>
                  </m:e>
                  <m:sub>
                    <m:r>
                      <m:rPr>
                        <m:sty m:val="bi"/>
                      </m:rPr>
                      <w:rPr>
                        <w:rFonts w:ascii="Cambria Math" w:hAnsi="Cambria Math" w:cs="Arial"/>
                      </w:rPr>
                      <m:t>α</m:t>
                    </m:r>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7EB3133E" w14:textId="77777777" w:rsidR="00DA7E40" w:rsidRPr="00D800F0" w:rsidRDefault="00DA7E40" w:rsidP="0000614D">
            <w:pPr>
              <w:rPr>
                <w:rFonts w:ascii="Arial" w:hAnsi="Arial" w:cs="Arial"/>
              </w:rPr>
            </w:pPr>
            <w:r w:rsidRPr="00D800F0">
              <w:rPr>
                <w:rFonts w:ascii="Arial" w:hAnsi="Arial" w:cs="Arial"/>
              </w:rPr>
              <w:t xml:space="preserve">Tax credit for technology </w:t>
            </w:r>
            <m:oMath>
              <m:r>
                <m:rPr>
                  <m:sty m:val="bi"/>
                </m:rPr>
                <w:rPr>
                  <w:rFonts w:ascii="Cambria Math" w:hAnsi="Cambria Math" w:cs="Arial"/>
                </w:rPr>
                <m:t>j</m:t>
              </m:r>
            </m:oMath>
            <w:r w:rsidRPr="00D800F0">
              <w:rPr>
                <w:rFonts w:ascii="Arial" w:hAnsi="Arial" w:cs="Arial"/>
                <w:b/>
                <w:bCs/>
              </w:rPr>
              <w:t xml:space="preserve"> </w:t>
            </w:r>
            <w:r w:rsidRPr="00D800F0">
              <w:rPr>
                <w:rFonts w:ascii="Arial" w:hAnsi="Arial" w:cs="Arial"/>
              </w:rPr>
              <w:t xml:space="preserve">for type of credit </w:t>
            </w:r>
            <m:oMath>
              <m:r>
                <m:rPr>
                  <m:sty m:val="bi"/>
                </m:rPr>
                <w:rPr>
                  <w:rFonts w:ascii="Cambria Math" w:hAnsi="Cambria Math" w:cs="Arial"/>
                </w:rPr>
                <m:t>α</m:t>
              </m:r>
            </m:oMath>
          </w:p>
        </w:tc>
        <w:tc>
          <w:tcPr>
            <w:tcW w:w="2440" w:type="dxa"/>
            <w:tcBorders>
              <w:top w:val="nil"/>
              <w:left w:val="nil"/>
              <w:bottom w:val="nil"/>
              <w:right w:val="nil"/>
            </w:tcBorders>
            <w:shd w:val="clear" w:color="auto" w:fill="auto"/>
            <w:tcMar>
              <w:top w:w="100" w:type="dxa"/>
              <w:left w:w="100" w:type="dxa"/>
              <w:bottom w:w="100" w:type="dxa"/>
              <w:right w:w="100" w:type="dxa"/>
            </w:tcMar>
          </w:tcPr>
          <w:p w14:paraId="36F6212B" w14:textId="77777777" w:rsidR="00DA7E40" w:rsidRPr="00D800F0" w:rsidRDefault="00DA7E40" w:rsidP="0000614D">
            <w:pPr>
              <w:widowControl w:val="0"/>
              <w:rPr>
                <w:rFonts w:ascii="Arial" w:hAnsi="Arial" w:cs="Arial"/>
              </w:rPr>
            </w:pPr>
            <w:r w:rsidRPr="00D800F0">
              <w:rPr>
                <w:rFonts w:ascii="Arial" w:hAnsi="Arial" w:cs="Arial"/>
              </w:rPr>
              <w:t>$/Kg H2</w:t>
            </w:r>
          </w:p>
        </w:tc>
      </w:tr>
      <w:tr w:rsidR="00DA7E40" w:rsidRPr="00D800F0" w14:paraId="1F32829E"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48DA3FD1" w14:textId="77777777" w:rsidR="00DA7E40" w:rsidRPr="00D800F0" w:rsidRDefault="00DA7E40" w:rsidP="0000614D">
            <w:pPr>
              <w:jc w:val="center"/>
              <w:rPr>
                <w:rFonts w:ascii="Arial" w:hAnsi="Arial" w:cs="Arial"/>
                <w:b/>
                <w:bCs/>
              </w:rPr>
            </w:pPr>
            <m:oMathPara>
              <m:oMath>
                <m:r>
                  <m:rPr>
                    <m:sty m:val="bi"/>
                  </m:rPr>
                  <w:rPr>
                    <w:rFonts w:ascii="Cambria Math" w:hAnsi="Cambria Math" w:cs="Arial"/>
                  </w:rPr>
                  <m:t>α</m:t>
                </m:r>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77CF1B33" w14:textId="77777777" w:rsidR="00DA7E40" w:rsidRPr="00D800F0" w:rsidRDefault="00DA7E40" w:rsidP="0000614D">
            <w:pPr>
              <w:rPr>
                <w:rFonts w:ascii="Arial" w:hAnsi="Arial" w:cs="Arial"/>
              </w:rPr>
            </w:pPr>
            <w:r w:rsidRPr="00D800F0">
              <w:rPr>
                <w:rFonts w:ascii="Arial" w:hAnsi="Arial" w:cs="Arial"/>
              </w:rPr>
              <w:t xml:space="preserve">Can be the potential tax credits discounted at </w:t>
            </w:r>
            <m:oMath>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s</m:t>
                  </m:r>
                </m:sub>
              </m:sSub>
            </m:oMath>
            <w:r w:rsidRPr="00D800F0">
              <w:rPr>
                <w:rFonts w:ascii="Arial" w:hAnsi="Arial" w:cs="Arial"/>
              </w:rPr>
              <w:t xml:space="preserve">, cash-equivalent tax credits discounted at </w:t>
            </w:r>
            <m:oMath>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s</m:t>
                  </m:r>
                </m:sub>
              </m:sSub>
            </m:oMath>
            <w:r w:rsidRPr="00D800F0">
              <w:rPr>
                <w:rFonts w:ascii="Arial" w:hAnsi="Arial" w:cs="Arial"/>
              </w:rPr>
              <w:t xml:space="preserve">, or cash-equivalent tax credits discounted at </w:t>
            </w:r>
            <m:oMath>
              <m:sSub>
                <m:sSubPr>
                  <m:ctrlPr>
                    <w:rPr>
                      <w:rFonts w:ascii="Cambria Math" w:hAnsi="Cambria Math" w:cs="Arial"/>
                      <w:b/>
                      <w:bCs/>
                      <w:i/>
                    </w:rPr>
                  </m:ctrlPr>
                </m:sSubPr>
                <m:e>
                  <m:r>
                    <m:rPr>
                      <m:sty m:val="bi"/>
                    </m:rPr>
                    <w:rPr>
                      <w:rFonts w:ascii="Cambria Math" w:hAnsi="Cambria Math" w:cs="Arial"/>
                    </w:rPr>
                    <m:t>d</m:t>
                  </m:r>
                </m:e>
                <m:sub>
                  <m:r>
                    <m:rPr>
                      <m:sty m:val="bi"/>
                    </m:rPr>
                    <w:rPr>
                      <w:rFonts w:ascii="Cambria Math" w:hAnsi="Cambria Math" w:cs="Arial"/>
                    </w:rPr>
                    <m:t>p</m:t>
                  </m:r>
                </m:sub>
              </m:sSub>
            </m:oMath>
          </w:p>
        </w:tc>
        <w:tc>
          <w:tcPr>
            <w:tcW w:w="2440" w:type="dxa"/>
            <w:tcBorders>
              <w:top w:val="nil"/>
              <w:left w:val="nil"/>
              <w:bottom w:val="nil"/>
              <w:right w:val="nil"/>
            </w:tcBorders>
            <w:shd w:val="clear" w:color="auto" w:fill="auto"/>
            <w:tcMar>
              <w:top w:w="100" w:type="dxa"/>
              <w:left w:w="100" w:type="dxa"/>
              <w:bottom w:w="100" w:type="dxa"/>
              <w:right w:w="100" w:type="dxa"/>
            </w:tcMar>
          </w:tcPr>
          <w:p w14:paraId="5F537168" w14:textId="77777777" w:rsidR="00DA7E40" w:rsidRPr="00D800F0" w:rsidRDefault="00DA7E40" w:rsidP="0000614D">
            <w:pPr>
              <w:widowControl w:val="0"/>
              <w:rPr>
                <w:rFonts w:ascii="Arial" w:hAnsi="Arial" w:cs="Arial"/>
              </w:rPr>
            </w:pPr>
          </w:p>
        </w:tc>
      </w:tr>
      <w:tr w:rsidR="00DA7E40" w:rsidRPr="00D800F0" w14:paraId="465632E6" w14:textId="77777777" w:rsidTr="0000614D">
        <w:trPr>
          <w:cantSplit/>
        </w:trPr>
        <w:tc>
          <w:tcPr>
            <w:tcW w:w="3120" w:type="dxa"/>
            <w:tcBorders>
              <w:top w:val="nil"/>
              <w:left w:val="nil"/>
              <w:bottom w:val="nil"/>
              <w:right w:val="nil"/>
            </w:tcBorders>
            <w:shd w:val="clear" w:color="auto" w:fill="auto"/>
            <w:tcMar>
              <w:top w:w="100" w:type="dxa"/>
              <w:left w:w="100" w:type="dxa"/>
              <w:bottom w:w="100" w:type="dxa"/>
              <w:right w:w="100" w:type="dxa"/>
            </w:tcMar>
          </w:tcPr>
          <w:p w14:paraId="6FC9A716" w14:textId="77777777" w:rsidR="00DA7E40" w:rsidRPr="00D800F0" w:rsidRDefault="00000000" w:rsidP="0000614D">
            <w:pPr>
              <w:jc w:val="center"/>
              <w:rPr>
                <w:rFonts w:ascii="Arial" w:hAnsi="Arial" w:cs="Arial"/>
                <w:b/>
                <w:bCs/>
              </w:rPr>
            </w:pPr>
            <m:oMathPara>
              <m:oMath>
                <m:sSub>
                  <m:sSubPr>
                    <m:ctrlPr>
                      <w:rPr>
                        <w:rFonts w:ascii="Cambria Math" w:eastAsia="Cambria Math" w:hAnsi="Cambria Math" w:cs="Arial"/>
                        <w:b/>
                        <w:bCs/>
                        <w:i/>
                      </w:rPr>
                    </m:ctrlPr>
                  </m:sSubPr>
                  <m:e>
                    <m:r>
                      <m:rPr>
                        <m:sty m:val="bi"/>
                      </m:rPr>
                      <w:rPr>
                        <w:rFonts w:ascii="Cambria Math" w:eastAsia="Cambria Math" w:hAnsi="Cambria Math" w:cs="Arial"/>
                      </w:rPr>
                      <m:t>L</m:t>
                    </m:r>
                  </m:e>
                  <m:sub>
                    <m:sSub>
                      <m:sSubPr>
                        <m:ctrlPr>
                          <w:rPr>
                            <w:rFonts w:ascii="Cambria Math" w:eastAsia="Cambria Math" w:hAnsi="Cambria Math" w:cs="Arial"/>
                            <w:b/>
                            <w:bCs/>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sub>
                </m:sSub>
              </m:oMath>
            </m:oMathPara>
          </w:p>
        </w:tc>
        <w:tc>
          <w:tcPr>
            <w:tcW w:w="3800" w:type="dxa"/>
            <w:tcBorders>
              <w:top w:val="nil"/>
              <w:left w:val="nil"/>
              <w:bottom w:val="nil"/>
              <w:right w:val="nil"/>
            </w:tcBorders>
            <w:shd w:val="clear" w:color="auto" w:fill="auto"/>
            <w:tcMar>
              <w:top w:w="100" w:type="dxa"/>
              <w:left w:w="100" w:type="dxa"/>
              <w:bottom w:w="100" w:type="dxa"/>
              <w:right w:w="100" w:type="dxa"/>
            </w:tcMar>
          </w:tcPr>
          <w:p w14:paraId="261BDFF8" w14:textId="77777777" w:rsidR="00DA7E40" w:rsidRPr="00D800F0" w:rsidRDefault="00DA7E40" w:rsidP="0000614D">
            <w:pPr>
              <w:rPr>
                <w:rFonts w:ascii="Arial" w:hAnsi="Arial" w:cs="Arial"/>
              </w:rPr>
            </w:pPr>
            <w:r w:rsidRPr="00D800F0">
              <w:rPr>
                <w:rFonts w:ascii="Arial" w:hAnsi="Arial" w:cs="Arial"/>
              </w:rPr>
              <w:t xml:space="preserve">Lifetime of hydrogen produced under the IRA. </w:t>
            </w:r>
          </w:p>
        </w:tc>
        <w:tc>
          <w:tcPr>
            <w:tcW w:w="2440" w:type="dxa"/>
            <w:tcBorders>
              <w:top w:val="nil"/>
              <w:left w:val="nil"/>
              <w:bottom w:val="nil"/>
              <w:right w:val="nil"/>
            </w:tcBorders>
            <w:shd w:val="clear" w:color="auto" w:fill="auto"/>
            <w:tcMar>
              <w:top w:w="100" w:type="dxa"/>
              <w:left w:w="100" w:type="dxa"/>
              <w:bottom w:w="100" w:type="dxa"/>
              <w:right w:w="100" w:type="dxa"/>
            </w:tcMar>
          </w:tcPr>
          <w:p w14:paraId="166BF301" w14:textId="77777777" w:rsidR="00DA7E40" w:rsidRPr="00D800F0" w:rsidRDefault="00DA7E40" w:rsidP="0000614D">
            <w:pPr>
              <w:widowControl w:val="0"/>
              <w:rPr>
                <w:rFonts w:ascii="Arial" w:hAnsi="Arial" w:cs="Arial"/>
              </w:rPr>
            </w:pPr>
            <w:r w:rsidRPr="00D800F0">
              <w:rPr>
                <w:rFonts w:ascii="Arial" w:hAnsi="Arial" w:cs="Arial"/>
              </w:rPr>
              <w:t>months</w:t>
            </w:r>
          </w:p>
        </w:tc>
      </w:tr>
    </w:tbl>
    <w:p w14:paraId="73EB6A9B" w14:textId="77777777" w:rsidR="00DA7E40" w:rsidRPr="00D800F0" w:rsidRDefault="00DA7E40" w:rsidP="006864F3">
      <w:pPr>
        <w:pStyle w:val="Heading4"/>
        <w:rPr>
          <w:rFonts w:ascii="Arial" w:hAnsi="Arial" w:cs="Arial"/>
        </w:rPr>
      </w:pPr>
      <w:r w:rsidRPr="00D800F0">
        <w:rPr>
          <w:rFonts w:ascii="Arial" w:hAnsi="Arial" w:cs="Arial"/>
        </w:rPr>
        <w:t>Carbon Abatement Cost</w:t>
      </w:r>
    </w:p>
    <w:p w14:paraId="2965C055" w14:textId="77777777" w:rsidR="00DA7E40" w:rsidRPr="00D800F0" w:rsidRDefault="00DA7E40" w:rsidP="00DA7E40">
      <w:pPr>
        <w:spacing w:line="240" w:lineRule="auto"/>
        <w:rPr>
          <w:rFonts w:ascii="Arial" w:hAnsi="Arial" w:cs="Arial"/>
        </w:rPr>
      </w:pPr>
      <w:r w:rsidRPr="00D800F0">
        <w:rPr>
          <w:rFonts w:ascii="Arial" w:hAnsi="Arial" w:cs="Arial"/>
        </w:rPr>
        <w:t>A valuable measure in the context of comparisons of climate policy instruments could be the carbon abatement cost (</w:t>
      </w:r>
      <m:oMath>
        <m:r>
          <m:rPr>
            <m:sty m:val="bi"/>
          </m:rPr>
          <w:rPr>
            <w:rFonts w:ascii="Cambria Math" w:eastAsia="Cambria Math" w:hAnsi="Cambria Math" w:cs="Arial"/>
          </w:rPr>
          <m:t>CA</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w:r w:rsidRPr="00D800F0">
        <w:rPr>
          <w:rFonts w:ascii="Arial" w:hAnsi="Arial" w:cs="Arial"/>
        </w:rPr>
        <w:t>), which quantifies the cost to the taxpayer of bringing low-carbon technologies to commercialization, normalized by the mitigated emissions over the lifetime of the plant (see eq.5).</w:t>
      </w:r>
    </w:p>
    <w:tbl>
      <w:tblPr>
        <w:tblW w:w="9345" w:type="dxa"/>
        <w:jc w:val="center"/>
        <w:tblLayout w:type="fixed"/>
        <w:tblLook w:val="0600" w:firstRow="0" w:lastRow="0" w:firstColumn="0" w:lastColumn="0" w:noHBand="1" w:noVBand="1"/>
      </w:tblPr>
      <w:tblGrid>
        <w:gridCol w:w="8145"/>
        <w:gridCol w:w="1200"/>
      </w:tblGrid>
      <w:tr w:rsidR="00DA7E40" w:rsidRPr="00D800F0" w14:paraId="292A1048" w14:textId="77777777" w:rsidTr="0000614D">
        <w:trPr>
          <w:trHeight w:val="254"/>
          <w:jc w:val="center"/>
        </w:trPr>
        <w:tc>
          <w:tcPr>
            <w:tcW w:w="8145" w:type="dxa"/>
            <w:shd w:val="clear" w:color="auto" w:fill="auto"/>
            <w:tcMar>
              <w:top w:w="100" w:type="dxa"/>
              <w:left w:w="100" w:type="dxa"/>
              <w:bottom w:w="100" w:type="dxa"/>
              <w:right w:w="100" w:type="dxa"/>
            </w:tcMar>
          </w:tcPr>
          <w:p w14:paraId="3F9058D1" w14:textId="77777777" w:rsidR="00DA7E40" w:rsidRPr="00D800F0" w:rsidRDefault="00DA7E40" w:rsidP="0000614D">
            <w:pPr>
              <w:rPr>
                <w:rFonts w:ascii="Arial" w:hAnsi="Arial" w:cs="Arial"/>
                <w:b/>
                <w:bCs/>
                <w:kern w:val="2"/>
                <w14:ligatures w14:val="standardContextual"/>
              </w:rPr>
            </w:pPr>
            <m:oMathPara>
              <m:oMath>
                <m:r>
                  <m:rPr>
                    <m:sty m:val="bi"/>
                  </m:rPr>
                  <w:rPr>
                    <w:rFonts w:ascii="Cambria Math" w:eastAsia="Cambria Math" w:hAnsi="Cambria Math" w:cs="Arial"/>
                  </w:rPr>
                  <m:t>CA</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r>
                  <m:rPr>
                    <m:sty m:val="bi"/>
                  </m:rPr>
                  <w:rPr>
                    <w:rFonts w:ascii="Cambria Math" w:eastAsia="Cambria Math" w:hAnsi="Cambria Math" w:cs="Arial"/>
                  </w:rPr>
                  <m:t>=</m:t>
                </m:r>
                <m:nary>
                  <m:naryPr>
                    <m:chr m:val="∑"/>
                    <m:limLoc m:val="undOvr"/>
                    <m:ctrlPr>
                      <w:rPr>
                        <w:rFonts w:ascii="Cambria Math" w:eastAsia="Cambria Math" w:hAnsi="Cambria Math" w:cs="Arial"/>
                        <w:b/>
                        <w:bCs/>
                        <w:kern w:val="2"/>
                        <w14:ligatures w14:val="standardContextual"/>
                      </w:rPr>
                    </m:ctrlPr>
                  </m:naryPr>
                  <m:sub>
                    <m:r>
                      <m:rPr>
                        <m:sty m:val="bi"/>
                      </m:rPr>
                      <w:rPr>
                        <w:rFonts w:ascii="Cambria Math" w:eastAsia="Cambria Math" w:hAnsi="Cambria Math" w:cs="Arial"/>
                      </w:rPr>
                      <m:t>T=S+C</m:t>
                    </m:r>
                  </m:sub>
                  <m:sup>
                    <m:r>
                      <m:rPr>
                        <m:sty m:val="bi"/>
                      </m:rPr>
                      <w:rPr>
                        <w:rFonts w:ascii="Cambria Math" w:eastAsia="Cambria Math" w:hAnsi="Cambria Math" w:cs="Arial"/>
                      </w:rPr>
                      <m:t>L+S+C</m:t>
                    </m:r>
                  </m:sup>
                  <m:e>
                    <m:f>
                      <m:fPr>
                        <m:ctrlPr>
                          <w:rPr>
                            <w:rFonts w:ascii="Cambria Math" w:eastAsia="Cambria Math" w:hAnsi="Cambria Math" w:cs="Arial"/>
                            <w:b/>
                            <w:bCs/>
                          </w:rPr>
                        </m:ctrlPr>
                      </m:fPr>
                      <m:num>
                        <m:f>
                          <m:fPr>
                            <m:ctrlPr>
                              <w:rPr>
                                <w:rFonts w:ascii="Cambria Math" w:eastAsia="Cambria Math" w:hAnsi="Cambria Math" w:cs="Arial"/>
                                <w:b/>
                                <w:bCs/>
                                <w:i/>
                                <w:kern w:val="2"/>
                                <w14:ligatures w14:val="standardContextual"/>
                              </w:rPr>
                            </m:ctrlPr>
                          </m:fPr>
                          <m:num>
                            <m:r>
                              <m:rPr>
                                <m:sty m:val="bi"/>
                              </m:rPr>
                              <w:rPr>
                                <w:rFonts w:ascii="Cambria Math" w:eastAsia="Cambria Math" w:hAnsi="Cambria Math" w:cs="Arial"/>
                              </w:rPr>
                              <m:t>Credit</m:t>
                            </m:r>
                            <m:sSub>
                              <m:sSubPr>
                                <m:ctrlPr>
                                  <w:rPr>
                                    <w:rFonts w:ascii="Cambria Math" w:eastAsia="Cambria Math" w:hAnsi="Cambria Math" w:cs="Arial"/>
                                    <w:b/>
                                    <w:bCs/>
                                  </w:rPr>
                                </m:ctrlPr>
                              </m:sSubPr>
                              <m:e>
                                <m:r>
                                  <m:rPr>
                                    <m:sty m:val="b"/>
                                  </m:rPr>
                                  <w:rPr>
                                    <w:rFonts w:ascii="Cambria Math" w:eastAsia="Cambria Math" w:hAnsi="Cambria Math" w:cs="Arial"/>
                                  </w:rPr>
                                  <m:t>s</m:t>
                                </m:r>
                              </m:e>
                              <m:sub>
                                <m:r>
                                  <m:rPr>
                                    <m:sty m:val="b"/>
                                  </m:rPr>
                                  <w:rPr>
                                    <w:rFonts w:ascii="Cambria Math" w:eastAsia="Cambria Math" w:hAnsi="Cambria Math" w:cs="Arial"/>
                                  </w:rPr>
                                  <m:t>j</m:t>
                                </m:r>
                                <m:d>
                                  <m:dPr>
                                    <m:ctrlPr>
                                      <w:rPr>
                                        <w:rFonts w:ascii="Cambria Math" w:eastAsia="Cambria Math" w:hAnsi="Cambria Math" w:cs="Arial"/>
                                        <w:b/>
                                        <w:bCs/>
                                        <w:i/>
                                      </w:rPr>
                                    </m:ctrlPr>
                                  </m:dPr>
                                  <m:e>
                                    <m:r>
                                      <m:rPr>
                                        <m:sty m:val="bi"/>
                                      </m:rPr>
                                      <w:rPr>
                                        <w:rFonts w:ascii="Cambria Math" w:eastAsia="Cambria Math" w:hAnsi="Cambria Math" w:cs="Arial"/>
                                      </w:rPr>
                                      <m:t>T</m:t>
                                    </m:r>
                                  </m:e>
                                </m:d>
                              </m:sub>
                            </m:sSub>
                          </m:num>
                          <m:den>
                            <m:sSup>
                              <m:sSupPr>
                                <m:ctrlPr>
                                  <w:rPr>
                                    <w:rFonts w:ascii="Cambria Math" w:eastAsia="Cambria Math" w:hAnsi="Cambria Math" w:cs="Arial"/>
                                    <w:b/>
                                    <w:bCs/>
                                    <w:i/>
                                  </w:rPr>
                                </m:ctrlPr>
                              </m:sSupPr>
                              <m:e>
                                <m:d>
                                  <m:dPr>
                                    <m:begChr m:val="["/>
                                    <m:endChr m:val="]"/>
                                    <m:ctrlPr>
                                      <w:rPr>
                                        <w:rFonts w:ascii="Cambria Math" w:eastAsia="Cambria Math" w:hAnsi="Cambria Math" w:cs="Arial"/>
                                        <w:b/>
                                        <w:bCs/>
                                        <w:i/>
                                      </w:rPr>
                                    </m:ctrlPr>
                                  </m:dPr>
                                  <m:e>
                                    <m:r>
                                      <m:rPr>
                                        <m:sty m:val="bi"/>
                                      </m:rPr>
                                      <w:rPr>
                                        <w:rFonts w:ascii="Cambria Math" w:eastAsia="Cambria Math" w:hAnsi="Cambria Math" w:cs="Arial"/>
                                      </w:rPr>
                                      <m:t>1+</m:t>
                                    </m:r>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s</m:t>
                                        </m:r>
                                      </m:sub>
                                    </m:sSub>
                                  </m:e>
                                </m:d>
                              </m:e>
                              <m:sup>
                                <m:r>
                                  <m:rPr>
                                    <m:sty m:val="bi"/>
                                  </m:rPr>
                                  <w:rPr>
                                    <w:rFonts w:ascii="Cambria Math" w:eastAsia="Cambria Math" w:hAnsi="Cambria Math" w:cs="Arial"/>
                                  </w:rPr>
                                  <m:t>T-S</m:t>
                                </m:r>
                              </m:sup>
                            </m:sSup>
                          </m:den>
                        </m:f>
                      </m:num>
                      <m:den>
                        <m:nary>
                          <m:naryPr>
                            <m:chr m:val="∑"/>
                            <m:limLoc m:val="undOvr"/>
                            <m:ctrlPr>
                              <w:rPr>
                                <w:rFonts w:ascii="Cambria Math" w:eastAsia="Cambria Math" w:hAnsi="Cambria Math" w:cs="Arial"/>
                                <w:b/>
                                <w:bCs/>
                              </w:rPr>
                            </m:ctrlPr>
                          </m:naryPr>
                          <m:sub>
                            <m:r>
                              <m:rPr>
                                <m:sty m:val="bi"/>
                              </m:rPr>
                              <w:rPr>
                                <w:rFonts w:ascii="Cambria Math" w:eastAsia="Cambria Math" w:hAnsi="Cambria Math" w:cs="Arial"/>
                              </w:rPr>
                              <m:t>T=S+C</m:t>
                            </m:r>
                          </m:sub>
                          <m:sup>
                            <m:r>
                              <m:rPr>
                                <m:sty m:val="bi"/>
                              </m:rPr>
                              <w:rPr>
                                <w:rFonts w:ascii="Cambria Math" w:eastAsia="Cambria Math" w:hAnsi="Cambria Math" w:cs="Arial"/>
                              </w:rPr>
                              <m:t>L+S+C</m:t>
                            </m:r>
                          </m:sup>
                          <m:e>
                            <m:d>
                              <m:dPr>
                                <m:begChr m:val="["/>
                                <m:endChr m:val="]"/>
                                <m:ctrlPr>
                                  <w:rPr>
                                    <w:rFonts w:ascii="Cambria Math" w:eastAsia="Cambria Math" w:hAnsi="Cambria Math" w:cs="Arial"/>
                                    <w:b/>
                                    <w:bCs/>
                                    <w:i/>
                                  </w:rPr>
                                </m:ctrlPr>
                              </m:dPr>
                              <m:e>
                                <m:f>
                                  <m:fPr>
                                    <m:ctrlPr>
                                      <w:rPr>
                                        <w:rFonts w:ascii="Cambria Math" w:eastAsia="Cambria Math" w:hAnsi="Cambria Math" w:cs="Arial"/>
                                        <w:b/>
                                        <w:bCs/>
                                        <w:i/>
                                        <w:kern w:val="2"/>
                                        <w14:ligatures w14:val="standardContextual"/>
                                      </w:rPr>
                                    </m:ctrlPr>
                                  </m:fPr>
                                  <m:num>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H</m:t>
                                        </m:r>
                                        <m:r>
                                          <m:rPr>
                                            <m:sty m:val="bi"/>
                                          </m:rPr>
                                          <w:rPr>
                                            <w:rFonts w:ascii="Cambria Math" w:eastAsia="Cambria Math" w:hAnsi="Cambria Math" w:cs="Arial"/>
                                          </w:rPr>
                                          <m:t>2</m:t>
                                        </m:r>
                                      </m:sub>
                                    </m:sSub>
                                    <m:d>
                                      <m:dPr>
                                        <m:ctrlPr>
                                          <w:rPr>
                                            <w:rFonts w:ascii="Cambria Math" w:eastAsia="Cambria Math" w:hAnsi="Cambria Math" w:cs="Arial"/>
                                            <w:b/>
                                            <w:bCs/>
                                            <w:i/>
                                          </w:rPr>
                                        </m:ctrlPr>
                                      </m:dPr>
                                      <m:e>
                                        <m:r>
                                          <m:rPr>
                                            <m:sty m:val="bi"/>
                                          </m:rPr>
                                          <w:rPr>
                                            <w:rFonts w:ascii="Cambria Math" w:eastAsia="Cambria Math" w:hAnsi="Cambria Math" w:cs="Arial"/>
                                          </w:rPr>
                                          <m: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SMR</m:t>
                                            </m:r>
                                          </m:sub>
                                        </m:sSub>
                                        <m:r>
                                          <m:rPr>
                                            <m:sty m:val="bi"/>
                                          </m:rPr>
                                          <w:rPr>
                                            <w:rFonts w:ascii="Cambria Math" w:eastAsia="Cambria Math" w:hAnsi="Cambria Math" w:cs="Arial"/>
                                          </w:rPr>
                                          <m:t>(T)-C</m:t>
                                        </m:r>
                                        <m:sSub>
                                          <m:sSubPr>
                                            <m:ctrlPr>
                                              <w:rPr>
                                                <w:rFonts w:ascii="Cambria Math" w:eastAsia="Cambria Math" w:hAnsi="Cambria Math" w:cs="Arial"/>
                                                <w:b/>
                                                <w:bCs/>
                                              </w:rPr>
                                            </m:ctrlPr>
                                          </m:sSubPr>
                                          <m:e>
                                            <m:r>
                                              <m:rPr>
                                                <m:sty m:val="bi"/>
                                              </m:rPr>
                                              <w:rPr>
                                                <w:rFonts w:ascii="Cambria Math" w:eastAsia="Cambria Math" w:hAnsi="Cambria Math" w:cs="Arial"/>
                                              </w:rPr>
                                              <m:t>I</m:t>
                                            </m:r>
                                          </m:e>
                                          <m:sub>
                                            <m:r>
                                              <m:rPr>
                                                <m:sty m:val="bi"/>
                                              </m:rPr>
                                              <w:rPr>
                                                <w:rFonts w:ascii="Cambria Math" w:eastAsia="Cambria Math" w:hAnsi="Cambria Math" w:cs="Arial"/>
                                              </w:rPr>
                                              <m:t xml:space="preserve"> j</m:t>
                                            </m:r>
                                          </m:sub>
                                        </m:sSub>
                                        <m:r>
                                          <m:rPr>
                                            <m:sty m:val="bi"/>
                                          </m:rPr>
                                          <w:rPr>
                                            <w:rFonts w:ascii="Cambria Math" w:eastAsia="Cambria Math" w:hAnsi="Cambria Math" w:cs="Arial"/>
                                          </w:rPr>
                                          <m:t>(T)</m:t>
                                        </m:r>
                                      </m:e>
                                    </m:d>
                                  </m:num>
                                  <m:den>
                                    <m:sSup>
                                      <m:sSupPr>
                                        <m:ctrlPr>
                                          <w:rPr>
                                            <w:rFonts w:ascii="Cambria Math" w:eastAsia="Cambria Math" w:hAnsi="Cambria Math" w:cs="Arial"/>
                                            <w:b/>
                                            <w:bCs/>
                                            <w:i/>
                                          </w:rPr>
                                        </m:ctrlPr>
                                      </m:sSupPr>
                                      <m:e>
                                        <m:d>
                                          <m:dPr>
                                            <m:begChr m:val="["/>
                                            <m:endChr m:val="]"/>
                                            <m:ctrlPr>
                                              <w:rPr>
                                                <w:rFonts w:ascii="Cambria Math" w:eastAsia="Cambria Math" w:hAnsi="Cambria Math" w:cs="Arial"/>
                                                <w:b/>
                                                <w:bCs/>
                                                <w:i/>
                                              </w:rPr>
                                            </m:ctrlPr>
                                          </m:dPr>
                                          <m:e>
                                            <m:r>
                                              <m:rPr>
                                                <m:sty m:val="bi"/>
                                              </m:rPr>
                                              <w:rPr>
                                                <w:rFonts w:ascii="Cambria Math" w:eastAsia="Cambria Math" w:hAnsi="Cambria Math" w:cs="Arial"/>
                                              </w:rPr>
                                              <m:t>1+</m:t>
                                            </m:r>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s</m:t>
                                                </m:r>
                                              </m:sub>
                                            </m:sSub>
                                          </m:e>
                                        </m:d>
                                      </m:e>
                                      <m:sup>
                                        <m:r>
                                          <m:rPr>
                                            <m:sty m:val="bi"/>
                                          </m:rPr>
                                          <w:rPr>
                                            <w:rFonts w:ascii="Cambria Math" w:eastAsia="Cambria Math" w:hAnsi="Cambria Math" w:cs="Arial"/>
                                          </w:rPr>
                                          <m:t>T-S</m:t>
                                        </m:r>
                                      </m:sup>
                                    </m:sSup>
                                  </m:den>
                                </m:f>
                              </m:e>
                            </m:d>
                          </m:e>
                        </m:nary>
                      </m:den>
                    </m:f>
                  </m:e>
                </m:nary>
              </m:oMath>
            </m:oMathPara>
          </w:p>
        </w:tc>
        <w:tc>
          <w:tcPr>
            <w:tcW w:w="1200" w:type="dxa"/>
            <w:shd w:val="clear" w:color="auto" w:fill="auto"/>
            <w:tcMar>
              <w:top w:w="100" w:type="dxa"/>
              <w:left w:w="100" w:type="dxa"/>
              <w:bottom w:w="100" w:type="dxa"/>
              <w:right w:w="100" w:type="dxa"/>
            </w:tcMar>
            <w:vAlign w:val="center"/>
          </w:tcPr>
          <w:p w14:paraId="1FAC1EE6" w14:textId="77777777" w:rsidR="00DA7E40" w:rsidRPr="00D800F0" w:rsidRDefault="00DA7E40" w:rsidP="0000614D">
            <w:pPr>
              <w:pStyle w:val="Caption"/>
              <w:spacing w:after="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C</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28</w:t>
            </w:r>
            <w:r w:rsidRPr="00D800F0">
              <w:rPr>
                <w:rFonts w:ascii="Arial" w:hAnsi="Arial" w:cs="Arial"/>
                <w:noProof/>
              </w:rPr>
              <w:fldChar w:fldCharType="end"/>
            </w:r>
            <w:r w:rsidRPr="00D800F0">
              <w:rPr>
                <w:rFonts w:ascii="Arial" w:hAnsi="Arial" w:cs="Arial"/>
              </w:rPr>
              <w:t>)</w:t>
            </w:r>
          </w:p>
        </w:tc>
      </w:tr>
    </w:tbl>
    <w:p w14:paraId="4DBF72DF" w14:textId="77777777" w:rsidR="00DA7E40" w:rsidRPr="00D800F0" w:rsidRDefault="00DA7E40" w:rsidP="00DA7E40">
      <w:pPr>
        <w:tabs>
          <w:tab w:val="left" w:pos="0"/>
        </w:tabs>
        <w:rPr>
          <w:rFonts w:ascii="Arial" w:hAnsi="Arial" w:cs="Arial"/>
        </w:rPr>
      </w:pPr>
      <w:r w:rsidRPr="00D800F0">
        <w:rPr>
          <w:rFonts w:ascii="Arial" w:hAnsi="Arial" w:cs="Arial"/>
        </w:rPr>
        <w:t xml:space="preserve">where </w:t>
      </w:r>
      <m:oMath>
        <m:r>
          <m:rPr>
            <m:sty m:val="bi"/>
          </m:rPr>
          <w:rPr>
            <w:rFonts w:ascii="Cambria Math" w:hAnsi="Cambria Math" w:cs="Arial"/>
          </w:rPr>
          <m:t>L+S+C</m:t>
        </m:r>
      </m:oMath>
      <w:r w:rsidRPr="00D800F0">
        <w:rPr>
          <w:rFonts w:ascii="Arial" w:hAnsi="Arial" w:cs="Arial"/>
        </w:rPr>
        <w:t xml:space="preserve"> represents the operating lifetime, the month the plant begins to be built, and the construction period, respectively. The denominator represents the total abated emissions as a Riemann sum of the CO</w:t>
      </w:r>
      <w:r w:rsidRPr="00D800F0">
        <w:rPr>
          <w:rFonts w:ascii="Arial" w:hAnsi="Arial" w:cs="Arial"/>
          <w:vertAlign w:val="subscript"/>
        </w:rPr>
        <w:t>2</w:t>
      </w:r>
      <w:r w:rsidRPr="00D800F0">
        <w:rPr>
          <w:rFonts w:ascii="Arial" w:hAnsi="Arial" w:cs="Arial"/>
        </w:rPr>
        <w:t xml:space="preserve"> at all periods. Both the carbon and credits are discounted to the present value at the social discount rate,</w:t>
      </w:r>
      <w:r w:rsidRPr="00D800F0">
        <w:rPr>
          <w:rFonts w:ascii="Arial" w:eastAsia="Cambria Math" w:hAnsi="Arial" w:cs="Arial"/>
          <w:b/>
          <w:bCs/>
          <w:i/>
        </w:rPr>
        <w:t xml:space="preserve"> </w:t>
      </w:r>
      <m:oMath>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s</m:t>
            </m:r>
          </m:sub>
        </m:sSub>
      </m:oMath>
      <w:r w:rsidRPr="00D800F0">
        <w:rPr>
          <w:rFonts w:ascii="Arial" w:hAnsi="Arial" w:cs="Arial"/>
        </w:rPr>
        <w:t xml:space="preserve"> . The discount rate for the CAC is set to two percent – in line with EPA’s estimates of the social cost of carbon (EPA, 2022). </w:t>
      </w:r>
    </w:p>
    <w:p w14:paraId="44A6B140" w14:textId="77777777" w:rsidR="00DA7E40" w:rsidRPr="00D800F0" w:rsidRDefault="00DA7E40" w:rsidP="006864F3">
      <w:pPr>
        <w:pStyle w:val="Heading4"/>
        <w:rPr>
          <w:rFonts w:ascii="Arial" w:hAnsi="Arial" w:cs="Arial"/>
        </w:rPr>
      </w:pPr>
      <w:r w:rsidRPr="00D800F0">
        <w:rPr>
          <w:rFonts w:ascii="Arial" w:hAnsi="Arial" w:cs="Arial"/>
        </w:rPr>
        <w:t>Tax Credits on a Hydrogen Basis</w:t>
      </w:r>
    </w:p>
    <w:p w14:paraId="49EAAEBA" w14:textId="77777777" w:rsidR="00DA7E40" w:rsidRPr="00D800F0" w:rsidRDefault="00DA7E40" w:rsidP="00DA7E40">
      <w:pPr>
        <w:rPr>
          <w:rFonts w:ascii="Arial" w:hAnsi="Arial" w:cs="Arial"/>
          <w:lang w:eastAsia="en-GB"/>
        </w:rPr>
      </w:pPr>
      <w:r w:rsidRPr="00D800F0">
        <w:rPr>
          <w:rFonts w:ascii="Arial" w:hAnsi="Arial" w:cs="Arial"/>
          <w:lang w:eastAsia="en-GB"/>
        </w:rPr>
        <w:t xml:space="preserve">Much like the </w:t>
      </w:r>
      <m:oMath>
        <m:r>
          <m:rPr>
            <m:sty m:val="bi"/>
          </m:rPr>
          <w:rPr>
            <w:rFonts w:ascii="Cambria Math" w:eastAsia="Cambria Math" w:hAnsi="Cambria Math" w:cs="Arial"/>
          </w:rPr>
          <m:t>CA</m:t>
        </m:r>
        <m:sSub>
          <m:sSubPr>
            <m:ctrlPr>
              <w:rPr>
                <w:rFonts w:ascii="Cambria Math" w:eastAsia="Cambria Math" w:hAnsi="Cambria Math" w:cs="Arial"/>
                <w:b/>
                <w:bCs/>
                <w:i/>
              </w:rPr>
            </m:ctrlPr>
          </m:sSubPr>
          <m:e>
            <m:r>
              <m:rPr>
                <m:sty m:val="bi"/>
              </m:rPr>
              <w:rPr>
                <w:rFonts w:ascii="Cambria Math" w:eastAsia="Cambria Math" w:hAnsi="Cambria Math" w:cs="Arial"/>
              </w:rPr>
              <m:t>C</m:t>
            </m:r>
          </m:e>
          <m:sub>
            <m:r>
              <m:rPr>
                <m:sty m:val="bi"/>
              </m:rPr>
              <w:rPr>
                <w:rFonts w:ascii="Cambria Math" w:eastAsia="Cambria Math" w:hAnsi="Cambria Math" w:cs="Arial"/>
              </w:rPr>
              <m:t>j</m:t>
            </m:r>
          </m:sub>
        </m:sSub>
      </m:oMath>
      <w:r w:rsidRPr="00D800F0">
        <w:rPr>
          <w:rFonts w:ascii="Arial" w:hAnsi="Arial" w:cs="Arial"/>
        </w:rPr>
        <w:t>, the total tax credits we measure are on a hydrogen basis. This metric is easily compared to the popular levelized cost of hydrogen (LCOH) metric. We develop the following metrics to quantify the three types of tax credit (</w:t>
      </w:r>
      <m:oMath>
        <m:r>
          <m:rPr>
            <m:sty m:val="bi"/>
          </m:rPr>
          <w:rPr>
            <w:rFonts w:ascii="Cambria Math" w:hAnsi="Cambria Math" w:cs="Arial"/>
          </w:rPr>
          <m:t>T</m:t>
        </m:r>
        <m:sSub>
          <m:sSubPr>
            <m:ctrlPr>
              <w:rPr>
                <w:rFonts w:ascii="Cambria Math" w:hAnsi="Cambria Math" w:cs="Arial"/>
                <w:b/>
                <w:bCs/>
                <w:i/>
              </w:rPr>
            </m:ctrlPr>
          </m:sSubPr>
          <m:e>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j</m:t>
                </m:r>
              </m:sub>
            </m:sSub>
          </m:e>
          <m:sub>
            <m:r>
              <m:rPr>
                <m:sty m:val="bi"/>
              </m:rPr>
              <w:rPr>
                <w:rFonts w:ascii="Cambria Math" w:hAnsi="Cambria Math" w:cs="Arial"/>
              </w:rPr>
              <m:t>α</m:t>
            </m:r>
          </m:sub>
        </m:sSub>
      </m:oMath>
      <w:r w:rsidRPr="00D800F0">
        <w:rPr>
          <w:rFonts w:ascii="Arial" w:hAnsi="Arial" w:cs="Arial"/>
        </w:rPr>
        <w:t>) quantifications we report:</w:t>
      </w:r>
    </w:p>
    <w:tbl>
      <w:tblPr>
        <w:tblW w:w="9345" w:type="dxa"/>
        <w:jc w:val="center"/>
        <w:tblLayout w:type="fixed"/>
        <w:tblLook w:val="0600" w:firstRow="0" w:lastRow="0" w:firstColumn="0" w:lastColumn="0" w:noHBand="1" w:noVBand="1"/>
      </w:tblPr>
      <w:tblGrid>
        <w:gridCol w:w="8145"/>
        <w:gridCol w:w="1200"/>
      </w:tblGrid>
      <w:tr w:rsidR="00DA7E40" w:rsidRPr="00D800F0" w14:paraId="491DB07B" w14:textId="77777777" w:rsidTr="0000614D">
        <w:trPr>
          <w:trHeight w:val="254"/>
          <w:jc w:val="center"/>
        </w:trPr>
        <w:tc>
          <w:tcPr>
            <w:tcW w:w="8145" w:type="dxa"/>
            <w:shd w:val="clear" w:color="auto" w:fill="auto"/>
            <w:tcMar>
              <w:top w:w="100" w:type="dxa"/>
              <w:left w:w="100" w:type="dxa"/>
              <w:bottom w:w="100" w:type="dxa"/>
              <w:right w:w="100" w:type="dxa"/>
            </w:tcMar>
            <w:vAlign w:val="center"/>
          </w:tcPr>
          <w:p w14:paraId="4B3E048A" w14:textId="77777777" w:rsidR="00DA7E40" w:rsidRPr="00D800F0" w:rsidRDefault="00DA7E40" w:rsidP="0000614D">
            <w:pPr>
              <w:jc w:val="center"/>
              <w:rPr>
                <w:rFonts w:ascii="Arial" w:hAnsi="Arial" w:cs="Arial"/>
                <w:b/>
                <w:bCs/>
                <w:kern w:val="2"/>
                <w14:ligatures w14:val="standardContextual"/>
              </w:rPr>
            </w:pPr>
            <m:oMathPara>
              <m:oMath>
                <m:r>
                  <m:rPr>
                    <m:sty m:val="bi"/>
                  </m:rPr>
                  <w:rPr>
                    <w:rFonts w:ascii="Cambria Math" w:hAnsi="Cambria Math" w:cs="Arial"/>
                  </w:rPr>
                  <m:t>T</m:t>
                </m:r>
                <m:sSub>
                  <m:sSubPr>
                    <m:ctrlPr>
                      <w:rPr>
                        <w:rFonts w:ascii="Cambria Math" w:hAnsi="Cambria Math" w:cs="Arial"/>
                        <w:b/>
                        <w:bCs/>
                        <w:i/>
                      </w:rPr>
                    </m:ctrlPr>
                  </m:sSubPr>
                  <m:e>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j</m:t>
                        </m:r>
                      </m:sub>
                    </m:sSub>
                  </m:e>
                  <m:sub>
                    <m:r>
                      <m:rPr>
                        <m:sty m:val="bi"/>
                      </m:rPr>
                      <w:rPr>
                        <w:rFonts w:ascii="Cambria Math" w:hAnsi="Cambria Math" w:cs="Arial"/>
                      </w:rPr>
                      <m:t>Potential (2%)</m:t>
                    </m:r>
                  </m:sub>
                </m:sSub>
                <m:r>
                  <m:rPr>
                    <m:sty m:val="bi"/>
                  </m:rPr>
                  <w:rPr>
                    <w:rFonts w:ascii="Cambria Math" w:eastAsia="Cambria Math" w:hAnsi="Cambria Math" w:cs="Arial"/>
                  </w:rPr>
                  <m:t>=</m:t>
                </m:r>
                <m:nary>
                  <m:naryPr>
                    <m:chr m:val="∑"/>
                    <m:limLoc m:val="undOvr"/>
                    <m:ctrlPr>
                      <w:rPr>
                        <w:rFonts w:ascii="Cambria Math" w:eastAsia="Cambria Math" w:hAnsi="Cambria Math" w:cs="Arial"/>
                        <w:b/>
                        <w:bCs/>
                        <w:kern w:val="2"/>
                        <w14:ligatures w14:val="standardContextual"/>
                      </w:rPr>
                    </m:ctrlPr>
                  </m:naryPr>
                  <m:sub>
                    <m:r>
                      <m:rPr>
                        <m:sty m:val="bi"/>
                      </m:rPr>
                      <w:rPr>
                        <w:rFonts w:ascii="Cambria Math" w:eastAsia="Cambria Math" w:hAnsi="Cambria Math" w:cs="Arial"/>
                      </w:rPr>
                      <m:t>T=S+C</m:t>
                    </m:r>
                  </m:sub>
                  <m:sup>
                    <m:r>
                      <m:rPr>
                        <m:sty m:val="bi"/>
                      </m:rPr>
                      <w:rPr>
                        <w:rFonts w:ascii="Cambria Math" w:eastAsia="Cambria Math" w:hAnsi="Cambria Math" w:cs="Arial"/>
                      </w:rPr>
                      <m:t>L+S+C</m:t>
                    </m:r>
                  </m:sup>
                  <m:e>
                    <m:f>
                      <m:fPr>
                        <m:ctrlPr>
                          <w:rPr>
                            <w:rFonts w:ascii="Cambria Math" w:eastAsia="Cambria Math" w:hAnsi="Cambria Math" w:cs="Arial"/>
                            <w:b/>
                            <w:bCs/>
                          </w:rPr>
                        </m:ctrlPr>
                      </m:fPr>
                      <m:num>
                        <m:f>
                          <m:fPr>
                            <m:ctrlPr>
                              <w:rPr>
                                <w:rFonts w:ascii="Cambria Math" w:eastAsia="Cambria Math" w:hAnsi="Cambria Math" w:cs="Arial"/>
                                <w:b/>
                                <w:bCs/>
                                <w:i/>
                                <w:kern w:val="2"/>
                                <w14:ligatures w14:val="standardContextual"/>
                              </w:rPr>
                            </m:ctrlPr>
                          </m:fPr>
                          <m:num>
                            <m:r>
                              <m:rPr>
                                <m:sty m:val="bi"/>
                              </m:rPr>
                              <w:rPr>
                                <w:rFonts w:ascii="Cambria Math" w:eastAsia="Cambria Math" w:hAnsi="Cambria Math" w:cs="Arial"/>
                              </w:rPr>
                              <m:t>Credit</m:t>
                            </m:r>
                            <m:sSub>
                              <m:sSubPr>
                                <m:ctrlPr>
                                  <w:rPr>
                                    <w:rFonts w:ascii="Cambria Math" w:eastAsia="Cambria Math" w:hAnsi="Cambria Math" w:cs="Arial"/>
                                    <w:b/>
                                    <w:bCs/>
                                  </w:rPr>
                                </m:ctrlPr>
                              </m:sSubPr>
                              <m:e>
                                <m:r>
                                  <m:rPr>
                                    <m:sty m:val="b"/>
                                  </m:rPr>
                                  <w:rPr>
                                    <w:rFonts w:ascii="Cambria Math" w:eastAsia="Cambria Math" w:hAnsi="Cambria Math" w:cs="Arial"/>
                                  </w:rPr>
                                  <m:t>s</m:t>
                                </m:r>
                              </m:e>
                              <m:sub>
                                <m:r>
                                  <m:rPr>
                                    <m:sty m:val="b"/>
                                  </m:rPr>
                                  <w:rPr>
                                    <w:rFonts w:ascii="Cambria Math" w:eastAsia="Cambria Math" w:hAnsi="Cambria Math" w:cs="Arial"/>
                                  </w:rPr>
                                  <m:t>j</m:t>
                                </m:r>
                                <m:d>
                                  <m:dPr>
                                    <m:ctrlPr>
                                      <w:rPr>
                                        <w:rFonts w:ascii="Cambria Math" w:eastAsia="Cambria Math" w:hAnsi="Cambria Math" w:cs="Arial"/>
                                        <w:b/>
                                        <w:bCs/>
                                        <w:i/>
                                      </w:rPr>
                                    </m:ctrlPr>
                                  </m:dPr>
                                  <m:e>
                                    <m:r>
                                      <m:rPr>
                                        <m:sty m:val="bi"/>
                                      </m:rPr>
                                      <w:rPr>
                                        <w:rFonts w:ascii="Cambria Math" w:eastAsia="Cambria Math" w:hAnsi="Cambria Math" w:cs="Arial"/>
                                      </w:rPr>
                                      <m:t>T</m:t>
                                    </m:r>
                                  </m:e>
                                </m:d>
                              </m:sub>
                            </m:sSub>
                          </m:num>
                          <m:den>
                            <m:sSup>
                              <m:sSupPr>
                                <m:ctrlPr>
                                  <w:rPr>
                                    <w:rFonts w:ascii="Cambria Math" w:eastAsia="Cambria Math" w:hAnsi="Cambria Math" w:cs="Arial"/>
                                    <w:b/>
                                    <w:bCs/>
                                    <w:i/>
                                  </w:rPr>
                                </m:ctrlPr>
                              </m:sSupPr>
                              <m:e>
                                <m:d>
                                  <m:dPr>
                                    <m:begChr m:val="["/>
                                    <m:endChr m:val="]"/>
                                    <m:ctrlPr>
                                      <w:rPr>
                                        <w:rFonts w:ascii="Cambria Math" w:eastAsia="Cambria Math" w:hAnsi="Cambria Math" w:cs="Arial"/>
                                        <w:b/>
                                        <w:bCs/>
                                        <w:i/>
                                      </w:rPr>
                                    </m:ctrlPr>
                                  </m:dPr>
                                  <m:e>
                                    <m:r>
                                      <m:rPr>
                                        <m:sty m:val="bi"/>
                                      </m:rPr>
                                      <w:rPr>
                                        <w:rFonts w:ascii="Cambria Math" w:eastAsia="Cambria Math" w:hAnsi="Cambria Math" w:cs="Arial"/>
                                      </w:rPr>
                                      <m:t>1+</m:t>
                                    </m:r>
                                    <m:f>
                                      <m:fPr>
                                        <m:ctrlPr>
                                          <w:rPr>
                                            <w:rFonts w:ascii="Cambria Math" w:eastAsia="Cambria Math" w:hAnsi="Cambria Math" w:cs="Arial"/>
                                            <w:b/>
                                            <w:bCs/>
                                            <w:i/>
                                          </w:rPr>
                                        </m:ctrlPr>
                                      </m:fPr>
                                      <m:num>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s</m:t>
                                            </m:r>
                                          </m:sub>
                                        </m:sSub>
                                      </m:num>
                                      <m:den>
                                        <m:r>
                                          <m:rPr>
                                            <m:sty m:val="bi"/>
                                          </m:rPr>
                                          <w:rPr>
                                            <w:rFonts w:ascii="Cambria Math" w:eastAsia="Cambria Math" w:hAnsi="Cambria Math" w:cs="Arial"/>
                                          </w:rPr>
                                          <m:t>12</m:t>
                                        </m:r>
                                      </m:den>
                                    </m:f>
                                  </m:e>
                                </m:d>
                              </m:e>
                              <m:sup>
                                <m:r>
                                  <m:rPr>
                                    <m:sty m:val="bi"/>
                                  </m:rPr>
                                  <w:rPr>
                                    <w:rFonts w:ascii="Cambria Math" w:eastAsia="Cambria Math" w:hAnsi="Cambria Math" w:cs="Arial"/>
                                  </w:rPr>
                                  <m:t>T-S</m:t>
                                </m:r>
                              </m:sup>
                            </m:sSup>
                          </m:den>
                        </m:f>
                      </m:num>
                      <m:den>
                        <m:nary>
                          <m:naryPr>
                            <m:chr m:val="∑"/>
                            <m:limLoc m:val="undOvr"/>
                            <m:ctrlPr>
                              <w:rPr>
                                <w:rFonts w:ascii="Cambria Math" w:eastAsia="Cambria Math" w:hAnsi="Cambria Math" w:cs="Arial"/>
                                <w:b/>
                                <w:bCs/>
                              </w:rPr>
                            </m:ctrlPr>
                          </m:naryPr>
                          <m:sub>
                            <m:r>
                              <m:rPr>
                                <m:sty m:val="bi"/>
                              </m:rPr>
                              <w:rPr>
                                <w:rFonts w:ascii="Cambria Math" w:eastAsia="Cambria Math" w:hAnsi="Cambria Math" w:cs="Arial"/>
                              </w:rPr>
                              <m:t>T=S+C</m:t>
                            </m:r>
                          </m:sub>
                          <m:sup>
                            <m:r>
                              <m:rPr>
                                <m:sty m:val="bi"/>
                              </m:rPr>
                              <w:rPr>
                                <w:rFonts w:ascii="Cambria Math" w:eastAsia="Cambria Math" w:hAnsi="Cambria Math" w:cs="Arial"/>
                              </w:rPr>
                              <m:t>S+C+</m:t>
                            </m:r>
                            <m:sSub>
                              <m:sSubPr>
                                <m:ctrlPr>
                                  <w:rPr>
                                    <w:rFonts w:ascii="Cambria Math" w:eastAsia="Cambria Math" w:hAnsi="Cambria Math" w:cs="Arial"/>
                                    <w:b/>
                                    <w:bCs/>
                                    <w:i/>
                                  </w:rPr>
                                </m:ctrlPr>
                              </m:sSubPr>
                              <m:e>
                                <m:r>
                                  <m:rPr>
                                    <m:sty m:val="bi"/>
                                  </m:rPr>
                                  <w:rPr>
                                    <w:rFonts w:ascii="Cambria Math" w:eastAsia="Cambria Math" w:hAnsi="Cambria Math" w:cs="Arial"/>
                                  </w:rPr>
                                  <m:t>L</m:t>
                                </m:r>
                              </m:e>
                              <m:sub>
                                <m:sSub>
                                  <m:sSubPr>
                                    <m:ctrlPr>
                                      <w:rPr>
                                        <w:rFonts w:ascii="Cambria Math" w:eastAsia="Cambria Math" w:hAnsi="Cambria Math" w:cs="Arial"/>
                                        <w:b/>
                                        <w:bCs/>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sub>
                            </m:sSub>
                          </m:sup>
                          <m:e>
                            <m:d>
                              <m:dPr>
                                <m:begChr m:val="["/>
                                <m:endChr m:val="]"/>
                                <m:ctrlPr>
                                  <w:rPr>
                                    <w:rFonts w:ascii="Cambria Math" w:eastAsia="Cambria Math" w:hAnsi="Cambria Math" w:cs="Arial"/>
                                    <w:b/>
                                    <w:bCs/>
                                    <w:i/>
                                  </w:rPr>
                                </m:ctrlPr>
                              </m:dPr>
                              <m:e>
                                <m:f>
                                  <m:fPr>
                                    <m:ctrlPr>
                                      <w:rPr>
                                        <w:rFonts w:ascii="Cambria Math" w:eastAsia="Cambria Math" w:hAnsi="Cambria Math" w:cs="Arial"/>
                                        <w:b/>
                                        <w:bCs/>
                                        <w:i/>
                                        <w:kern w:val="2"/>
                                        <w14:ligatures w14:val="standardContextual"/>
                                      </w:rPr>
                                    </m:ctrlPr>
                                  </m:fPr>
                                  <m:num>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H</m:t>
                                        </m:r>
                                        <m:r>
                                          <m:rPr>
                                            <m:sty m:val="bi"/>
                                          </m:rPr>
                                          <w:rPr>
                                            <w:rFonts w:ascii="Cambria Math" w:eastAsia="Cambria Math" w:hAnsi="Cambria Math" w:cs="Arial"/>
                                          </w:rPr>
                                          <m:t>2</m:t>
                                        </m:r>
                                      </m:sub>
                                    </m:sSub>
                                  </m:num>
                                  <m:den>
                                    <m:sSup>
                                      <m:sSupPr>
                                        <m:ctrlPr>
                                          <w:rPr>
                                            <w:rFonts w:ascii="Cambria Math" w:eastAsia="Cambria Math" w:hAnsi="Cambria Math" w:cs="Arial"/>
                                            <w:b/>
                                            <w:bCs/>
                                            <w:i/>
                                          </w:rPr>
                                        </m:ctrlPr>
                                      </m:sSupPr>
                                      <m:e>
                                        <m:d>
                                          <m:dPr>
                                            <m:begChr m:val="["/>
                                            <m:endChr m:val="]"/>
                                            <m:ctrlPr>
                                              <w:rPr>
                                                <w:rFonts w:ascii="Cambria Math" w:eastAsia="Cambria Math" w:hAnsi="Cambria Math" w:cs="Arial"/>
                                                <w:b/>
                                                <w:bCs/>
                                                <w:i/>
                                              </w:rPr>
                                            </m:ctrlPr>
                                          </m:dPr>
                                          <m:e>
                                            <m:r>
                                              <m:rPr>
                                                <m:sty m:val="bi"/>
                                              </m:rPr>
                                              <w:rPr>
                                                <w:rFonts w:ascii="Cambria Math" w:eastAsia="Cambria Math" w:hAnsi="Cambria Math" w:cs="Arial"/>
                                              </w:rPr>
                                              <m:t>1+</m:t>
                                            </m:r>
                                            <m:f>
                                              <m:fPr>
                                                <m:ctrlPr>
                                                  <w:rPr>
                                                    <w:rFonts w:ascii="Cambria Math" w:eastAsia="Cambria Math" w:hAnsi="Cambria Math" w:cs="Arial"/>
                                                    <w:b/>
                                                    <w:bCs/>
                                                    <w:i/>
                                                  </w:rPr>
                                                </m:ctrlPr>
                                              </m:fPr>
                                              <m:num>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s</m:t>
                                                    </m:r>
                                                  </m:sub>
                                                </m:sSub>
                                              </m:num>
                                              <m:den>
                                                <m:r>
                                                  <m:rPr>
                                                    <m:sty m:val="bi"/>
                                                  </m:rPr>
                                                  <w:rPr>
                                                    <w:rFonts w:ascii="Cambria Math" w:eastAsia="Cambria Math" w:hAnsi="Cambria Math" w:cs="Arial"/>
                                                  </w:rPr>
                                                  <m:t>12</m:t>
                                                </m:r>
                                              </m:den>
                                            </m:f>
                                          </m:e>
                                        </m:d>
                                      </m:e>
                                      <m:sup>
                                        <m:r>
                                          <m:rPr>
                                            <m:sty m:val="bi"/>
                                          </m:rPr>
                                          <w:rPr>
                                            <w:rFonts w:ascii="Cambria Math" w:eastAsia="Cambria Math" w:hAnsi="Cambria Math" w:cs="Arial"/>
                                          </w:rPr>
                                          <m:t>T-S</m:t>
                                        </m:r>
                                      </m:sup>
                                    </m:sSup>
                                  </m:den>
                                </m:f>
                              </m:e>
                            </m:d>
                          </m:e>
                        </m:nary>
                      </m:den>
                    </m:f>
                  </m:e>
                </m:nary>
              </m:oMath>
            </m:oMathPara>
          </w:p>
        </w:tc>
        <w:tc>
          <w:tcPr>
            <w:tcW w:w="1200" w:type="dxa"/>
            <w:shd w:val="clear" w:color="auto" w:fill="auto"/>
            <w:tcMar>
              <w:top w:w="100" w:type="dxa"/>
              <w:left w:w="100" w:type="dxa"/>
              <w:bottom w:w="100" w:type="dxa"/>
              <w:right w:w="100" w:type="dxa"/>
            </w:tcMar>
            <w:vAlign w:val="center"/>
          </w:tcPr>
          <w:p w14:paraId="2540FC59" w14:textId="77777777" w:rsidR="00DA7E40" w:rsidRPr="00D800F0" w:rsidRDefault="00DA7E40" w:rsidP="0000614D">
            <w:pPr>
              <w:pStyle w:val="Caption"/>
              <w:spacing w:after="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C</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29</w:t>
            </w:r>
            <w:r w:rsidRPr="00D800F0">
              <w:rPr>
                <w:rFonts w:ascii="Arial" w:hAnsi="Arial" w:cs="Arial"/>
                <w:noProof/>
              </w:rPr>
              <w:fldChar w:fldCharType="end"/>
            </w:r>
            <w:r w:rsidRPr="00D800F0">
              <w:rPr>
                <w:rFonts w:ascii="Arial" w:hAnsi="Arial" w:cs="Arial"/>
              </w:rPr>
              <w:t>)</w:t>
            </w:r>
          </w:p>
        </w:tc>
      </w:tr>
      <w:tr w:rsidR="00DA7E40" w:rsidRPr="00D800F0" w14:paraId="248768D4" w14:textId="77777777" w:rsidTr="0000614D">
        <w:tblPrEx>
          <w:jc w:val="left"/>
          <w:tblLook w:val="04A0" w:firstRow="1" w:lastRow="0" w:firstColumn="1" w:lastColumn="0" w:noHBand="0" w:noVBand="1"/>
        </w:tblPrEx>
        <w:trPr>
          <w:trHeight w:val="254"/>
        </w:trPr>
        <w:tc>
          <w:tcPr>
            <w:tcW w:w="8145" w:type="dxa"/>
            <w:vAlign w:val="center"/>
          </w:tcPr>
          <w:p w14:paraId="130849D6" w14:textId="77777777" w:rsidR="00DA7E40" w:rsidRPr="00D800F0" w:rsidRDefault="00DA7E40" w:rsidP="0000614D">
            <w:pPr>
              <w:jc w:val="center"/>
              <w:rPr>
                <w:rFonts w:ascii="Arial" w:hAnsi="Arial" w:cs="Arial"/>
                <w:b/>
                <w:bCs/>
                <w:kern w:val="2"/>
                <w14:ligatures w14:val="standardContextual"/>
              </w:rPr>
            </w:pPr>
            <m:oMathPara>
              <m:oMath>
                <m:r>
                  <m:rPr>
                    <m:sty m:val="bi"/>
                  </m:rPr>
                  <w:rPr>
                    <w:rFonts w:ascii="Cambria Math" w:hAnsi="Cambria Math" w:cs="Arial"/>
                  </w:rPr>
                  <w:lastRenderedPageBreak/>
                  <m:t>T</m:t>
                </m:r>
                <m:sSub>
                  <m:sSubPr>
                    <m:ctrlPr>
                      <w:rPr>
                        <w:rFonts w:ascii="Cambria Math" w:hAnsi="Cambria Math" w:cs="Arial"/>
                        <w:b/>
                        <w:bCs/>
                        <w:i/>
                      </w:rPr>
                    </m:ctrlPr>
                  </m:sSubPr>
                  <m:e>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j</m:t>
                        </m:r>
                      </m:sub>
                    </m:sSub>
                  </m:e>
                  <m:sub>
                    <m:r>
                      <m:rPr>
                        <m:sty m:val="bi"/>
                      </m:rPr>
                      <w:rPr>
                        <w:rFonts w:ascii="Cambria Math" w:hAnsi="Cambria Math" w:cs="Arial"/>
                      </w:rPr>
                      <m:t>CE (2%)</m:t>
                    </m:r>
                  </m:sub>
                </m:sSub>
                <m:r>
                  <m:rPr>
                    <m:sty m:val="bi"/>
                  </m:rPr>
                  <w:rPr>
                    <w:rFonts w:ascii="Cambria Math" w:eastAsia="Cambria Math" w:hAnsi="Cambria Math" w:cs="Arial"/>
                  </w:rPr>
                  <m:t>=</m:t>
                </m:r>
                <m:nary>
                  <m:naryPr>
                    <m:chr m:val="∑"/>
                    <m:limLoc m:val="undOvr"/>
                    <m:ctrlPr>
                      <w:rPr>
                        <w:rFonts w:ascii="Cambria Math" w:eastAsia="Cambria Math" w:hAnsi="Cambria Math" w:cs="Arial"/>
                        <w:b/>
                        <w:bCs/>
                        <w:kern w:val="2"/>
                        <w14:ligatures w14:val="standardContextual"/>
                      </w:rPr>
                    </m:ctrlPr>
                  </m:naryPr>
                  <m:sub>
                    <m:r>
                      <m:rPr>
                        <m:sty m:val="bi"/>
                      </m:rPr>
                      <w:rPr>
                        <w:rFonts w:ascii="Cambria Math" w:eastAsia="Cambria Math" w:hAnsi="Cambria Math" w:cs="Arial"/>
                      </w:rPr>
                      <m:t>T=S+C</m:t>
                    </m:r>
                  </m:sub>
                  <m:sup>
                    <m:r>
                      <m:rPr>
                        <m:sty m:val="bi"/>
                      </m:rPr>
                      <w:rPr>
                        <w:rFonts w:ascii="Cambria Math" w:eastAsia="Cambria Math" w:hAnsi="Cambria Math" w:cs="Arial"/>
                      </w:rPr>
                      <m:t>L+S+C</m:t>
                    </m:r>
                  </m:sup>
                  <m:e>
                    <m:f>
                      <m:fPr>
                        <m:ctrlPr>
                          <w:rPr>
                            <w:rFonts w:ascii="Cambria Math" w:eastAsia="Cambria Math" w:hAnsi="Cambria Math" w:cs="Arial"/>
                            <w:b/>
                            <w:bCs/>
                          </w:rPr>
                        </m:ctrlPr>
                      </m:fPr>
                      <m:num>
                        <m:f>
                          <m:fPr>
                            <m:ctrlPr>
                              <w:rPr>
                                <w:rFonts w:ascii="Cambria Math" w:eastAsia="Cambria Math" w:hAnsi="Cambria Math" w:cs="Arial"/>
                                <w:b/>
                                <w:bCs/>
                                <w:i/>
                                <w:kern w:val="2"/>
                                <w14:ligatures w14:val="standardContextual"/>
                              </w:rPr>
                            </m:ctrlPr>
                          </m:fPr>
                          <m:num>
                            <m:r>
                              <m:rPr>
                                <m:sty m:val="bi"/>
                              </m:rPr>
                              <w:rPr>
                                <w:rFonts w:ascii="Cambria Math" w:eastAsia="Cambria Math" w:hAnsi="Cambria Math" w:cs="Arial"/>
                              </w:rPr>
                              <m:t>Credit</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
                                      </m:rPr>
                                      <w:rPr>
                                        <w:rFonts w:ascii="Cambria Math" w:eastAsia="Cambria Math" w:hAnsi="Cambria Math" w:cs="Arial"/>
                                      </w:rPr>
                                      <m:t>s</m:t>
                                    </m:r>
                                  </m:e>
                                  <m:sub>
                                    <m:r>
                                      <m:rPr>
                                        <m:sty m:val="b"/>
                                      </m:rPr>
                                      <w:rPr>
                                        <w:rFonts w:ascii="Cambria Math" w:eastAsia="Cambria Math" w:hAnsi="Cambria Math" w:cs="Arial"/>
                                      </w:rPr>
                                      <m:t>CE</m:t>
                                    </m:r>
                                  </m:sub>
                                </m:sSub>
                              </m:e>
                              <m:sub>
                                <m:r>
                                  <m:rPr>
                                    <m:sty m:val="b"/>
                                  </m:rPr>
                                  <w:rPr>
                                    <w:rFonts w:ascii="Cambria Math" w:eastAsia="Cambria Math" w:hAnsi="Cambria Math" w:cs="Arial"/>
                                  </w:rPr>
                                  <m:t>j</m:t>
                                </m:r>
                                <m:d>
                                  <m:dPr>
                                    <m:ctrlPr>
                                      <w:rPr>
                                        <w:rFonts w:ascii="Cambria Math" w:eastAsia="Cambria Math" w:hAnsi="Cambria Math" w:cs="Arial"/>
                                        <w:b/>
                                        <w:bCs/>
                                        <w:i/>
                                      </w:rPr>
                                    </m:ctrlPr>
                                  </m:dPr>
                                  <m:e>
                                    <m:r>
                                      <m:rPr>
                                        <m:sty m:val="bi"/>
                                      </m:rPr>
                                      <w:rPr>
                                        <w:rFonts w:ascii="Cambria Math" w:eastAsia="Cambria Math" w:hAnsi="Cambria Math" w:cs="Arial"/>
                                      </w:rPr>
                                      <m:t>T</m:t>
                                    </m:r>
                                  </m:e>
                                </m:d>
                              </m:sub>
                            </m:sSub>
                          </m:num>
                          <m:den>
                            <m:sSup>
                              <m:sSupPr>
                                <m:ctrlPr>
                                  <w:rPr>
                                    <w:rFonts w:ascii="Cambria Math" w:eastAsia="Cambria Math" w:hAnsi="Cambria Math" w:cs="Arial"/>
                                    <w:b/>
                                    <w:bCs/>
                                    <w:i/>
                                  </w:rPr>
                                </m:ctrlPr>
                              </m:sSupPr>
                              <m:e>
                                <m:d>
                                  <m:dPr>
                                    <m:begChr m:val="["/>
                                    <m:endChr m:val="]"/>
                                    <m:ctrlPr>
                                      <w:rPr>
                                        <w:rFonts w:ascii="Cambria Math" w:eastAsia="Cambria Math" w:hAnsi="Cambria Math" w:cs="Arial"/>
                                        <w:b/>
                                        <w:bCs/>
                                        <w:i/>
                                      </w:rPr>
                                    </m:ctrlPr>
                                  </m:dPr>
                                  <m:e>
                                    <m:r>
                                      <m:rPr>
                                        <m:sty m:val="bi"/>
                                      </m:rPr>
                                      <w:rPr>
                                        <w:rFonts w:ascii="Cambria Math" w:eastAsia="Cambria Math" w:hAnsi="Cambria Math" w:cs="Arial"/>
                                      </w:rPr>
                                      <m:t>1+</m:t>
                                    </m:r>
                                    <m:f>
                                      <m:fPr>
                                        <m:ctrlPr>
                                          <w:rPr>
                                            <w:rFonts w:ascii="Cambria Math" w:eastAsia="Cambria Math" w:hAnsi="Cambria Math" w:cs="Arial"/>
                                            <w:b/>
                                            <w:bCs/>
                                            <w:i/>
                                          </w:rPr>
                                        </m:ctrlPr>
                                      </m:fPr>
                                      <m:num>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s</m:t>
                                            </m:r>
                                          </m:sub>
                                        </m:sSub>
                                      </m:num>
                                      <m:den>
                                        <m:r>
                                          <m:rPr>
                                            <m:sty m:val="bi"/>
                                          </m:rPr>
                                          <w:rPr>
                                            <w:rFonts w:ascii="Cambria Math" w:eastAsia="Cambria Math" w:hAnsi="Cambria Math" w:cs="Arial"/>
                                          </w:rPr>
                                          <m:t>12</m:t>
                                        </m:r>
                                      </m:den>
                                    </m:f>
                                  </m:e>
                                </m:d>
                              </m:e>
                              <m:sup>
                                <m:r>
                                  <m:rPr>
                                    <m:sty m:val="bi"/>
                                  </m:rPr>
                                  <w:rPr>
                                    <w:rFonts w:ascii="Cambria Math" w:eastAsia="Cambria Math" w:hAnsi="Cambria Math" w:cs="Arial"/>
                                  </w:rPr>
                                  <m:t>T-S</m:t>
                                </m:r>
                              </m:sup>
                            </m:sSup>
                          </m:den>
                        </m:f>
                      </m:num>
                      <m:den>
                        <m:nary>
                          <m:naryPr>
                            <m:chr m:val="∑"/>
                            <m:limLoc m:val="undOvr"/>
                            <m:ctrlPr>
                              <w:rPr>
                                <w:rFonts w:ascii="Cambria Math" w:eastAsia="Cambria Math" w:hAnsi="Cambria Math" w:cs="Arial"/>
                                <w:b/>
                                <w:bCs/>
                              </w:rPr>
                            </m:ctrlPr>
                          </m:naryPr>
                          <m:sub>
                            <m:r>
                              <m:rPr>
                                <m:sty m:val="bi"/>
                              </m:rPr>
                              <w:rPr>
                                <w:rFonts w:ascii="Cambria Math" w:eastAsia="Cambria Math" w:hAnsi="Cambria Math" w:cs="Arial"/>
                              </w:rPr>
                              <m:t>T=S+C</m:t>
                            </m:r>
                          </m:sub>
                          <m:sup>
                            <m:r>
                              <m:rPr>
                                <m:sty m:val="bi"/>
                              </m:rPr>
                              <w:rPr>
                                <w:rFonts w:ascii="Cambria Math" w:eastAsia="Cambria Math" w:hAnsi="Cambria Math" w:cs="Arial"/>
                              </w:rPr>
                              <m:t>S+C+</m:t>
                            </m:r>
                            <m:sSub>
                              <m:sSubPr>
                                <m:ctrlPr>
                                  <w:rPr>
                                    <w:rFonts w:ascii="Cambria Math" w:eastAsia="Cambria Math" w:hAnsi="Cambria Math" w:cs="Arial"/>
                                    <w:b/>
                                    <w:bCs/>
                                    <w:i/>
                                  </w:rPr>
                                </m:ctrlPr>
                              </m:sSubPr>
                              <m:e>
                                <m:r>
                                  <m:rPr>
                                    <m:sty m:val="bi"/>
                                  </m:rPr>
                                  <w:rPr>
                                    <w:rFonts w:ascii="Cambria Math" w:eastAsia="Cambria Math" w:hAnsi="Cambria Math" w:cs="Arial"/>
                                  </w:rPr>
                                  <m:t>L</m:t>
                                </m:r>
                              </m:e>
                              <m:sub>
                                <m:sSub>
                                  <m:sSubPr>
                                    <m:ctrlPr>
                                      <w:rPr>
                                        <w:rFonts w:ascii="Cambria Math" w:eastAsia="Cambria Math" w:hAnsi="Cambria Math" w:cs="Arial"/>
                                        <w:b/>
                                        <w:bCs/>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sub>
                            </m:sSub>
                          </m:sup>
                          <m:e>
                            <m:d>
                              <m:dPr>
                                <m:begChr m:val="["/>
                                <m:endChr m:val="]"/>
                                <m:ctrlPr>
                                  <w:rPr>
                                    <w:rFonts w:ascii="Cambria Math" w:eastAsia="Cambria Math" w:hAnsi="Cambria Math" w:cs="Arial"/>
                                    <w:b/>
                                    <w:bCs/>
                                    <w:i/>
                                  </w:rPr>
                                </m:ctrlPr>
                              </m:dPr>
                              <m:e>
                                <m:f>
                                  <m:fPr>
                                    <m:ctrlPr>
                                      <w:rPr>
                                        <w:rFonts w:ascii="Cambria Math" w:eastAsia="Cambria Math" w:hAnsi="Cambria Math" w:cs="Arial"/>
                                        <w:b/>
                                        <w:bCs/>
                                        <w:i/>
                                        <w:kern w:val="2"/>
                                        <w14:ligatures w14:val="standardContextual"/>
                                      </w:rPr>
                                    </m:ctrlPr>
                                  </m:fPr>
                                  <m:num>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H</m:t>
                                        </m:r>
                                        <m:r>
                                          <m:rPr>
                                            <m:sty m:val="bi"/>
                                          </m:rPr>
                                          <w:rPr>
                                            <w:rFonts w:ascii="Cambria Math" w:eastAsia="Cambria Math" w:hAnsi="Cambria Math" w:cs="Arial"/>
                                          </w:rPr>
                                          <m:t>2</m:t>
                                        </m:r>
                                      </m:sub>
                                    </m:sSub>
                                  </m:num>
                                  <m:den>
                                    <m:sSup>
                                      <m:sSupPr>
                                        <m:ctrlPr>
                                          <w:rPr>
                                            <w:rFonts w:ascii="Cambria Math" w:eastAsia="Cambria Math" w:hAnsi="Cambria Math" w:cs="Arial"/>
                                            <w:b/>
                                            <w:bCs/>
                                            <w:i/>
                                          </w:rPr>
                                        </m:ctrlPr>
                                      </m:sSupPr>
                                      <m:e>
                                        <m:d>
                                          <m:dPr>
                                            <m:begChr m:val="["/>
                                            <m:endChr m:val="]"/>
                                            <m:ctrlPr>
                                              <w:rPr>
                                                <w:rFonts w:ascii="Cambria Math" w:eastAsia="Cambria Math" w:hAnsi="Cambria Math" w:cs="Arial"/>
                                                <w:b/>
                                                <w:bCs/>
                                                <w:i/>
                                              </w:rPr>
                                            </m:ctrlPr>
                                          </m:dPr>
                                          <m:e>
                                            <m:r>
                                              <m:rPr>
                                                <m:sty m:val="bi"/>
                                              </m:rPr>
                                              <w:rPr>
                                                <w:rFonts w:ascii="Cambria Math" w:eastAsia="Cambria Math" w:hAnsi="Cambria Math" w:cs="Arial"/>
                                              </w:rPr>
                                              <m:t>1+</m:t>
                                            </m:r>
                                            <m:f>
                                              <m:fPr>
                                                <m:ctrlPr>
                                                  <w:rPr>
                                                    <w:rFonts w:ascii="Cambria Math" w:eastAsia="Cambria Math" w:hAnsi="Cambria Math" w:cs="Arial"/>
                                                    <w:b/>
                                                    <w:bCs/>
                                                    <w:i/>
                                                  </w:rPr>
                                                </m:ctrlPr>
                                              </m:fPr>
                                              <m:num>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s</m:t>
                                                    </m:r>
                                                  </m:sub>
                                                </m:sSub>
                                              </m:num>
                                              <m:den>
                                                <m:r>
                                                  <m:rPr>
                                                    <m:sty m:val="bi"/>
                                                  </m:rPr>
                                                  <w:rPr>
                                                    <w:rFonts w:ascii="Cambria Math" w:eastAsia="Cambria Math" w:hAnsi="Cambria Math" w:cs="Arial"/>
                                                  </w:rPr>
                                                  <m:t>12</m:t>
                                                </m:r>
                                              </m:den>
                                            </m:f>
                                          </m:e>
                                        </m:d>
                                      </m:e>
                                      <m:sup>
                                        <m:r>
                                          <m:rPr>
                                            <m:sty m:val="bi"/>
                                          </m:rPr>
                                          <w:rPr>
                                            <w:rFonts w:ascii="Cambria Math" w:eastAsia="Cambria Math" w:hAnsi="Cambria Math" w:cs="Arial"/>
                                          </w:rPr>
                                          <m:t>T-S</m:t>
                                        </m:r>
                                      </m:sup>
                                    </m:sSup>
                                  </m:den>
                                </m:f>
                              </m:e>
                            </m:d>
                          </m:e>
                        </m:nary>
                      </m:den>
                    </m:f>
                  </m:e>
                </m:nary>
              </m:oMath>
            </m:oMathPara>
          </w:p>
        </w:tc>
        <w:tc>
          <w:tcPr>
            <w:tcW w:w="1200" w:type="dxa"/>
            <w:vAlign w:val="center"/>
          </w:tcPr>
          <w:p w14:paraId="4005407A" w14:textId="77777777" w:rsidR="00DA7E40" w:rsidRPr="00D800F0" w:rsidRDefault="00DA7E40" w:rsidP="0000614D">
            <w:pPr>
              <w:pStyle w:val="Caption"/>
              <w:spacing w:after="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C</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30</w:t>
            </w:r>
            <w:r w:rsidRPr="00D800F0">
              <w:rPr>
                <w:rFonts w:ascii="Arial" w:hAnsi="Arial" w:cs="Arial"/>
                <w:noProof/>
              </w:rPr>
              <w:fldChar w:fldCharType="end"/>
            </w:r>
            <w:r w:rsidRPr="00D800F0">
              <w:rPr>
                <w:rFonts w:ascii="Arial" w:hAnsi="Arial" w:cs="Arial"/>
              </w:rPr>
              <w:t>)</w:t>
            </w:r>
          </w:p>
        </w:tc>
      </w:tr>
      <w:tr w:rsidR="00DA7E40" w:rsidRPr="00D800F0" w14:paraId="4AD51099" w14:textId="77777777" w:rsidTr="0000614D">
        <w:tblPrEx>
          <w:jc w:val="left"/>
          <w:tblLook w:val="04A0" w:firstRow="1" w:lastRow="0" w:firstColumn="1" w:lastColumn="0" w:noHBand="0" w:noVBand="1"/>
        </w:tblPrEx>
        <w:trPr>
          <w:trHeight w:val="254"/>
        </w:trPr>
        <w:tc>
          <w:tcPr>
            <w:tcW w:w="8145" w:type="dxa"/>
            <w:vAlign w:val="center"/>
          </w:tcPr>
          <w:p w14:paraId="79CD650E" w14:textId="77777777" w:rsidR="00DA7E40" w:rsidRPr="00D800F0" w:rsidRDefault="00DA7E40" w:rsidP="0000614D">
            <w:pPr>
              <w:jc w:val="center"/>
              <w:rPr>
                <w:rFonts w:ascii="Arial" w:hAnsi="Arial" w:cs="Arial"/>
                <w:b/>
                <w:bCs/>
                <w:kern w:val="2"/>
                <w14:ligatures w14:val="standardContextual"/>
              </w:rPr>
            </w:pPr>
            <m:oMathPara>
              <m:oMath>
                <m:r>
                  <m:rPr>
                    <m:sty m:val="bi"/>
                  </m:rPr>
                  <w:rPr>
                    <w:rFonts w:ascii="Cambria Math" w:hAnsi="Cambria Math" w:cs="Arial"/>
                  </w:rPr>
                  <m:t>T</m:t>
                </m:r>
                <m:sSub>
                  <m:sSubPr>
                    <m:ctrlPr>
                      <w:rPr>
                        <w:rFonts w:ascii="Cambria Math" w:hAnsi="Cambria Math" w:cs="Arial"/>
                        <w:b/>
                        <w:bCs/>
                        <w:i/>
                      </w:rPr>
                    </m:ctrlPr>
                  </m:sSubPr>
                  <m:e>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j</m:t>
                        </m:r>
                      </m:sub>
                    </m:sSub>
                  </m:e>
                  <m:sub>
                    <m:r>
                      <m:rPr>
                        <m:sty m:val="bi"/>
                      </m:rPr>
                      <w:rPr>
                        <w:rFonts w:ascii="Cambria Math" w:hAnsi="Cambria Math" w:cs="Arial"/>
                      </w:rPr>
                      <m:t>CE (9.3%)</m:t>
                    </m:r>
                  </m:sub>
                </m:sSub>
                <m:r>
                  <m:rPr>
                    <m:sty m:val="bi"/>
                  </m:rPr>
                  <w:rPr>
                    <w:rFonts w:ascii="Cambria Math" w:eastAsia="Cambria Math" w:hAnsi="Cambria Math" w:cs="Arial"/>
                  </w:rPr>
                  <m:t>=</m:t>
                </m:r>
                <m:nary>
                  <m:naryPr>
                    <m:chr m:val="∑"/>
                    <m:limLoc m:val="undOvr"/>
                    <m:ctrlPr>
                      <w:rPr>
                        <w:rFonts w:ascii="Cambria Math" w:eastAsia="Cambria Math" w:hAnsi="Cambria Math" w:cs="Arial"/>
                        <w:b/>
                        <w:bCs/>
                        <w:kern w:val="2"/>
                        <w14:ligatures w14:val="standardContextual"/>
                      </w:rPr>
                    </m:ctrlPr>
                  </m:naryPr>
                  <m:sub>
                    <m:r>
                      <m:rPr>
                        <m:sty m:val="bi"/>
                      </m:rPr>
                      <w:rPr>
                        <w:rFonts w:ascii="Cambria Math" w:eastAsia="Cambria Math" w:hAnsi="Cambria Math" w:cs="Arial"/>
                      </w:rPr>
                      <m:t>T=S+C</m:t>
                    </m:r>
                  </m:sub>
                  <m:sup>
                    <m:r>
                      <m:rPr>
                        <m:sty m:val="bi"/>
                      </m:rPr>
                      <w:rPr>
                        <w:rFonts w:ascii="Cambria Math" w:eastAsia="Cambria Math" w:hAnsi="Cambria Math" w:cs="Arial"/>
                      </w:rPr>
                      <m:t>L+S+C</m:t>
                    </m:r>
                  </m:sup>
                  <m:e>
                    <m:f>
                      <m:fPr>
                        <m:ctrlPr>
                          <w:rPr>
                            <w:rFonts w:ascii="Cambria Math" w:eastAsia="Cambria Math" w:hAnsi="Cambria Math" w:cs="Arial"/>
                            <w:b/>
                            <w:bCs/>
                          </w:rPr>
                        </m:ctrlPr>
                      </m:fPr>
                      <m:num>
                        <m:f>
                          <m:fPr>
                            <m:ctrlPr>
                              <w:rPr>
                                <w:rFonts w:ascii="Cambria Math" w:eastAsia="Cambria Math" w:hAnsi="Cambria Math" w:cs="Arial"/>
                                <w:b/>
                                <w:bCs/>
                                <w:i/>
                                <w:kern w:val="2"/>
                                <w14:ligatures w14:val="standardContextual"/>
                              </w:rPr>
                            </m:ctrlPr>
                          </m:fPr>
                          <m:num>
                            <m:r>
                              <m:rPr>
                                <m:sty m:val="bi"/>
                              </m:rPr>
                              <w:rPr>
                                <w:rFonts w:ascii="Cambria Math" w:eastAsia="Cambria Math" w:hAnsi="Cambria Math" w:cs="Arial"/>
                              </w:rPr>
                              <m:t>Credit</m:t>
                            </m:r>
                            <m:sSub>
                              <m:sSubPr>
                                <m:ctrlPr>
                                  <w:rPr>
                                    <w:rFonts w:ascii="Cambria Math" w:eastAsia="Cambria Math" w:hAnsi="Cambria Math" w:cs="Arial"/>
                                    <w:b/>
                                    <w:bCs/>
                                  </w:rPr>
                                </m:ctrlPr>
                              </m:sSubPr>
                              <m:e>
                                <m:sSub>
                                  <m:sSubPr>
                                    <m:ctrlPr>
                                      <w:rPr>
                                        <w:rFonts w:ascii="Cambria Math" w:eastAsia="Cambria Math" w:hAnsi="Cambria Math" w:cs="Arial"/>
                                        <w:b/>
                                        <w:bCs/>
                                      </w:rPr>
                                    </m:ctrlPr>
                                  </m:sSubPr>
                                  <m:e>
                                    <m:r>
                                      <m:rPr>
                                        <m:sty m:val="b"/>
                                      </m:rPr>
                                      <w:rPr>
                                        <w:rFonts w:ascii="Cambria Math" w:eastAsia="Cambria Math" w:hAnsi="Cambria Math" w:cs="Arial"/>
                                      </w:rPr>
                                      <m:t>s</m:t>
                                    </m:r>
                                  </m:e>
                                  <m:sub>
                                    <m:r>
                                      <m:rPr>
                                        <m:sty m:val="b"/>
                                      </m:rPr>
                                      <w:rPr>
                                        <w:rFonts w:ascii="Cambria Math" w:eastAsia="Cambria Math" w:hAnsi="Cambria Math" w:cs="Arial"/>
                                      </w:rPr>
                                      <m:t>CE</m:t>
                                    </m:r>
                                  </m:sub>
                                </m:sSub>
                              </m:e>
                              <m:sub>
                                <m:r>
                                  <m:rPr>
                                    <m:sty m:val="b"/>
                                  </m:rPr>
                                  <w:rPr>
                                    <w:rFonts w:ascii="Cambria Math" w:eastAsia="Cambria Math" w:hAnsi="Cambria Math" w:cs="Arial"/>
                                  </w:rPr>
                                  <m:t>j</m:t>
                                </m:r>
                                <m:d>
                                  <m:dPr>
                                    <m:ctrlPr>
                                      <w:rPr>
                                        <w:rFonts w:ascii="Cambria Math" w:eastAsia="Cambria Math" w:hAnsi="Cambria Math" w:cs="Arial"/>
                                        <w:b/>
                                        <w:bCs/>
                                        <w:i/>
                                      </w:rPr>
                                    </m:ctrlPr>
                                  </m:dPr>
                                  <m:e>
                                    <m:r>
                                      <m:rPr>
                                        <m:sty m:val="bi"/>
                                      </m:rPr>
                                      <w:rPr>
                                        <w:rFonts w:ascii="Cambria Math" w:eastAsia="Cambria Math" w:hAnsi="Cambria Math" w:cs="Arial"/>
                                      </w:rPr>
                                      <m:t>T</m:t>
                                    </m:r>
                                  </m:e>
                                </m:d>
                              </m:sub>
                            </m:sSub>
                          </m:num>
                          <m:den>
                            <m:sSup>
                              <m:sSupPr>
                                <m:ctrlPr>
                                  <w:rPr>
                                    <w:rFonts w:ascii="Cambria Math" w:eastAsia="Cambria Math" w:hAnsi="Cambria Math" w:cs="Arial"/>
                                    <w:b/>
                                    <w:bCs/>
                                    <w:i/>
                                  </w:rPr>
                                </m:ctrlPr>
                              </m:sSupPr>
                              <m:e>
                                <m:d>
                                  <m:dPr>
                                    <m:begChr m:val="["/>
                                    <m:endChr m:val="]"/>
                                    <m:ctrlPr>
                                      <w:rPr>
                                        <w:rFonts w:ascii="Cambria Math" w:eastAsia="Cambria Math" w:hAnsi="Cambria Math" w:cs="Arial"/>
                                        <w:b/>
                                        <w:bCs/>
                                        <w:i/>
                                      </w:rPr>
                                    </m:ctrlPr>
                                  </m:dPr>
                                  <m:e>
                                    <m:r>
                                      <m:rPr>
                                        <m:sty m:val="bi"/>
                                      </m:rPr>
                                      <w:rPr>
                                        <w:rFonts w:ascii="Cambria Math" w:eastAsia="Cambria Math" w:hAnsi="Cambria Math" w:cs="Arial"/>
                                      </w:rPr>
                                      <m:t>1+</m:t>
                                    </m:r>
                                    <m:f>
                                      <m:fPr>
                                        <m:ctrlPr>
                                          <w:rPr>
                                            <w:rFonts w:ascii="Cambria Math" w:eastAsia="Cambria Math" w:hAnsi="Cambria Math" w:cs="Arial"/>
                                            <w:b/>
                                            <w:bCs/>
                                            <w:i/>
                                          </w:rPr>
                                        </m:ctrlPr>
                                      </m:fPr>
                                      <m:num>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p</m:t>
                                            </m:r>
                                          </m:sub>
                                        </m:sSub>
                                      </m:num>
                                      <m:den>
                                        <m:r>
                                          <m:rPr>
                                            <m:sty m:val="bi"/>
                                          </m:rPr>
                                          <w:rPr>
                                            <w:rFonts w:ascii="Cambria Math" w:eastAsia="Cambria Math" w:hAnsi="Cambria Math" w:cs="Arial"/>
                                          </w:rPr>
                                          <m:t>12</m:t>
                                        </m:r>
                                      </m:den>
                                    </m:f>
                                  </m:e>
                                </m:d>
                              </m:e>
                              <m:sup>
                                <m:r>
                                  <m:rPr>
                                    <m:sty m:val="bi"/>
                                  </m:rPr>
                                  <w:rPr>
                                    <w:rFonts w:ascii="Cambria Math" w:eastAsia="Cambria Math" w:hAnsi="Cambria Math" w:cs="Arial"/>
                                  </w:rPr>
                                  <m:t>T-S</m:t>
                                </m:r>
                              </m:sup>
                            </m:sSup>
                          </m:den>
                        </m:f>
                      </m:num>
                      <m:den>
                        <m:nary>
                          <m:naryPr>
                            <m:chr m:val="∑"/>
                            <m:limLoc m:val="undOvr"/>
                            <m:ctrlPr>
                              <w:rPr>
                                <w:rFonts w:ascii="Cambria Math" w:eastAsia="Cambria Math" w:hAnsi="Cambria Math" w:cs="Arial"/>
                                <w:b/>
                                <w:bCs/>
                              </w:rPr>
                            </m:ctrlPr>
                          </m:naryPr>
                          <m:sub>
                            <m:r>
                              <m:rPr>
                                <m:sty m:val="bi"/>
                              </m:rPr>
                              <w:rPr>
                                <w:rFonts w:ascii="Cambria Math" w:eastAsia="Cambria Math" w:hAnsi="Cambria Math" w:cs="Arial"/>
                              </w:rPr>
                              <m:t>T=S+C</m:t>
                            </m:r>
                          </m:sub>
                          <m:sup>
                            <m:r>
                              <m:rPr>
                                <m:sty m:val="bi"/>
                              </m:rPr>
                              <w:rPr>
                                <w:rFonts w:ascii="Cambria Math" w:eastAsia="Cambria Math" w:hAnsi="Cambria Math" w:cs="Arial"/>
                              </w:rPr>
                              <m:t>S+C+</m:t>
                            </m:r>
                            <m:sSub>
                              <m:sSubPr>
                                <m:ctrlPr>
                                  <w:rPr>
                                    <w:rFonts w:ascii="Cambria Math" w:eastAsia="Cambria Math" w:hAnsi="Cambria Math" w:cs="Arial"/>
                                    <w:b/>
                                    <w:bCs/>
                                    <w:i/>
                                  </w:rPr>
                                </m:ctrlPr>
                              </m:sSubPr>
                              <m:e>
                                <m:r>
                                  <m:rPr>
                                    <m:sty m:val="bi"/>
                                  </m:rPr>
                                  <w:rPr>
                                    <w:rFonts w:ascii="Cambria Math" w:eastAsia="Cambria Math" w:hAnsi="Cambria Math" w:cs="Arial"/>
                                  </w:rPr>
                                  <m:t>L</m:t>
                                </m:r>
                              </m:e>
                              <m:sub>
                                <m:sSub>
                                  <m:sSubPr>
                                    <m:ctrlPr>
                                      <w:rPr>
                                        <w:rFonts w:ascii="Cambria Math" w:eastAsia="Cambria Math" w:hAnsi="Cambria Math" w:cs="Arial"/>
                                        <w:b/>
                                        <w:bCs/>
                                        <w:i/>
                                      </w:rPr>
                                    </m:ctrlPr>
                                  </m:sSubPr>
                                  <m:e>
                                    <m:r>
                                      <m:rPr>
                                        <m:sty m:val="bi"/>
                                      </m:rPr>
                                      <w:rPr>
                                        <w:rFonts w:ascii="Cambria Math" w:eastAsia="Cambria Math" w:hAnsi="Cambria Math" w:cs="Arial"/>
                                      </w:rPr>
                                      <m:t>H</m:t>
                                    </m:r>
                                  </m:e>
                                  <m:sub>
                                    <m:r>
                                      <m:rPr>
                                        <m:sty m:val="bi"/>
                                      </m:rPr>
                                      <w:rPr>
                                        <w:rFonts w:ascii="Cambria Math" w:eastAsia="Cambria Math" w:hAnsi="Cambria Math" w:cs="Arial"/>
                                      </w:rPr>
                                      <m:t>2</m:t>
                                    </m:r>
                                  </m:sub>
                                </m:sSub>
                              </m:sub>
                            </m:sSub>
                          </m:sup>
                          <m:e>
                            <m:d>
                              <m:dPr>
                                <m:begChr m:val="["/>
                                <m:endChr m:val="]"/>
                                <m:ctrlPr>
                                  <w:rPr>
                                    <w:rFonts w:ascii="Cambria Math" w:eastAsia="Cambria Math" w:hAnsi="Cambria Math" w:cs="Arial"/>
                                    <w:b/>
                                    <w:bCs/>
                                    <w:i/>
                                  </w:rPr>
                                </m:ctrlPr>
                              </m:dPr>
                              <m:e>
                                <m:f>
                                  <m:fPr>
                                    <m:ctrlPr>
                                      <w:rPr>
                                        <w:rFonts w:ascii="Cambria Math" w:eastAsia="Cambria Math" w:hAnsi="Cambria Math" w:cs="Arial"/>
                                        <w:b/>
                                        <w:bCs/>
                                        <w:i/>
                                        <w:kern w:val="2"/>
                                        <w14:ligatures w14:val="standardContextual"/>
                                      </w:rPr>
                                    </m:ctrlPr>
                                  </m:fPr>
                                  <m:num>
                                    <m:sSub>
                                      <m:sSubPr>
                                        <m:ctrlPr>
                                          <w:rPr>
                                            <w:rFonts w:ascii="Cambria Math" w:eastAsia="Cambria Math" w:hAnsi="Cambria Math" w:cs="Arial"/>
                                            <w:b/>
                                            <w:bCs/>
                                          </w:rPr>
                                        </m:ctrlPr>
                                      </m:sSubPr>
                                      <m:e>
                                        <m:sSup>
                                          <m:sSupPr>
                                            <m:ctrlPr>
                                              <w:rPr>
                                                <w:rFonts w:ascii="Cambria Math" w:eastAsia="Cambria Math" w:hAnsi="Cambria Math" w:cs="Arial"/>
                                                <w:b/>
                                                <w:bCs/>
                                              </w:rPr>
                                            </m:ctrlPr>
                                          </m:sSupPr>
                                          <m:e>
                                            <m:r>
                                              <m:rPr>
                                                <m:sty m:val="bi"/>
                                              </m:rPr>
                                              <w:rPr>
                                                <w:rFonts w:ascii="Cambria Math" w:eastAsia="Cambria Math" w:hAnsi="Cambria Math" w:cs="Arial"/>
                                              </w:rPr>
                                              <m:t>M</m:t>
                                            </m:r>
                                          </m:e>
                                          <m:sup>
                                            <m:r>
                                              <m:rPr>
                                                <m:sty m:val="bi"/>
                                              </m:rPr>
                                              <w:rPr>
                                                <w:rFonts w:ascii="Cambria Math" w:eastAsia="Cambria Math" w:hAnsi="Cambria Math" w:cs="Arial"/>
                                              </w:rPr>
                                              <m:t>.</m:t>
                                            </m:r>
                                          </m:sup>
                                        </m:sSup>
                                      </m:e>
                                      <m:sub>
                                        <m:r>
                                          <m:rPr>
                                            <m:sty m:val="bi"/>
                                          </m:rPr>
                                          <w:rPr>
                                            <w:rFonts w:ascii="Cambria Math" w:eastAsia="Cambria Math" w:hAnsi="Cambria Math" w:cs="Arial"/>
                                          </w:rPr>
                                          <m:t>H</m:t>
                                        </m:r>
                                        <m:r>
                                          <m:rPr>
                                            <m:sty m:val="bi"/>
                                          </m:rPr>
                                          <w:rPr>
                                            <w:rFonts w:ascii="Cambria Math" w:eastAsia="Cambria Math" w:hAnsi="Cambria Math" w:cs="Arial"/>
                                          </w:rPr>
                                          <m:t>2</m:t>
                                        </m:r>
                                      </m:sub>
                                    </m:sSub>
                                  </m:num>
                                  <m:den>
                                    <m:sSup>
                                      <m:sSupPr>
                                        <m:ctrlPr>
                                          <w:rPr>
                                            <w:rFonts w:ascii="Cambria Math" w:eastAsia="Cambria Math" w:hAnsi="Cambria Math" w:cs="Arial"/>
                                            <w:b/>
                                            <w:bCs/>
                                            <w:i/>
                                          </w:rPr>
                                        </m:ctrlPr>
                                      </m:sSupPr>
                                      <m:e>
                                        <m:d>
                                          <m:dPr>
                                            <m:begChr m:val="["/>
                                            <m:endChr m:val="]"/>
                                            <m:ctrlPr>
                                              <w:rPr>
                                                <w:rFonts w:ascii="Cambria Math" w:eastAsia="Cambria Math" w:hAnsi="Cambria Math" w:cs="Arial"/>
                                                <w:b/>
                                                <w:bCs/>
                                                <w:i/>
                                              </w:rPr>
                                            </m:ctrlPr>
                                          </m:dPr>
                                          <m:e>
                                            <m:r>
                                              <m:rPr>
                                                <m:sty m:val="bi"/>
                                              </m:rPr>
                                              <w:rPr>
                                                <w:rFonts w:ascii="Cambria Math" w:eastAsia="Cambria Math" w:hAnsi="Cambria Math" w:cs="Arial"/>
                                              </w:rPr>
                                              <m:t>1+</m:t>
                                            </m:r>
                                            <m:f>
                                              <m:fPr>
                                                <m:ctrlPr>
                                                  <w:rPr>
                                                    <w:rFonts w:ascii="Cambria Math" w:eastAsia="Cambria Math" w:hAnsi="Cambria Math" w:cs="Arial"/>
                                                    <w:b/>
                                                    <w:bCs/>
                                                    <w:i/>
                                                  </w:rPr>
                                                </m:ctrlPr>
                                              </m:fPr>
                                              <m:num>
                                                <m:sSub>
                                                  <m:sSubPr>
                                                    <m:ctrlPr>
                                                      <w:rPr>
                                                        <w:rFonts w:ascii="Cambria Math" w:eastAsia="Cambria Math" w:hAnsi="Cambria Math" w:cs="Arial"/>
                                                        <w:b/>
                                                        <w:bCs/>
                                                        <w:i/>
                                                      </w:rPr>
                                                    </m:ctrlPr>
                                                  </m:sSubPr>
                                                  <m:e>
                                                    <m:r>
                                                      <m:rPr>
                                                        <m:sty m:val="bi"/>
                                                      </m:rPr>
                                                      <w:rPr>
                                                        <w:rFonts w:ascii="Cambria Math" w:eastAsia="Cambria Math" w:hAnsi="Cambria Math" w:cs="Arial"/>
                                                      </w:rPr>
                                                      <m:t>d</m:t>
                                                    </m:r>
                                                  </m:e>
                                                  <m:sub>
                                                    <m:r>
                                                      <m:rPr>
                                                        <m:sty m:val="bi"/>
                                                      </m:rPr>
                                                      <w:rPr>
                                                        <w:rFonts w:ascii="Cambria Math" w:eastAsia="Cambria Math" w:hAnsi="Cambria Math" w:cs="Arial"/>
                                                      </w:rPr>
                                                      <m:t>p</m:t>
                                                    </m:r>
                                                  </m:sub>
                                                </m:sSub>
                                              </m:num>
                                              <m:den>
                                                <m:r>
                                                  <m:rPr>
                                                    <m:sty m:val="bi"/>
                                                  </m:rPr>
                                                  <w:rPr>
                                                    <w:rFonts w:ascii="Cambria Math" w:eastAsia="Cambria Math" w:hAnsi="Cambria Math" w:cs="Arial"/>
                                                  </w:rPr>
                                                  <m:t>12</m:t>
                                                </m:r>
                                              </m:den>
                                            </m:f>
                                          </m:e>
                                        </m:d>
                                      </m:e>
                                      <m:sup>
                                        <m:r>
                                          <m:rPr>
                                            <m:sty m:val="bi"/>
                                          </m:rPr>
                                          <w:rPr>
                                            <w:rFonts w:ascii="Cambria Math" w:eastAsia="Cambria Math" w:hAnsi="Cambria Math" w:cs="Arial"/>
                                          </w:rPr>
                                          <m:t>T-S</m:t>
                                        </m:r>
                                      </m:sup>
                                    </m:sSup>
                                  </m:den>
                                </m:f>
                              </m:e>
                            </m:d>
                          </m:e>
                        </m:nary>
                      </m:den>
                    </m:f>
                  </m:e>
                </m:nary>
              </m:oMath>
            </m:oMathPara>
          </w:p>
        </w:tc>
        <w:tc>
          <w:tcPr>
            <w:tcW w:w="1200" w:type="dxa"/>
            <w:vAlign w:val="center"/>
          </w:tcPr>
          <w:p w14:paraId="57AAB455" w14:textId="77777777" w:rsidR="00DA7E40" w:rsidRPr="00D800F0" w:rsidRDefault="00DA7E40" w:rsidP="0000614D">
            <w:pPr>
              <w:pStyle w:val="Caption"/>
              <w:spacing w:after="0"/>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C</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31</w:t>
            </w:r>
            <w:r w:rsidRPr="00D800F0">
              <w:rPr>
                <w:rFonts w:ascii="Arial" w:hAnsi="Arial" w:cs="Arial"/>
                <w:noProof/>
              </w:rPr>
              <w:fldChar w:fldCharType="end"/>
            </w:r>
            <w:r w:rsidRPr="00D800F0">
              <w:rPr>
                <w:rFonts w:ascii="Arial" w:hAnsi="Arial" w:cs="Arial"/>
              </w:rPr>
              <w:t>)</w:t>
            </w:r>
          </w:p>
        </w:tc>
      </w:tr>
    </w:tbl>
    <w:p w14:paraId="6AEA90C0" w14:textId="77777777" w:rsidR="00DA7E40" w:rsidRPr="00D800F0" w:rsidRDefault="00DA7E40" w:rsidP="00DA7E40">
      <w:pPr>
        <w:rPr>
          <w:rFonts w:ascii="Arial" w:hAnsi="Arial" w:cs="Arial"/>
        </w:rPr>
      </w:pPr>
      <w:r w:rsidRPr="00D800F0">
        <w:rPr>
          <w:rFonts w:ascii="Arial" w:hAnsi="Arial" w:cs="Arial"/>
          <w:lang w:eastAsia="en-GB"/>
        </w:rPr>
        <w:tab/>
        <w:t xml:space="preserve">We take the NPV of the tax credits from the public and private perspective. </w:t>
      </w:r>
      <w:bookmarkStart w:id="46" w:name="_Hlk147057200"/>
      <m:oMath>
        <m:r>
          <m:rPr>
            <m:sty m:val="bi"/>
          </m:rPr>
          <w:rPr>
            <w:rFonts w:ascii="Cambria Math" w:hAnsi="Cambria Math" w:cs="Arial"/>
          </w:rPr>
          <m:t>T</m:t>
        </m:r>
        <m:sSub>
          <m:sSubPr>
            <m:ctrlPr>
              <w:rPr>
                <w:rFonts w:ascii="Cambria Math" w:hAnsi="Cambria Math" w:cs="Arial"/>
                <w:b/>
                <w:bCs/>
                <w:i/>
              </w:rPr>
            </m:ctrlPr>
          </m:sSubPr>
          <m:e>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j</m:t>
                </m:r>
              </m:sub>
            </m:sSub>
          </m:e>
          <m:sub>
            <m:r>
              <m:rPr>
                <m:sty m:val="bi"/>
              </m:rPr>
              <w:rPr>
                <w:rFonts w:ascii="Cambria Math" w:hAnsi="Cambria Math" w:cs="Arial"/>
              </w:rPr>
              <m:t>Potential (2%)</m:t>
            </m:r>
          </m:sub>
        </m:sSub>
      </m:oMath>
      <w:bookmarkEnd w:id="46"/>
      <w:r w:rsidRPr="00D800F0">
        <w:rPr>
          <w:rFonts w:ascii="Arial" w:hAnsi="Arial" w:cs="Arial"/>
          <w:b/>
          <w:bCs/>
        </w:rPr>
        <w:t xml:space="preserve"> </w:t>
      </w:r>
      <w:r w:rsidRPr="00D800F0">
        <w:rPr>
          <w:rFonts w:ascii="Arial" w:hAnsi="Arial" w:cs="Arial"/>
        </w:rPr>
        <w:t xml:space="preserve">captures the total amount of credits issued – hence the cost to the taxpayer. </w:t>
      </w:r>
      <m:oMath>
        <m:r>
          <m:rPr>
            <m:sty m:val="bi"/>
          </m:rPr>
          <w:rPr>
            <w:rFonts w:ascii="Cambria Math" w:hAnsi="Cambria Math" w:cs="Arial"/>
          </w:rPr>
          <m:t>T</m:t>
        </m:r>
        <m:sSub>
          <m:sSubPr>
            <m:ctrlPr>
              <w:rPr>
                <w:rFonts w:ascii="Cambria Math" w:hAnsi="Cambria Math" w:cs="Arial"/>
                <w:b/>
                <w:bCs/>
                <w:i/>
              </w:rPr>
            </m:ctrlPr>
          </m:sSubPr>
          <m:e>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j</m:t>
                </m:r>
              </m:sub>
            </m:sSub>
          </m:e>
          <m:sub>
            <m:r>
              <m:rPr>
                <m:sty m:val="bi"/>
              </m:rPr>
              <w:rPr>
                <w:rFonts w:ascii="Cambria Math" w:hAnsi="Cambria Math" w:cs="Arial"/>
              </w:rPr>
              <m:t>CE (2%)</m:t>
            </m:r>
          </m:sub>
        </m:sSub>
      </m:oMath>
      <w:r w:rsidRPr="00D800F0">
        <w:rPr>
          <w:rFonts w:ascii="Arial" w:hAnsi="Arial" w:cs="Arial"/>
          <w:b/>
          <w:bCs/>
        </w:rPr>
        <w:t xml:space="preserve"> </w:t>
      </w:r>
      <w:r w:rsidRPr="00D800F0">
        <w:rPr>
          <w:rFonts w:ascii="Arial" w:hAnsi="Arial" w:cs="Arial"/>
        </w:rPr>
        <w:t xml:space="preserve">is always less than </w:t>
      </w:r>
      <m:oMath>
        <m:r>
          <m:rPr>
            <m:sty m:val="bi"/>
          </m:rPr>
          <w:rPr>
            <w:rFonts w:ascii="Cambria Math" w:hAnsi="Cambria Math" w:cs="Arial"/>
          </w:rPr>
          <m:t>T</m:t>
        </m:r>
        <m:sSub>
          <m:sSubPr>
            <m:ctrlPr>
              <w:rPr>
                <w:rFonts w:ascii="Cambria Math" w:hAnsi="Cambria Math" w:cs="Arial"/>
                <w:b/>
                <w:bCs/>
                <w:i/>
              </w:rPr>
            </m:ctrlPr>
          </m:sSubPr>
          <m:e>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j</m:t>
                </m:r>
              </m:sub>
            </m:sSub>
          </m:e>
          <m:sub>
            <m:r>
              <m:rPr>
                <m:sty m:val="bi"/>
              </m:rPr>
              <w:rPr>
                <w:rFonts w:ascii="Cambria Math" w:hAnsi="Cambria Math" w:cs="Arial"/>
              </w:rPr>
              <m:t>Potential (2%)</m:t>
            </m:r>
          </m:sub>
        </m:sSub>
      </m:oMath>
      <w:r w:rsidRPr="00D800F0">
        <w:rPr>
          <w:rFonts w:ascii="Arial" w:hAnsi="Arial" w:cs="Arial"/>
        </w:rPr>
        <w:t xml:space="preserve"> and represent the amount of tax credits awarded to the low-carbon AP investor from the total pool of tax credits, </w:t>
      </w:r>
      <m:oMath>
        <m:r>
          <m:rPr>
            <m:sty m:val="bi"/>
          </m:rPr>
          <w:rPr>
            <w:rFonts w:ascii="Cambria Math" w:hAnsi="Cambria Math" w:cs="Arial"/>
          </w:rPr>
          <m:t>T</m:t>
        </m:r>
        <m:sSub>
          <m:sSubPr>
            <m:ctrlPr>
              <w:rPr>
                <w:rFonts w:ascii="Cambria Math" w:hAnsi="Cambria Math" w:cs="Arial"/>
                <w:b/>
                <w:bCs/>
                <w:i/>
              </w:rPr>
            </m:ctrlPr>
          </m:sSubPr>
          <m:e>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j</m:t>
                </m:r>
              </m:sub>
            </m:sSub>
          </m:e>
          <m:sub>
            <m:r>
              <m:rPr>
                <m:sty m:val="bi"/>
              </m:rPr>
              <w:rPr>
                <w:rFonts w:ascii="Cambria Math" w:hAnsi="Cambria Math" w:cs="Arial"/>
              </w:rPr>
              <m:t>Potential (2%)</m:t>
            </m:r>
          </m:sub>
        </m:sSub>
      </m:oMath>
      <w:r w:rsidRPr="00D800F0">
        <w:rPr>
          <w:rFonts w:ascii="Arial" w:hAnsi="Arial" w:cs="Arial"/>
        </w:rPr>
        <w:t xml:space="preserve">. </w:t>
      </w:r>
      <m:oMath>
        <m:r>
          <m:rPr>
            <m:sty m:val="bi"/>
          </m:rPr>
          <w:rPr>
            <w:rFonts w:ascii="Cambria Math" w:hAnsi="Cambria Math" w:cs="Arial"/>
          </w:rPr>
          <m:t>T</m:t>
        </m:r>
        <m:sSub>
          <m:sSubPr>
            <m:ctrlPr>
              <w:rPr>
                <w:rFonts w:ascii="Cambria Math" w:hAnsi="Cambria Math" w:cs="Arial"/>
                <w:b/>
                <w:bCs/>
                <w:i/>
              </w:rPr>
            </m:ctrlPr>
          </m:sSubPr>
          <m:e>
            <m:sSub>
              <m:sSubPr>
                <m:ctrlPr>
                  <w:rPr>
                    <w:rFonts w:ascii="Cambria Math" w:hAnsi="Cambria Math" w:cs="Arial"/>
                    <w:b/>
                    <w:bCs/>
                    <w:i/>
                  </w:rPr>
                </m:ctrlPr>
              </m:sSubPr>
              <m:e>
                <m:r>
                  <m:rPr>
                    <m:sty m:val="bi"/>
                  </m:rPr>
                  <w:rPr>
                    <w:rFonts w:ascii="Cambria Math" w:hAnsi="Cambria Math" w:cs="Arial"/>
                  </w:rPr>
                  <m:t>C</m:t>
                </m:r>
              </m:e>
              <m:sub>
                <m:r>
                  <m:rPr>
                    <m:sty m:val="bi"/>
                  </m:rPr>
                  <w:rPr>
                    <w:rFonts w:ascii="Cambria Math" w:hAnsi="Cambria Math" w:cs="Arial"/>
                  </w:rPr>
                  <m:t>j</m:t>
                </m:r>
              </m:sub>
            </m:sSub>
          </m:e>
          <m:sub>
            <m:r>
              <m:rPr>
                <m:sty m:val="bi"/>
              </m:rPr>
              <w:rPr>
                <w:rFonts w:ascii="Cambria Math" w:hAnsi="Cambria Math" w:cs="Arial"/>
              </w:rPr>
              <m:t>CE (9.3%)</m:t>
            </m:r>
          </m:sub>
        </m:sSub>
      </m:oMath>
      <w:r w:rsidRPr="00D800F0">
        <w:rPr>
          <w:rFonts w:ascii="Arial" w:hAnsi="Arial" w:cs="Arial"/>
        </w:rPr>
        <w:t xml:space="preserve"> is the low-carbon AP investor’s valuation of the tax credits using the WACC as the discount rate. The AP investor is more “impatient” than the government and hence places more value on credits awarded in the near future.</w:t>
      </w:r>
    </w:p>
    <w:p w14:paraId="43C0076B" w14:textId="77777777" w:rsidR="00DA7E40" w:rsidRPr="00D800F0" w:rsidRDefault="00DA7E40" w:rsidP="006864F3">
      <w:pPr>
        <w:pStyle w:val="Heading3"/>
        <w:rPr>
          <w:rFonts w:ascii="Arial" w:hAnsi="Arial" w:cs="Arial"/>
        </w:rPr>
      </w:pPr>
      <w:bookmarkStart w:id="47" w:name="_Toc148296627"/>
      <w:r w:rsidRPr="00D800F0">
        <w:rPr>
          <w:rFonts w:ascii="Arial" w:hAnsi="Arial" w:cs="Arial"/>
        </w:rPr>
        <w:t>Data sources</w:t>
      </w:r>
      <w:bookmarkEnd w:id="47"/>
    </w:p>
    <w:p w14:paraId="38E95C7A" w14:textId="77777777" w:rsidR="00DA7E40" w:rsidRPr="00D800F0" w:rsidRDefault="00DA7E40" w:rsidP="00DA7E40">
      <w:pPr>
        <w:pStyle w:val="Caption"/>
        <w:rPr>
          <w:rFonts w:ascii="Arial" w:hAnsi="Arial" w:cs="Arial"/>
        </w:rPr>
      </w:pPr>
      <w:bookmarkStart w:id="48" w:name="_Ref148199286"/>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C</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3</w:t>
      </w:r>
      <w:r w:rsidRPr="00D800F0">
        <w:rPr>
          <w:rFonts w:ascii="Arial" w:hAnsi="Arial" w:cs="Arial"/>
          <w:noProof/>
        </w:rPr>
        <w:fldChar w:fldCharType="end"/>
      </w:r>
      <w:bookmarkEnd w:id="48"/>
      <w:r w:rsidRPr="00D800F0">
        <w:rPr>
          <w:rFonts w:ascii="Arial" w:hAnsi="Arial" w:cs="Arial"/>
        </w:rPr>
        <w:t>: Direct carbon emissions intensity</w:t>
      </w: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85"/>
        <w:gridCol w:w="2537"/>
        <w:gridCol w:w="1936"/>
        <w:gridCol w:w="1802"/>
      </w:tblGrid>
      <w:tr w:rsidR="00DA7E40" w:rsidRPr="00D800F0" w14:paraId="24227BE8" w14:textId="77777777" w:rsidTr="0000614D">
        <w:trPr>
          <w:cantSplit/>
          <w:trHeight w:val="405"/>
        </w:trPr>
        <w:tc>
          <w:tcPr>
            <w:tcW w:w="3085"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6B8D8E88"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2537"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30A1EBEC" w14:textId="77777777" w:rsidR="00DA7E40" w:rsidRPr="00D800F0" w:rsidRDefault="00DA7E40" w:rsidP="0000614D">
            <w:pPr>
              <w:spacing w:line="256" w:lineRule="auto"/>
              <w:jc w:val="center"/>
              <w:rPr>
                <w:rFonts w:ascii="Arial" w:hAnsi="Arial" w:cs="Arial"/>
                <w:b/>
              </w:rPr>
            </w:pPr>
            <w:r w:rsidRPr="00D800F0">
              <w:rPr>
                <w:rFonts w:ascii="Arial" w:hAnsi="Arial" w:cs="Arial"/>
                <w:b/>
              </w:rPr>
              <w:t>Value</w:t>
            </w:r>
          </w:p>
        </w:tc>
        <w:tc>
          <w:tcPr>
            <w:tcW w:w="1936"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4EE48198"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1802" w:type="dxa"/>
            <w:tcBorders>
              <w:top w:val="single" w:sz="8" w:space="0" w:color="666666"/>
              <w:left w:val="single" w:sz="8" w:space="0" w:color="F7F7F8"/>
              <w:bottom w:val="single" w:sz="8" w:space="0" w:color="666666"/>
              <w:right w:val="single" w:sz="8" w:space="0" w:color="F7F7F8"/>
            </w:tcBorders>
            <w:tcMar>
              <w:top w:w="0" w:type="dxa"/>
              <w:left w:w="100" w:type="dxa"/>
              <w:bottom w:w="0" w:type="dxa"/>
              <w:right w:w="100" w:type="dxa"/>
            </w:tcMar>
          </w:tcPr>
          <w:p w14:paraId="2F4C7B49"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tr w:rsidR="00DA7E40" w:rsidRPr="00D800F0" w14:paraId="1882C200" w14:textId="77777777" w:rsidTr="0000614D">
        <w:trPr>
          <w:cantSplit/>
          <w:trHeight w:val="392"/>
        </w:trPr>
        <w:tc>
          <w:tcPr>
            <w:tcW w:w="3085" w:type="dxa"/>
            <w:tcBorders>
              <w:left w:val="single" w:sz="8" w:space="0" w:color="F7F7F8"/>
              <w:bottom w:val="single" w:sz="8" w:space="0" w:color="F7F7F8"/>
              <w:right w:val="single" w:sz="8" w:space="0" w:color="F7F7F8"/>
            </w:tcBorders>
            <w:tcMar>
              <w:top w:w="0" w:type="dxa"/>
              <w:left w:w="100" w:type="dxa"/>
              <w:bottom w:w="0" w:type="dxa"/>
              <w:right w:w="100" w:type="dxa"/>
            </w:tcMar>
          </w:tcPr>
          <w:p w14:paraId="59F84BB2" w14:textId="77777777" w:rsidR="00DA7E40" w:rsidRPr="00D800F0" w:rsidRDefault="00DA7E40" w:rsidP="0000614D">
            <w:pPr>
              <w:jc w:val="center"/>
              <w:rPr>
                <w:rFonts w:ascii="Arial" w:eastAsia="Cambria Math" w:hAnsi="Arial" w:cs="Arial"/>
              </w:rPr>
            </w:pPr>
            <m:oMathPara>
              <m:oMath>
                <m:r>
                  <w:rPr>
                    <w:rFonts w:ascii="Cambria Math" w:eastAsia="Cambria Math" w:hAnsi="Cambria Math" w:cs="Arial"/>
                  </w:rPr>
                  <m:t>C</m:t>
                </m:r>
                <m:sSub>
                  <m:sSubPr>
                    <m:ctrlPr>
                      <w:rPr>
                        <w:rFonts w:ascii="Cambria Math" w:eastAsia="Cambria Math" w:hAnsi="Cambria Math" w:cs="Arial"/>
                      </w:rPr>
                    </m:ctrlPr>
                  </m:sSubPr>
                  <m:e>
                    <m:sSub>
                      <m:sSubPr>
                        <m:ctrlPr>
                          <w:rPr>
                            <w:rFonts w:ascii="Cambria Math" w:eastAsia="Cambria Math" w:hAnsi="Cambria Math" w:cs="Arial"/>
                          </w:rPr>
                        </m:ctrlPr>
                      </m:sSubPr>
                      <m:e>
                        <m:r>
                          <w:rPr>
                            <w:rFonts w:ascii="Cambria Math" w:eastAsia="Cambria Math" w:hAnsi="Cambria Math" w:cs="Arial"/>
                          </w:rPr>
                          <m:t>I</m:t>
                        </m:r>
                      </m:e>
                      <m:sub>
                        <m:r>
                          <w:rPr>
                            <w:rFonts w:ascii="Cambria Math" w:eastAsia="Cambria Math" w:hAnsi="Cambria Math" w:cs="Arial"/>
                          </w:rPr>
                          <m:t>SMR</m:t>
                        </m:r>
                      </m:sub>
                    </m:sSub>
                  </m:e>
                  <m:sub>
                    <m:r>
                      <w:rPr>
                        <w:rFonts w:ascii="Cambria Math" w:eastAsia="Cambria Math" w:hAnsi="Cambria Math" w:cs="Arial"/>
                      </w:rPr>
                      <m:t>direct</m:t>
                    </m:r>
                  </m:sub>
                </m:sSub>
              </m:oMath>
            </m:oMathPara>
          </w:p>
        </w:tc>
        <w:tc>
          <w:tcPr>
            <w:tcW w:w="2537" w:type="dxa"/>
            <w:tcBorders>
              <w:left w:val="single" w:sz="8" w:space="0" w:color="F7F7F8"/>
              <w:bottom w:val="single" w:sz="8" w:space="0" w:color="F7F7F8"/>
              <w:right w:val="single" w:sz="8" w:space="0" w:color="F7F7F8"/>
            </w:tcBorders>
            <w:tcMar>
              <w:top w:w="0" w:type="dxa"/>
              <w:left w:w="100" w:type="dxa"/>
              <w:bottom w:w="0" w:type="dxa"/>
              <w:right w:w="100" w:type="dxa"/>
            </w:tcMar>
          </w:tcPr>
          <w:p w14:paraId="257CD265" w14:textId="77777777" w:rsidR="00DA7E40" w:rsidRPr="00D800F0" w:rsidRDefault="00DA7E40" w:rsidP="0000614D">
            <w:pPr>
              <w:spacing w:line="256" w:lineRule="auto"/>
              <w:jc w:val="center"/>
              <w:rPr>
                <w:rFonts w:ascii="Arial" w:hAnsi="Arial" w:cs="Arial"/>
              </w:rPr>
            </w:pPr>
            <w:r w:rsidRPr="00D800F0">
              <w:rPr>
                <w:rFonts w:ascii="Arial" w:hAnsi="Arial" w:cs="Arial"/>
              </w:rPr>
              <w:t>9.3</w:t>
            </w:r>
          </w:p>
        </w:tc>
        <w:tc>
          <w:tcPr>
            <w:tcW w:w="1936" w:type="dxa"/>
            <w:tcBorders>
              <w:left w:val="single" w:sz="8" w:space="0" w:color="F7F7F8"/>
              <w:bottom w:val="single" w:sz="8" w:space="0" w:color="F7F7F8"/>
              <w:right w:val="single" w:sz="8" w:space="0" w:color="F7F7F8"/>
            </w:tcBorders>
            <w:tcMar>
              <w:top w:w="0" w:type="dxa"/>
              <w:left w:w="100" w:type="dxa"/>
              <w:bottom w:w="0" w:type="dxa"/>
              <w:right w:w="100" w:type="dxa"/>
            </w:tcMar>
          </w:tcPr>
          <w:p w14:paraId="40A0214B" w14:textId="77777777" w:rsidR="00DA7E40" w:rsidRPr="00D800F0" w:rsidRDefault="00DA7E40" w:rsidP="0000614D">
            <w:pPr>
              <w:spacing w:line="256" w:lineRule="auto"/>
              <w:jc w:val="center"/>
              <w:rPr>
                <w:rFonts w:ascii="Arial" w:hAnsi="Arial" w:cs="Arial"/>
              </w:rPr>
            </w:pPr>
            <w:r w:rsidRPr="00D800F0">
              <w:rPr>
                <w:rFonts w:ascii="Arial" w:hAnsi="Arial" w:cs="Arial"/>
              </w:rPr>
              <w:t>Kg CO2/Kg H2</w:t>
            </w:r>
          </w:p>
        </w:tc>
        <w:tc>
          <w:tcPr>
            <w:tcW w:w="1802" w:type="dxa"/>
            <w:tcBorders>
              <w:left w:val="single" w:sz="8" w:space="0" w:color="F7F7F8"/>
              <w:bottom w:val="single" w:sz="8" w:space="0" w:color="F7F7F8"/>
              <w:right w:val="single" w:sz="8" w:space="0" w:color="F7F7F8"/>
            </w:tcBorders>
            <w:tcMar>
              <w:top w:w="0" w:type="dxa"/>
              <w:left w:w="100" w:type="dxa"/>
              <w:bottom w:w="0" w:type="dxa"/>
              <w:right w:w="100" w:type="dxa"/>
            </w:tcMar>
          </w:tcPr>
          <w:p w14:paraId="5A2A015A" w14:textId="77777777" w:rsidR="00DA7E40" w:rsidRPr="00D800F0" w:rsidRDefault="00DA7E40" w:rsidP="0000614D">
            <w:pPr>
              <w:spacing w:line="256" w:lineRule="auto"/>
              <w:jc w:val="center"/>
              <w:rPr>
                <w:rFonts w:ascii="Arial" w:hAnsi="Arial" w:cs="Arial"/>
              </w:rPr>
            </w:pPr>
            <w:r w:rsidRPr="00D800F0">
              <w:rPr>
                <w:rFonts w:ascii="Arial" w:hAnsi="Arial" w:cs="Arial"/>
              </w:rPr>
              <w:t>Lewis et al., 2022</w:t>
            </w:r>
          </w:p>
        </w:tc>
      </w:tr>
      <w:tr w:rsidR="00DA7E40" w:rsidRPr="00D800F0" w14:paraId="4BF80B90" w14:textId="77777777" w:rsidTr="0000614D">
        <w:trPr>
          <w:cantSplit/>
          <w:trHeight w:val="462"/>
        </w:trPr>
        <w:tc>
          <w:tcPr>
            <w:tcW w:w="3085"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6B59277B" w14:textId="77777777" w:rsidR="00DA7E40" w:rsidRPr="00D800F0" w:rsidRDefault="00000000" w:rsidP="0000614D">
            <w:pPr>
              <w:jc w:val="center"/>
              <w:rPr>
                <w:rFonts w:ascii="Arial" w:eastAsia="Cambria Math" w:hAnsi="Arial" w:cs="Arial"/>
              </w:rPr>
            </w:pPr>
            <m:oMathPara>
              <m:oMath>
                <m:sSub>
                  <m:sSubPr>
                    <m:ctrlPr>
                      <w:rPr>
                        <w:rFonts w:ascii="Cambria Math" w:eastAsia="Cambria Math" w:hAnsi="Cambria Math" w:cs="Arial"/>
                      </w:rPr>
                    </m:ctrlPr>
                  </m:sSubPr>
                  <m:e>
                    <m:r>
                      <w:rPr>
                        <w:rFonts w:ascii="Cambria Math" w:hAnsi="Cambria Math" w:cs="Arial"/>
                      </w:rPr>
                      <m:t>η</m:t>
                    </m:r>
                  </m:e>
                  <m:sub>
                    <m:r>
                      <w:rPr>
                        <w:rFonts w:ascii="Cambria Math" w:eastAsia="Cambria Math" w:hAnsi="Cambria Math" w:cs="Arial"/>
                      </w:rPr>
                      <m:t>NGCC</m:t>
                    </m:r>
                  </m:sub>
                </m:sSub>
              </m:oMath>
            </m:oMathPara>
          </w:p>
        </w:tc>
        <w:tc>
          <w:tcPr>
            <w:tcW w:w="2537"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564C7D56" w14:textId="77777777" w:rsidR="00DA7E40" w:rsidRPr="00D800F0" w:rsidRDefault="00DA7E40" w:rsidP="0000614D">
            <w:pPr>
              <w:spacing w:line="256" w:lineRule="auto"/>
              <w:jc w:val="center"/>
              <w:rPr>
                <w:rFonts w:ascii="Arial" w:hAnsi="Arial" w:cs="Arial"/>
              </w:rPr>
            </w:pPr>
            <w:r w:rsidRPr="00D800F0">
              <w:rPr>
                <w:rFonts w:ascii="Arial" w:hAnsi="Arial" w:cs="Arial"/>
              </w:rPr>
              <w:t>46.1%</w:t>
            </w:r>
            <w:r w:rsidRPr="00D800F0">
              <w:rPr>
                <w:rFonts w:ascii="Arial" w:hAnsi="Arial" w:cs="Arial"/>
                <w:vertAlign w:val="superscript"/>
              </w:rPr>
              <w:t>a</w:t>
            </w:r>
          </w:p>
        </w:tc>
        <w:tc>
          <w:tcPr>
            <w:tcW w:w="1936"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4F713C8F"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1802" w:type="dxa"/>
            <w:tcBorders>
              <w:top w:val="single" w:sz="8" w:space="0" w:color="F7F7F8"/>
              <w:left w:val="single" w:sz="8" w:space="0" w:color="F7F7F8"/>
              <w:bottom w:val="single" w:sz="8" w:space="0" w:color="000000"/>
              <w:right w:val="single" w:sz="8" w:space="0" w:color="F7F7F8"/>
            </w:tcBorders>
            <w:tcMar>
              <w:top w:w="0" w:type="dxa"/>
              <w:left w:w="100" w:type="dxa"/>
              <w:bottom w:w="0" w:type="dxa"/>
              <w:right w:w="100" w:type="dxa"/>
            </w:tcMar>
          </w:tcPr>
          <w:p w14:paraId="462D1E81" w14:textId="77777777" w:rsidR="00DA7E40" w:rsidRPr="00D800F0" w:rsidRDefault="00DA7E40" w:rsidP="0000614D">
            <w:pPr>
              <w:spacing w:line="256" w:lineRule="auto"/>
              <w:jc w:val="center"/>
              <w:rPr>
                <w:rFonts w:ascii="Arial" w:hAnsi="Arial" w:cs="Arial"/>
              </w:rPr>
            </w:pPr>
            <w:r w:rsidRPr="00D800F0">
              <w:rPr>
                <w:rFonts w:ascii="Arial" w:hAnsi="Arial" w:cs="Arial"/>
              </w:rPr>
              <w:t>O'Donoughe et al. 2013</w:t>
            </w:r>
            <w:r w:rsidRPr="00D800F0">
              <w:rPr>
                <w:rFonts w:ascii="Arial" w:hAnsi="Arial" w:cs="Arial"/>
                <w:vertAlign w:val="superscript"/>
              </w:rPr>
              <w:t>b</w:t>
            </w:r>
          </w:p>
        </w:tc>
      </w:tr>
    </w:tbl>
    <w:p w14:paraId="05E05ED8" w14:textId="77777777" w:rsidR="00DA7E40" w:rsidRPr="00D800F0" w:rsidRDefault="00DA7E40" w:rsidP="00DA7E40">
      <w:pPr>
        <w:spacing w:line="256" w:lineRule="auto"/>
        <w:rPr>
          <w:rFonts w:ascii="Arial" w:hAnsi="Arial" w:cs="Arial"/>
        </w:rPr>
      </w:pPr>
      <w:r w:rsidRPr="00D800F0">
        <w:rPr>
          <w:rFonts w:ascii="Arial" w:hAnsi="Arial" w:cs="Arial"/>
          <w:vertAlign w:val="superscript"/>
        </w:rPr>
        <w:t>a</w:t>
      </w:r>
      <w:r w:rsidRPr="00D800F0">
        <w:rPr>
          <w:rFonts w:ascii="Arial" w:hAnsi="Arial" w:cs="Arial"/>
        </w:rPr>
        <w:t xml:space="preserve"> The thermal efficiency was used to back-calculate the upstream emissions from natural gas from NGCC plants. An NGCC plant demands an amount of natural gas that is equal to the amount of energy input needed to generate electricity. Since we have the carbon intensity of NGCC generation, we can derive the natural gas upstream emissions by dividing by thermal efficiency.</w:t>
      </w:r>
    </w:p>
    <w:p w14:paraId="0BA33B8B" w14:textId="77777777" w:rsidR="00DA7E40" w:rsidRPr="00D800F0" w:rsidRDefault="00DA7E40" w:rsidP="00DA7E40">
      <w:pPr>
        <w:spacing w:line="256" w:lineRule="auto"/>
        <w:rPr>
          <w:rFonts w:ascii="Arial" w:hAnsi="Arial" w:cs="Arial"/>
        </w:rPr>
      </w:pPr>
      <w:r w:rsidRPr="00D800F0">
        <w:rPr>
          <w:rFonts w:ascii="Arial" w:hAnsi="Arial" w:cs="Arial"/>
          <w:vertAlign w:val="superscript"/>
        </w:rPr>
        <w:t>b</w:t>
      </w:r>
      <w:r w:rsidRPr="00D800F0">
        <w:rPr>
          <w:rFonts w:ascii="Arial" w:hAnsi="Arial" w:cs="Arial"/>
        </w:rPr>
        <w:t xml:space="preserve"> The thermal efficiency is the average efficiency of NGCC plants in the US from Table 1 of O'Donoughe et al. (2013).</w:t>
      </w:r>
    </w:p>
    <w:p w14:paraId="10300A62"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C</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4</w:t>
      </w:r>
      <w:r w:rsidRPr="00D800F0">
        <w:rPr>
          <w:rFonts w:ascii="Arial" w:hAnsi="Arial" w:cs="Arial"/>
          <w:noProof/>
        </w:rPr>
        <w:fldChar w:fldCharType="end"/>
      </w:r>
      <w:r w:rsidRPr="00D800F0">
        <w:rPr>
          <w:rFonts w:ascii="Arial" w:hAnsi="Arial" w:cs="Arial"/>
        </w:rPr>
        <w:t>: Carbon intensity inputs for electricity mix.</w:t>
      </w:r>
    </w:p>
    <w:tbl>
      <w:tblPr>
        <w:tblW w:w="9360" w:type="dxa"/>
        <w:tblBorders>
          <w:top w:val="single" w:sz="4" w:space="0" w:color="auto"/>
          <w:bottom w:val="single" w:sz="4" w:space="0" w:color="auto"/>
        </w:tblBorders>
        <w:tblLayout w:type="fixed"/>
        <w:tblLook w:val="0600" w:firstRow="0" w:lastRow="0" w:firstColumn="0" w:lastColumn="0" w:noHBand="1" w:noVBand="1"/>
      </w:tblPr>
      <w:tblGrid>
        <w:gridCol w:w="3085"/>
        <w:gridCol w:w="2537"/>
        <w:gridCol w:w="1936"/>
        <w:gridCol w:w="1802"/>
      </w:tblGrid>
      <w:tr w:rsidR="00DA7E40" w:rsidRPr="00D800F0" w14:paraId="68D6264A" w14:textId="77777777" w:rsidTr="0000614D">
        <w:trPr>
          <w:cantSplit/>
          <w:trHeight w:val="405"/>
        </w:trPr>
        <w:tc>
          <w:tcPr>
            <w:tcW w:w="3085" w:type="dxa"/>
            <w:tcBorders>
              <w:bottom w:val="single" w:sz="4" w:space="0" w:color="auto"/>
            </w:tcBorders>
            <w:tcMar>
              <w:top w:w="0" w:type="dxa"/>
              <w:left w:w="100" w:type="dxa"/>
              <w:bottom w:w="0" w:type="dxa"/>
              <w:right w:w="100" w:type="dxa"/>
            </w:tcMar>
          </w:tcPr>
          <w:p w14:paraId="1E0AFEA3"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2537" w:type="dxa"/>
            <w:tcBorders>
              <w:bottom w:val="single" w:sz="4" w:space="0" w:color="auto"/>
            </w:tcBorders>
            <w:tcMar>
              <w:top w:w="0" w:type="dxa"/>
              <w:left w:w="100" w:type="dxa"/>
              <w:bottom w:w="0" w:type="dxa"/>
              <w:right w:w="100" w:type="dxa"/>
            </w:tcMar>
          </w:tcPr>
          <w:p w14:paraId="26D76D10" w14:textId="77777777" w:rsidR="00DA7E40" w:rsidRPr="00D800F0" w:rsidRDefault="00DA7E40" w:rsidP="0000614D">
            <w:pPr>
              <w:spacing w:line="256" w:lineRule="auto"/>
              <w:jc w:val="center"/>
              <w:rPr>
                <w:rFonts w:ascii="Arial" w:hAnsi="Arial" w:cs="Arial"/>
                <w:b/>
              </w:rPr>
            </w:pPr>
            <w:r w:rsidRPr="00D800F0">
              <w:rPr>
                <w:rFonts w:ascii="Arial" w:hAnsi="Arial" w:cs="Arial"/>
                <w:b/>
              </w:rPr>
              <w:t>Value</w:t>
            </w:r>
          </w:p>
        </w:tc>
        <w:tc>
          <w:tcPr>
            <w:tcW w:w="1936" w:type="dxa"/>
            <w:tcBorders>
              <w:bottom w:val="single" w:sz="4" w:space="0" w:color="auto"/>
            </w:tcBorders>
            <w:tcMar>
              <w:top w:w="0" w:type="dxa"/>
              <w:left w:w="100" w:type="dxa"/>
              <w:bottom w:w="0" w:type="dxa"/>
              <w:right w:w="100" w:type="dxa"/>
            </w:tcMar>
          </w:tcPr>
          <w:p w14:paraId="317FBAFB"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1802" w:type="dxa"/>
            <w:tcBorders>
              <w:bottom w:val="single" w:sz="4" w:space="0" w:color="auto"/>
            </w:tcBorders>
            <w:tcMar>
              <w:top w:w="0" w:type="dxa"/>
              <w:left w:w="100" w:type="dxa"/>
              <w:bottom w:w="0" w:type="dxa"/>
              <w:right w:w="100" w:type="dxa"/>
            </w:tcMar>
          </w:tcPr>
          <w:p w14:paraId="0C35038E"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tr w:rsidR="00DA7E40" w:rsidRPr="00D800F0" w14:paraId="41CF6872" w14:textId="77777777" w:rsidTr="0000614D">
        <w:trPr>
          <w:cantSplit/>
          <w:trHeight w:val="392"/>
        </w:trPr>
        <w:tc>
          <w:tcPr>
            <w:tcW w:w="3085" w:type="dxa"/>
            <w:tcBorders>
              <w:top w:val="single" w:sz="4" w:space="0" w:color="auto"/>
              <w:bottom w:val="nil"/>
            </w:tcBorders>
            <w:tcMar>
              <w:top w:w="0" w:type="dxa"/>
              <w:left w:w="100" w:type="dxa"/>
              <w:bottom w:w="0" w:type="dxa"/>
              <w:right w:w="100" w:type="dxa"/>
            </w:tcMar>
          </w:tcPr>
          <w:p w14:paraId="7A87DE90"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oil</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2537" w:type="dxa"/>
            <w:tcBorders>
              <w:top w:val="single" w:sz="4" w:space="0" w:color="auto"/>
              <w:bottom w:val="nil"/>
            </w:tcBorders>
            <w:tcMar>
              <w:top w:w="0" w:type="dxa"/>
              <w:left w:w="100" w:type="dxa"/>
              <w:bottom w:w="0" w:type="dxa"/>
              <w:right w:w="100" w:type="dxa"/>
            </w:tcMar>
          </w:tcPr>
          <w:p w14:paraId="497239EA" w14:textId="77777777" w:rsidR="00DA7E40" w:rsidRPr="00D800F0" w:rsidRDefault="00DA7E40" w:rsidP="0000614D">
            <w:pPr>
              <w:spacing w:line="256" w:lineRule="auto"/>
              <w:jc w:val="center"/>
              <w:rPr>
                <w:rFonts w:ascii="Arial" w:hAnsi="Arial" w:cs="Arial"/>
              </w:rPr>
            </w:pPr>
            <w:r w:rsidRPr="00D800F0">
              <w:rPr>
                <w:rFonts w:ascii="Arial" w:hAnsi="Arial" w:cs="Arial"/>
              </w:rPr>
              <w:t>uniform(0.256, 1.17)</w:t>
            </w:r>
          </w:p>
        </w:tc>
        <w:tc>
          <w:tcPr>
            <w:tcW w:w="1936" w:type="dxa"/>
            <w:tcBorders>
              <w:top w:val="single" w:sz="4" w:space="0" w:color="auto"/>
              <w:bottom w:val="nil"/>
            </w:tcBorders>
            <w:tcMar>
              <w:top w:w="0" w:type="dxa"/>
              <w:left w:w="100" w:type="dxa"/>
              <w:bottom w:w="0" w:type="dxa"/>
              <w:right w:w="100" w:type="dxa"/>
            </w:tcMar>
          </w:tcPr>
          <w:p w14:paraId="3E24ACBC" w14:textId="77777777" w:rsidR="00DA7E40" w:rsidRPr="00D800F0" w:rsidRDefault="00DA7E40" w:rsidP="0000614D">
            <w:pPr>
              <w:spacing w:line="256" w:lineRule="auto"/>
              <w:jc w:val="center"/>
              <w:rPr>
                <w:rFonts w:ascii="Arial" w:hAnsi="Arial" w:cs="Arial"/>
              </w:rPr>
            </w:pPr>
            <w:r w:rsidRPr="00D800F0">
              <w:rPr>
                <w:rFonts w:ascii="Arial" w:hAnsi="Arial" w:cs="Arial"/>
              </w:rPr>
              <w:t>Kg CO2/Kg H2</w:t>
            </w:r>
          </w:p>
        </w:tc>
        <w:tc>
          <w:tcPr>
            <w:tcW w:w="1802" w:type="dxa"/>
            <w:tcBorders>
              <w:top w:val="single" w:sz="4" w:space="0" w:color="auto"/>
              <w:bottom w:val="nil"/>
            </w:tcBorders>
            <w:tcMar>
              <w:top w:w="0" w:type="dxa"/>
              <w:left w:w="100" w:type="dxa"/>
              <w:bottom w:w="0" w:type="dxa"/>
              <w:right w:w="100" w:type="dxa"/>
            </w:tcMar>
          </w:tcPr>
          <w:p w14:paraId="20038343" w14:textId="77777777" w:rsidR="00DA7E40" w:rsidRPr="00D800F0" w:rsidRDefault="00DA7E40" w:rsidP="0000614D">
            <w:pPr>
              <w:spacing w:line="256" w:lineRule="auto"/>
              <w:jc w:val="center"/>
              <w:rPr>
                <w:rFonts w:ascii="Arial" w:hAnsi="Arial" w:cs="Arial"/>
              </w:rPr>
            </w:pPr>
            <w:r w:rsidRPr="00D800F0">
              <w:rPr>
                <w:rFonts w:ascii="Arial" w:hAnsi="Arial" w:cs="Arial"/>
              </w:rPr>
              <w:t>Nicholson et al., 2021</w:t>
            </w:r>
          </w:p>
        </w:tc>
      </w:tr>
      <w:tr w:rsidR="00DA7E40" w:rsidRPr="00D800F0" w14:paraId="5C4D6FFB" w14:textId="77777777" w:rsidTr="0000614D">
        <w:trPr>
          <w:cantSplit/>
          <w:trHeight w:val="405"/>
        </w:trPr>
        <w:tc>
          <w:tcPr>
            <w:tcW w:w="3085" w:type="dxa"/>
            <w:tcBorders>
              <w:top w:val="nil"/>
              <w:bottom w:val="nil"/>
            </w:tcBorders>
            <w:tcMar>
              <w:top w:w="0" w:type="dxa"/>
              <w:left w:w="100" w:type="dxa"/>
              <w:bottom w:w="0" w:type="dxa"/>
              <w:right w:w="100" w:type="dxa"/>
            </w:tcMar>
          </w:tcPr>
          <w:p w14:paraId="4CE6C5B7"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NG</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2537" w:type="dxa"/>
            <w:tcBorders>
              <w:top w:val="nil"/>
              <w:bottom w:val="nil"/>
            </w:tcBorders>
            <w:tcMar>
              <w:top w:w="0" w:type="dxa"/>
              <w:left w:w="100" w:type="dxa"/>
              <w:bottom w:w="0" w:type="dxa"/>
              <w:right w:w="100" w:type="dxa"/>
            </w:tcMar>
          </w:tcPr>
          <w:p w14:paraId="4C3BD153" w14:textId="77777777" w:rsidR="00DA7E40" w:rsidRPr="00D800F0" w:rsidRDefault="00DA7E40" w:rsidP="0000614D">
            <w:pPr>
              <w:spacing w:line="256" w:lineRule="auto"/>
              <w:jc w:val="center"/>
              <w:rPr>
                <w:rFonts w:ascii="Arial" w:hAnsi="Arial" w:cs="Arial"/>
              </w:rPr>
            </w:pPr>
            <w:r w:rsidRPr="00D800F0">
              <w:rPr>
                <w:rFonts w:ascii="Arial" w:hAnsi="Arial" w:cs="Arial"/>
              </w:rPr>
              <w:t>uniform(0.389, 0.988)</w:t>
            </w:r>
          </w:p>
        </w:tc>
        <w:tc>
          <w:tcPr>
            <w:tcW w:w="1936" w:type="dxa"/>
            <w:tcBorders>
              <w:top w:val="nil"/>
              <w:bottom w:val="nil"/>
            </w:tcBorders>
            <w:tcMar>
              <w:top w:w="0" w:type="dxa"/>
              <w:left w:w="100" w:type="dxa"/>
              <w:bottom w:w="0" w:type="dxa"/>
              <w:right w:w="100" w:type="dxa"/>
            </w:tcMar>
          </w:tcPr>
          <w:p w14:paraId="2DDA40CF" w14:textId="77777777" w:rsidR="00DA7E40" w:rsidRPr="00D800F0" w:rsidRDefault="00DA7E40" w:rsidP="0000614D">
            <w:pPr>
              <w:spacing w:line="256" w:lineRule="auto"/>
              <w:jc w:val="center"/>
              <w:rPr>
                <w:rFonts w:ascii="Arial" w:hAnsi="Arial" w:cs="Arial"/>
              </w:rPr>
            </w:pPr>
            <w:r w:rsidRPr="00D800F0">
              <w:rPr>
                <w:rFonts w:ascii="Arial" w:hAnsi="Arial" w:cs="Arial"/>
              </w:rPr>
              <w:t>Kg CO2/Kg H2</w:t>
            </w:r>
          </w:p>
        </w:tc>
        <w:tc>
          <w:tcPr>
            <w:tcW w:w="1802" w:type="dxa"/>
            <w:tcBorders>
              <w:top w:val="nil"/>
              <w:bottom w:val="nil"/>
            </w:tcBorders>
            <w:tcMar>
              <w:top w:w="0" w:type="dxa"/>
              <w:left w:w="100" w:type="dxa"/>
              <w:bottom w:w="0" w:type="dxa"/>
              <w:right w:w="100" w:type="dxa"/>
            </w:tcMar>
          </w:tcPr>
          <w:p w14:paraId="28F50F01" w14:textId="77777777" w:rsidR="00DA7E40" w:rsidRPr="00D800F0" w:rsidRDefault="00DA7E40" w:rsidP="0000614D">
            <w:pPr>
              <w:spacing w:line="256" w:lineRule="auto"/>
              <w:jc w:val="center"/>
              <w:rPr>
                <w:rFonts w:ascii="Arial" w:hAnsi="Arial" w:cs="Arial"/>
              </w:rPr>
            </w:pPr>
            <w:r w:rsidRPr="00D800F0">
              <w:rPr>
                <w:rFonts w:ascii="Arial" w:hAnsi="Arial" w:cs="Arial"/>
              </w:rPr>
              <w:t>Nicholson et al., 2021</w:t>
            </w:r>
          </w:p>
        </w:tc>
      </w:tr>
      <w:tr w:rsidR="00DA7E40" w:rsidRPr="00D800F0" w14:paraId="09D76F1E" w14:textId="77777777" w:rsidTr="0000614D">
        <w:trPr>
          <w:cantSplit/>
          <w:trHeight w:val="405"/>
        </w:trPr>
        <w:tc>
          <w:tcPr>
            <w:tcW w:w="3085" w:type="dxa"/>
            <w:tcBorders>
              <w:top w:val="nil"/>
              <w:bottom w:val="nil"/>
            </w:tcBorders>
            <w:tcMar>
              <w:top w:w="0" w:type="dxa"/>
              <w:left w:w="100" w:type="dxa"/>
              <w:bottom w:w="0" w:type="dxa"/>
              <w:right w:w="100" w:type="dxa"/>
            </w:tcMar>
          </w:tcPr>
          <w:p w14:paraId="21CDC920"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Coal</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2537" w:type="dxa"/>
            <w:tcBorders>
              <w:top w:val="nil"/>
              <w:bottom w:val="nil"/>
            </w:tcBorders>
            <w:tcMar>
              <w:top w:w="0" w:type="dxa"/>
              <w:left w:w="100" w:type="dxa"/>
              <w:bottom w:w="0" w:type="dxa"/>
              <w:right w:w="100" w:type="dxa"/>
            </w:tcMar>
          </w:tcPr>
          <w:p w14:paraId="6EA99B67" w14:textId="77777777" w:rsidR="00DA7E40" w:rsidRPr="00D800F0" w:rsidRDefault="00DA7E40" w:rsidP="0000614D">
            <w:pPr>
              <w:spacing w:line="256" w:lineRule="auto"/>
              <w:jc w:val="center"/>
              <w:rPr>
                <w:rFonts w:ascii="Arial" w:hAnsi="Arial" w:cs="Arial"/>
              </w:rPr>
            </w:pPr>
            <w:r w:rsidRPr="00D800F0">
              <w:rPr>
                <w:rFonts w:ascii="Arial" w:hAnsi="Arial" w:cs="Arial"/>
              </w:rPr>
              <w:t>uniform(1.001,1.01)</w:t>
            </w:r>
          </w:p>
        </w:tc>
        <w:tc>
          <w:tcPr>
            <w:tcW w:w="1936" w:type="dxa"/>
            <w:tcBorders>
              <w:top w:val="nil"/>
              <w:bottom w:val="nil"/>
            </w:tcBorders>
            <w:tcMar>
              <w:top w:w="0" w:type="dxa"/>
              <w:left w:w="100" w:type="dxa"/>
              <w:bottom w:w="0" w:type="dxa"/>
              <w:right w:w="100" w:type="dxa"/>
            </w:tcMar>
          </w:tcPr>
          <w:p w14:paraId="7BBBA2E5" w14:textId="77777777" w:rsidR="00DA7E40" w:rsidRPr="00D800F0" w:rsidRDefault="00DA7E40" w:rsidP="0000614D">
            <w:pPr>
              <w:spacing w:line="256" w:lineRule="auto"/>
              <w:jc w:val="center"/>
              <w:rPr>
                <w:rFonts w:ascii="Arial" w:hAnsi="Arial" w:cs="Arial"/>
              </w:rPr>
            </w:pPr>
            <w:r w:rsidRPr="00D800F0">
              <w:rPr>
                <w:rFonts w:ascii="Arial" w:hAnsi="Arial" w:cs="Arial"/>
              </w:rPr>
              <w:t>Kg CO2/Kg H2</w:t>
            </w:r>
          </w:p>
        </w:tc>
        <w:tc>
          <w:tcPr>
            <w:tcW w:w="1802" w:type="dxa"/>
            <w:tcBorders>
              <w:top w:val="nil"/>
              <w:bottom w:val="nil"/>
            </w:tcBorders>
            <w:tcMar>
              <w:top w:w="0" w:type="dxa"/>
              <w:left w:w="100" w:type="dxa"/>
              <w:bottom w:w="0" w:type="dxa"/>
              <w:right w:w="100" w:type="dxa"/>
            </w:tcMar>
          </w:tcPr>
          <w:p w14:paraId="68651B5B" w14:textId="77777777" w:rsidR="00DA7E40" w:rsidRPr="00D800F0" w:rsidRDefault="00DA7E40" w:rsidP="0000614D">
            <w:pPr>
              <w:spacing w:line="256" w:lineRule="auto"/>
              <w:jc w:val="center"/>
              <w:rPr>
                <w:rFonts w:ascii="Arial" w:hAnsi="Arial" w:cs="Arial"/>
              </w:rPr>
            </w:pPr>
            <w:r w:rsidRPr="00D800F0">
              <w:rPr>
                <w:rFonts w:ascii="Arial" w:hAnsi="Arial" w:cs="Arial"/>
              </w:rPr>
              <w:t>Nicholson et al., 2021</w:t>
            </w:r>
          </w:p>
        </w:tc>
      </w:tr>
      <w:tr w:rsidR="00DA7E40" w:rsidRPr="00D800F0" w14:paraId="7D7CF6F5" w14:textId="77777777" w:rsidTr="0000614D">
        <w:trPr>
          <w:cantSplit/>
          <w:trHeight w:val="405"/>
        </w:trPr>
        <w:tc>
          <w:tcPr>
            <w:tcW w:w="3085" w:type="dxa"/>
            <w:tcBorders>
              <w:top w:val="nil"/>
              <w:bottom w:val="nil"/>
            </w:tcBorders>
            <w:tcMar>
              <w:top w:w="0" w:type="dxa"/>
              <w:left w:w="100" w:type="dxa"/>
              <w:bottom w:w="0" w:type="dxa"/>
              <w:right w:w="100" w:type="dxa"/>
            </w:tcMar>
          </w:tcPr>
          <w:p w14:paraId="28CE8B72"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nuclear</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2537" w:type="dxa"/>
            <w:tcBorders>
              <w:top w:val="nil"/>
              <w:bottom w:val="nil"/>
            </w:tcBorders>
            <w:tcMar>
              <w:top w:w="0" w:type="dxa"/>
              <w:left w:w="100" w:type="dxa"/>
              <w:bottom w:w="0" w:type="dxa"/>
              <w:right w:w="100" w:type="dxa"/>
            </w:tcMar>
          </w:tcPr>
          <w:p w14:paraId="16C85B13" w14:textId="77777777" w:rsidR="00DA7E40" w:rsidRPr="00D800F0" w:rsidRDefault="00DA7E40" w:rsidP="0000614D">
            <w:pPr>
              <w:spacing w:line="256" w:lineRule="auto"/>
              <w:jc w:val="center"/>
              <w:rPr>
                <w:rFonts w:ascii="Arial" w:hAnsi="Arial" w:cs="Arial"/>
              </w:rPr>
            </w:pPr>
            <w:r w:rsidRPr="00D800F0">
              <w:rPr>
                <w:rFonts w:ascii="Arial" w:hAnsi="Arial" w:cs="Arial"/>
              </w:rPr>
              <w:t>uniform(0.012, 0.220)</w:t>
            </w:r>
          </w:p>
        </w:tc>
        <w:tc>
          <w:tcPr>
            <w:tcW w:w="1936" w:type="dxa"/>
            <w:tcBorders>
              <w:top w:val="nil"/>
              <w:bottom w:val="nil"/>
            </w:tcBorders>
            <w:tcMar>
              <w:top w:w="0" w:type="dxa"/>
              <w:left w:w="100" w:type="dxa"/>
              <w:bottom w:w="0" w:type="dxa"/>
              <w:right w:w="100" w:type="dxa"/>
            </w:tcMar>
          </w:tcPr>
          <w:p w14:paraId="1F5AA665" w14:textId="77777777" w:rsidR="00DA7E40" w:rsidRPr="00D800F0" w:rsidRDefault="00DA7E40" w:rsidP="0000614D">
            <w:pPr>
              <w:spacing w:line="256" w:lineRule="auto"/>
              <w:jc w:val="center"/>
              <w:rPr>
                <w:rFonts w:ascii="Arial" w:hAnsi="Arial" w:cs="Arial"/>
              </w:rPr>
            </w:pPr>
            <w:r w:rsidRPr="00D800F0">
              <w:rPr>
                <w:rFonts w:ascii="Arial" w:hAnsi="Arial" w:cs="Arial"/>
              </w:rPr>
              <w:t>Kg CO2/Kg H2</w:t>
            </w:r>
          </w:p>
        </w:tc>
        <w:tc>
          <w:tcPr>
            <w:tcW w:w="1802" w:type="dxa"/>
            <w:tcBorders>
              <w:top w:val="nil"/>
              <w:bottom w:val="nil"/>
            </w:tcBorders>
            <w:tcMar>
              <w:top w:w="0" w:type="dxa"/>
              <w:left w:w="100" w:type="dxa"/>
              <w:bottom w:w="0" w:type="dxa"/>
              <w:right w:w="100" w:type="dxa"/>
            </w:tcMar>
          </w:tcPr>
          <w:p w14:paraId="73AE36E5" w14:textId="77777777" w:rsidR="00DA7E40" w:rsidRPr="00D800F0" w:rsidRDefault="00DA7E40" w:rsidP="0000614D">
            <w:pPr>
              <w:spacing w:line="256" w:lineRule="auto"/>
              <w:jc w:val="center"/>
              <w:rPr>
                <w:rFonts w:ascii="Arial" w:hAnsi="Arial" w:cs="Arial"/>
              </w:rPr>
            </w:pPr>
            <w:r w:rsidRPr="00D800F0">
              <w:rPr>
                <w:rFonts w:ascii="Arial" w:hAnsi="Arial" w:cs="Arial"/>
              </w:rPr>
              <w:t>Nicholson et al., 2021</w:t>
            </w:r>
          </w:p>
        </w:tc>
      </w:tr>
      <w:tr w:rsidR="00DA7E40" w:rsidRPr="00D800F0" w14:paraId="391E7743" w14:textId="77777777" w:rsidTr="0000614D">
        <w:trPr>
          <w:cantSplit/>
          <w:trHeight w:val="462"/>
        </w:trPr>
        <w:tc>
          <w:tcPr>
            <w:tcW w:w="3085" w:type="dxa"/>
            <w:tcBorders>
              <w:top w:val="nil"/>
              <w:bottom w:val="single" w:sz="4" w:space="0" w:color="auto"/>
            </w:tcBorders>
            <w:tcMar>
              <w:top w:w="0" w:type="dxa"/>
              <w:left w:w="100" w:type="dxa"/>
              <w:bottom w:w="0" w:type="dxa"/>
              <w:right w:w="100" w:type="dxa"/>
            </w:tcMar>
          </w:tcPr>
          <w:p w14:paraId="3E1B1A4D"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X</m:t>
                    </m:r>
                  </m:e>
                  <m:sub>
                    <m:r>
                      <m:rPr>
                        <m:sty m:val="bi"/>
                      </m:rPr>
                      <w:rPr>
                        <w:rFonts w:ascii="Cambria Math" w:eastAsia="Cambria Math" w:hAnsi="Cambria Math" w:cs="Arial"/>
                      </w:rPr>
                      <m:t>renewables</m:t>
                    </m:r>
                  </m:sub>
                </m:sSub>
                <m:d>
                  <m:dPr>
                    <m:ctrlPr>
                      <w:rPr>
                        <w:rFonts w:ascii="Cambria Math" w:eastAsia="Cambria Math" w:hAnsi="Cambria Math" w:cs="Arial"/>
                        <w:b/>
                        <w:bCs/>
                      </w:rPr>
                    </m:ctrlPr>
                  </m:dPr>
                  <m:e>
                    <m:r>
                      <m:rPr>
                        <m:sty m:val="bi"/>
                      </m:rPr>
                      <w:rPr>
                        <w:rFonts w:ascii="Cambria Math" w:eastAsia="Cambria Math" w:hAnsi="Cambria Math" w:cs="Arial"/>
                      </w:rPr>
                      <m:t>T</m:t>
                    </m:r>
                  </m:e>
                </m:d>
              </m:oMath>
            </m:oMathPara>
          </w:p>
        </w:tc>
        <w:tc>
          <w:tcPr>
            <w:tcW w:w="2537" w:type="dxa"/>
            <w:tcBorders>
              <w:top w:val="nil"/>
              <w:bottom w:val="single" w:sz="4" w:space="0" w:color="auto"/>
            </w:tcBorders>
            <w:tcMar>
              <w:top w:w="0" w:type="dxa"/>
              <w:left w:w="100" w:type="dxa"/>
              <w:bottom w:w="0" w:type="dxa"/>
              <w:right w:w="100" w:type="dxa"/>
            </w:tcMar>
          </w:tcPr>
          <w:p w14:paraId="30CCDB35" w14:textId="77777777" w:rsidR="00DA7E40" w:rsidRPr="00D800F0" w:rsidRDefault="00DA7E40" w:rsidP="0000614D">
            <w:pPr>
              <w:spacing w:line="256" w:lineRule="auto"/>
              <w:jc w:val="center"/>
              <w:rPr>
                <w:rFonts w:ascii="Arial" w:hAnsi="Arial" w:cs="Arial"/>
              </w:rPr>
            </w:pPr>
            <w:r w:rsidRPr="00D800F0">
              <w:rPr>
                <w:rFonts w:ascii="Arial" w:hAnsi="Arial" w:cs="Arial"/>
              </w:rPr>
              <w:t>0</w:t>
            </w:r>
          </w:p>
        </w:tc>
        <w:tc>
          <w:tcPr>
            <w:tcW w:w="1936" w:type="dxa"/>
            <w:tcBorders>
              <w:top w:val="nil"/>
              <w:bottom w:val="single" w:sz="4" w:space="0" w:color="auto"/>
            </w:tcBorders>
            <w:tcMar>
              <w:top w:w="0" w:type="dxa"/>
              <w:left w:w="100" w:type="dxa"/>
              <w:bottom w:w="0" w:type="dxa"/>
              <w:right w:w="100" w:type="dxa"/>
            </w:tcMar>
          </w:tcPr>
          <w:p w14:paraId="3E0254EC" w14:textId="77777777" w:rsidR="00DA7E40" w:rsidRPr="00D800F0" w:rsidRDefault="00DA7E40" w:rsidP="0000614D">
            <w:pPr>
              <w:spacing w:line="256" w:lineRule="auto"/>
              <w:jc w:val="center"/>
              <w:rPr>
                <w:rFonts w:ascii="Arial" w:hAnsi="Arial" w:cs="Arial"/>
              </w:rPr>
            </w:pPr>
            <w:r w:rsidRPr="00D800F0">
              <w:rPr>
                <w:rFonts w:ascii="Arial" w:hAnsi="Arial" w:cs="Arial"/>
              </w:rPr>
              <w:t>Kg CO2/Kg H2</w:t>
            </w:r>
          </w:p>
        </w:tc>
        <w:tc>
          <w:tcPr>
            <w:tcW w:w="1802" w:type="dxa"/>
            <w:tcBorders>
              <w:top w:val="nil"/>
              <w:bottom w:val="single" w:sz="4" w:space="0" w:color="auto"/>
            </w:tcBorders>
            <w:tcMar>
              <w:top w:w="0" w:type="dxa"/>
              <w:left w:w="100" w:type="dxa"/>
              <w:bottom w:w="0" w:type="dxa"/>
              <w:right w:w="100" w:type="dxa"/>
            </w:tcMar>
          </w:tcPr>
          <w:p w14:paraId="7A80C550" w14:textId="77777777" w:rsidR="00DA7E40" w:rsidRPr="00D800F0" w:rsidRDefault="00DA7E40" w:rsidP="0000614D">
            <w:pPr>
              <w:spacing w:line="256" w:lineRule="auto"/>
              <w:jc w:val="center"/>
              <w:rPr>
                <w:rFonts w:ascii="Arial" w:hAnsi="Arial" w:cs="Arial"/>
              </w:rPr>
            </w:pPr>
            <w:r w:rsidRPr="00D800F0">
              <w:rPr>
                <w:rFonts w:ascii="Arial" w:hAnsi="Arial" w:cs="Arial"/>
              </w:rPr>
              <w:t>Nicholson et al., 2021</w:t>
            </w:r>
          </w:p>
        </w:tc>
      </w:tr>
    </w:tbl>
    <w:p w14:paraId="60D22014" w14:textId="77777777" w:rsidR="00DA7E40" w:rsidRPr="00D800F0" w:rsidRDefault="00DA7E40" w:rsidP="00DA7E40">
      <w:pPr>
        <w:rPr>
          <w:rFonts w:ascii="Arial" w:hAnsi="Arial" w:cs="Arial"/>
        </w:rPr>
      </w:pPr>
    </w:p>
    <w:p w14:paraId="782577D4"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C</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5</w:t>
      </w:r>
      <w:r w:rsidRPr="00D800F0">
        <w:rPr>
          <w:rFonts w:ascii="Arial" w:hAnsi="Arial" w:cs="Arial"/>
          <w:noProof/>
        </w:rPr>
        <w:fldChar w:fldCharType="end"/>
      </w:r>
      <w:r w:rsidRPr="00D800F0">
        <w:rPr>
          <w:rFonts w:ascii="Arial" w:hAnsi="Arial" w:cs="Arial"/>
        </w:rPr>
        <w:t>: Financial inputs</w:t>
      </w:r>
    </w:p>
    <w:tbl>
      <w:tblPr>
        <w:tblW w:w="9630" w:type="dxa"/>
        <w:tblBorders>
          <w:top w:val="single" w:sz="4" w:space="0" w:color="auto"/>
          <w:bottom w:val="single" w:sz="4" w:space="0" w:color="auto"/>
        </w:tblBorders>
        <w:tblLayout w:type="fixed"/>
        <w:tblLook w:val="0600" w:firstRow="0" w:lastRow="0" w:firstColumn="0" w:lastColumn="0" w:noHBand="1" w:noVBand="1"/>
      </w:tblPr>
      <w:tblGrid>
        <w:gridCol w:w="3085"/>
        <w:gridCol w:w="2135"/>
        <w:gridCol w:w="1710"/>
        <w:gridCol w:w="2700"/>
      </w:tblGrid>
      <w:tr w:rsidR="00DA7E40" w:rsidRPr="00D800F0" w14:paraId="7CD8C5CA" w14:textId="77777777" w:rsidTr="0000614D">
        <w:trPr>
          <w:cantSplit/>
          <w:trHeight w:val="405"/>
        </w:trPr>
        <w:tc>
          <w:tcPr>
            <w:tcW w:w="3085" w:type="dxa"/>
            <w:tcBorders>
              <w:bottom w:val="single" w:sz="4" w:space="0" w:color="auto"/>
            </w:tcBorders>
            <w:tcMar>
              <w:top w:w="0" w:type="dxa"/>
              <w:left w:w="100" w:type="dxa"/>
              <w:bottom w:w="0" w:type="dxa"/>
              <w:right w:w="100" w:type="dxa"/>
            </w:tcMar>
          </w:tcPr>
          <w:p w14:paraId="5072F4AE"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2135" w:type="dxa"/>
            <w:tcBorders>
              <w:bottom w:val="single" w:sz="4" w:space="0" w:color="auto"/>
            </w:tcBorders>
            <w:tcMar>
              <w:top w:w="0" w:type="dxa"/>
              <w:left w:w="100" w:type="dxa"/>
              <w:bottom w:w="0" w:type="dxa"/>
              <w:right w:w="100" w:type="dxa"/>
            </w:tcMar>
          </w:tcPr>
          <w:p w14:paraId="65218A01" w14:textId="77777777" w:rsidR="00DA7E40" w:rsidRPr="00D800F0" w:rsidRDefault="00DA7E40" w:rsidP="0000614D">
            <w:pPr>
              <w:spacing w:line="256" w:lineRule="auto"/>
              <w:jc w:val="center"/>
              <w:rPr>
                <w:rFonts w:ascii="Arial" w:hAnsi="Arial" w:cs="Arial"/>
                <w:b/>
              </w:rPr>
            </w:pPr>
            <w:r w:rsidRPr="00D800F0">
              <w:rPr>
                <w:rFonts w:ascii="Arial" w:hAnsi="Arial" w:cs="Arial"/>
                <w:b/>
              </w:rPr>
              <w:t>Value</w:t>
            </w:r>
          </w:p>
        </w:tc>
        <w:tc>
          <w:tcPr>
            <w:tcW w:w="1710" w:type="dxa"/>
            <w:tcBorders>
              <w:bottom w:val="single" w:sz="4" w:space="0" w:color="auto"/>
            </w:tcBorders>
            <w:tcMar>
              <w:top w:w="0" w:type="dxa"/>
              <w:left w:w="100" w:type="dxa"/>
              <w:bottom w:w="0" w:type="dxa"/>
              <w:right w:w="100" w:type="dxa"/>
            </w:tcMar>
          </w:tcPr>
          <w:p w14:paraId="52B83D8D"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2700" w:type="dxa"/>
            <w:tcBorders>
              <w:bottom w:val="single" w:sz="4" w:space="0" w:color="auto"/>
            </w:tcBorders>
            <w:tcMar>
              <w:top w:w="0" w:type="dxa"/>
              <w:left w:w="100" w:type="dxa"/>
              <w:bottom w:w="0" w:type="dxa"/>
              <w:right w:w="100" w:type="dxa"/>
            </w:tcMar>
          </w:tcPr>
          <w:p w14:paraId="011E275D"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tr w:rsidR="00DA7E40" w:rsidRPr="00D800F0" w14:paraId="682CE3C6" w14:textId="77777777" w:rsidTr="0000614D">
        <w:trPr>
          <w:cantSplit/>
          <w:trHeight w:val="417"/>
        </w:trPr>
        <w:tc>
          <w:tcPr>
            <w:tcW w:w="3085" w:type="dxa"/>
            <w:tcBorders>
              <w:top w:val="single" w:sz="4" w:space="0" w:color="auto"/>
              <w:bottom w:val="nil"/>
            </w:tcBorders>
            <w:tcMar>
              <w:top w:w="0" w:type="dxa"/>
              <w:left w:w="100" w:type="dxa"/>
              <w:bottom w:w="0" w:type="dxa"/>
              <w:right w:w="100" w:type="dxa"/>
            </w:tcMar>
          </w:tcPr>
          <w:p w14:paraId="2328E0A1"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a</m:t>
                    </m:r>
                  </m:sub>
                </m:sSub>
              </m:oMath>
            </m:oMathPara>
          </w:p>
        </w:tc>
        <w:tc>
          <w:tcPr>
            <w:tcW w:w="2135" w:type="dxa"/>
            <w:tcBorders>
              <w:top w:val="single" w:sz="4" w:space="0" w:color="auto"/>
              <w:bottom w:val="nil"/>
            </w:tcBorders>
            <w:tcMar>
              <w:top w:w="0" w:type="dxa"/>
              <w:left w:w="100" w:type="dxa"/>
              <w:bottom w:w="0" w:type="dxa"/>
              <w:right w:w="100" w:type="dxa"/>
            </w:tcMar>
          </w:tcPr>
          <w:p w14:paraId="723E4472" w14:textId="77777777" w:rsidR="00DA7E40" w:rsidRPr="00D800F0" w:rsidRDefault="00DA7E40" w:rsidP="0000614D">
            <w:pPr>
              <w:spacing w:line="256" w:lineRule="auto"/>
              <w:jc w:val="center"/>
              <w:rPr>
                <w:rFonts w:ascii="Arial" w:hAnsi="Arial" w:cs="Arial"/>
              </w:rPr>
            </w:pPr>
            <w:r w:rsidRPr="00D800F0">
              <w:rPr>
                <w:rFonts w:ascii="Arial" w:hAnsi="Arial" w:cs="Arial"/>
              </w:rPr>
              <w:t>0.9</w:t>
            </w:r>
          </w:p>
        </w:tc>
        <w:tc>
          <w:tcPr>
            <w:tcW w:w="1710" w:type="dxa"/>
            <w:tcBorders>
              <w:top w:val="single" w:sz="4" w:space="0" w:color="auto"/>
              <w:bottom w:val="nil"/>
            </w:tcBorders>
            <w:tcMar>
              <w:top w:w="0" w:type="dxa"/>
              <w:left w:w="100" w:type="dxa"/>
              <w:bottom w:w="0" w:type="dxa"/>
              <w:right w:w="100" w:type="dxa"/>
            </w:tcMar>
          </w:tcPr>
          <w:p w14:paraId="59D4BFF3"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2700" w:type="dxa"/>
            <w:tcBorders>
              <w:top w:val="single" w:sz="4" w:space="0" w:color="auto"/>
              <w:bottom w:val="nil"/>
            </w:tcBorders>
            <w:tcMar>
              <w:top w:w="0" w:type="dxa"/>
              <w:left w:w="100" w:type="dxa"/>
              <w:bottom w:w="0" w:type="dxa"/>
              <w:right w:w="100" w:type="dxa"/>
            </w:tcMar>
          </w:tcPr>
          <w:p w14:paraId="51D4B4E7" w14:textId="77777777" w:rsidR="00DA7E40" w:rsidRPr="00D800F0" w:rsidRDefault="00DA7E40" w:rsidP="0000614D">
            <w:pPr>
              <w:spacing w:line="256" w:lineRule="auto"/>
              <w:jc w:val="center"/>
              <w:rPr>
                <w:rFonts w:ascii="Arial" w:hAnsi="Arial" w:cs="Arial"/>
              </w:rPr>
            </w:pPr>
            <w:r w:rsidRPr="00D800F0">
              <w:rPr>
                <w:rFonts w:ascii="Arial" w:hAnsi="Arial" w:cs="Arial"/>
              </w:rPr>
              <w:t>Lewis et al. 2022</w:t>
            </w:r>
          </w:p>
        </w:tc>
      </w:tr>
      <w:tr w:rsidR="00DA7E40" w:rsidRPr="00D800F0" w14:paraId="22DFD699" w14:textId="77777777" w:rsidTr="0000614D">
        <w:trPr>
          <w:cantSplit/>
          <w:trHeight w:val="630"/>
        </w:trPr>
        <w:tc>
          <w:tcPr>
            <w:tcW w:w="3085" w:type="dxa"/>
            <w:tcBorders>
              <w:top w:val="nil"/>
              <w:bottom w:val="nil"/>
            </w:tcBorders>
            <w:tcMar>
              <w:top w:w="0" w:type="dxa"/>
              <w:left w:w="100" w:type="dxa"/>
              <w:bottom w:w="0" w:type="dxa"/>
              <w:right w:w="100" w:type="dxa"/>
            </w:tcMar>
          </w:tcPr>
          <w:p w14:paraId="1D2B0550" w14:textId="77777777" w:rsidR="00DA7E40" w:rsidRPr="00D800F0" w:rsidRDefault="00000000" w:rsidP="0000614D">
            <w:pPr>
              <w:spacing w:line="256" w:lineRule="auto"/>
              <w:jc w:val="center"/>
              <w:rPr>
                <w:rFonts w:ascii="Arial" w:hAnsi="Arial" w:cs="Arial"/>
                <w:b/>
                <w:bCs/>
              </w:rPr>
            </w:pPr>
            <m:oMathPara>
              <m:oMath>
                <m:sSub>
                  <m:sSubPr>
                    <m:ctrlPr>
                      <w:rPr>
                        <w:rFonts w:ascii="Cambria Math" w:hAnsi="Cambria Math" w:cs="Arial"/>
                        <w:b/>
                        <w:bCs/>
                        <w:i/>
                      </w:rPr>
                    </m:ctrlPr>
                  </m:sSubPr>
                  <m:e>
                    <m:r>
                      <m:rPr>
                        <m:sty m:val="bi"/>
                      </m:rPr>
                      <w:rPr>
                        <w:rFonts w:ascii="Cambria Math" w:hAnsi="Cambria Math" w:cs="Arial"/>
                      </w:rPr>
                      <m:t>Y</m:t>
                    </m:r>
                  </m:e>
                  <m:sub>
                    <m:r>
                      <m:rPr>
                        <m:sty m:val="bi"/>
                      </m:rPr>
                      <w:rPr>
                        <w:rFonts w:ascii="Cambria Math" w:hAnsi="Cambria Math" w:cs="Arial"/>
                      </w:rPr>
                      <m:t>1</m:t>
                    </m:r>
                  </m:sub>
                </m:sSub>
                <m:r>
                  <m:rPr>
                    <m:sty m:val="bi"/>
                  </m:rPr>
                  <w:rPr>
                    <w:rFonts w:ascii="Cambria Math" w:hAnsi="Cambria Math" w:cs="Arial"/>
                  </w:rPr>
                  <m:t>,</m:t>
                </m:r>
                <m:sSub>
                  <m:sSubPr>
                    <m:ctrlPr>
                      <w:rPr>
                        <w:rFonts w:ascii="Cambria Math" w:hAnsi="Cambria Math" w:cs="Arial"/>
                        <w:b/>
                        <w:bCs/>
                        <w:i/>
                      </w:rPr>
                    </m:ctrlPr>
                  </m:sSubPr>
                  <m:e>
                    <m:r>
                      <m:rPr>
                        <m:sty m:val="bi"/>
                      </m:rPr>
                      <w:rPr>
                        <w:rFonts w:ascii="Cambria Math" w:hAnsi="Cambria Math" w:cs="Arial"/>
                      </w:rPr>
                      <m:t>Y</m:t>
                    </m:r>
                  </m:e>
                  <m:sub>
                    <m:r>
                      <m:rPr>
                        <m:sty m:val="bi"/>
                      </m:rPr>
                      <w:rPr>
                        <w:rFonts w:ascii="Cambria Math" w:hAnsi="Cambria Math" w:cs="Arial"/>
                      </w:rPr>
                      <m:t>2</m:t>
                    </m:r>
                  </m:sub>
                </m:sSub>
                <m:r>
                  <m:rPr>
                    <m:sty m:val="bi"/>
                  </m:rPr>
                  <w:rPr>
                    <w:rFonts w:ascii="Cambria Math" w:hAnsi="Cambria Math" w:cs="Arial"/>
                  </w:rPr>
                  <m:t>,</m:t>
                </m:r>
                <m:sSub>
                  <m:sSubPr>
                    <m:ctrlPr>
                      <w:rPr>
                        <w:rFonts w:ascii="Cambria Math" w:hAnsi="Cambria Math" w:cs="Arial"/>
                        <w:b/>
                        <w:bCs/>
                        <w:i/>
                      </w:rPr>
                    </m:ctrlPr>
                  </m:sSubPr>
                  <m:e>
                    <m:r>
                      <m:rPr>
                        <m:sty m:val="bi"/>
                      </m:rPr>
                      <w:rPr>
                        <w:rFonts w:ascii="Cambria Math" w:hAnsi="Cambria Math" w:cs="Arial"/>
                      </w:rPr>
                      <m:t>Y</m:t>
                    </m:r>
                  </m:e>
                  <m:sub>
                    <m:r>
                      <m:rPr>
                        <m:sty m:val="bi"/>
                      </m:rPr>
                      <w:rPr>
                        <w:rFonts w:ascii="Cambria Math" w:hAnsi="Cambria Math" w:cs="Arial"/>
                      </w:rPr>
                      <m:t>3</m:t>
                    </m:r>
                  </m:sub>
                </m:sSub>
              </m:oMath>
            </m:oMathPara>
          </w:p>
        </w:tc>
        <w:tc>
          <w:tcPr>
            <w:tcW w:w="2135" w:type="dxa"/>
            <w:tcBorders>
              <w:top w:val="nil"/>
              <w:bottom w:val="nil"/>
            </w:tcBorders>
            <w:tcMar>
              <w:top w:w="0" w:type="dxa"/>
              <w:left w:w="100" w:type="dxa"/>
              <w:bottom w:w="0" w:type="dxa"/>
              <w:right w:w="100" w:type="dxa"/>
            </w:tcMar>
          </w:tcPr>
          <w:p w14:paraId="1677947F" w14:textId="77777777" w:rsidR="00DA7E40" w:rsidRPr="00D800F0" w:rsidRDefault="00DA7E40" w:rsidP="0000614D">
            <w:pPr>
              <w:spacing w:line="256" w:lineRule="auto"/>
              <w:jc w:val="center"/>
              <w:rPr>
                <w:rFonts w:ascii="Arial" w:hAnsi="Arial" w:cs="Arial"/>
              </w:rPr>
            </w:pPr>
            <w:r w:rsidRPr="00D800F0">
              <w:rPr>
                <w:rFonts w:ascii="Arial" w:hAnsi="Arial" w:cs="Arial"/>
              </w:rPr>
              <w:t>10%, 60%, 30%</w:t>
            </w:r>
          </w:p>
        </w:tc>
        <w:tc>
          <w:tcPr>
            <w:tcW w:w="1710" w:type="dxa"/>
            <w:tcBorders>
              <w:top w:val="nil"/>
              <w:bottom w:val="nil"/>
            </w:tcBorders>
            <w:tcMar>
              <w:top w:w="0" w:type="dxa"/>
              <w:left w:w="100" w:type="dxa"/>
              <w:bottom w:w="0" w:type="dxa"/>
              <w:right w:w="100" w:type="dxa"/>
            </w:tcMar>
          </w:tcPr>
          <w:p w14:paraId="04889C17"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2700" w:type="dxa"/>
            <w:tcBorders>
              <w:top w:val="nil"/>
              <w:bottom w:val="nil"/>
            </w:tcBorders>
            <w:tcMar>
              <w:top w:w="0" w:type="dxa"/>
              <w:left w:w="100" w:type="dxa"/>
              <w:bottom w:w="0" w:type="dxa"/>
              <w:right w:w="100" w:type="dxa"/>
            </w:tcMar>
          </w:tcPr>
          <w:p w14:paraId="07D8CA91" w14:textId="77777777" w:rsidR="00DA7E40" w:rsidRPr="00D800F0" w:rsidRDefault="00DA7E40" w:rsidP="0000614D">
            <w:pPr>
              <w:spacing w:line="256" w:lineRule="auto"/>
              <w:jc w:val="center"/>
              <w:rPr>
                <w:rFonts w:ascii="Arial" w:hAnsi="Arial" w:cs="Arial"/>
              </w:rPr>
            </w:pPr>
            <w:r w:rsidRPr="00D800F0">
              <w:rPr>
                <w:rFonts w:ascii="Arial" w:hAnsi="Arial" w:cs="Arial"/>
              </w:rPr>
              <w:t>Author’s assumption</w:t>
            </w:r>
          </w:p>
        </w:tc>
      </w:tr>
      <w:tr w:rsidR="00DA7E40" w:rsidRPr="00D800F0" w14:paraId="396FF649" w14:textId="77777777" w:rsidTr="0000614D">
        <w:trPr>
          <w:cantSplit/>
          <w:trHeight w:val="630"/>
        </w:trPr>
        <w:tc>
          <w:tcPr>
            <w:tcW w:w="3085" w:type="dxa"/>
            <w:tcBorders>
              <w:top w:val="nil"/>
              <w:bottom w:val="nil"/>
            </w:tcBorders>
            <w:tcMar>
              <w:top w:w="0" w:type="dxa"/>
              <w:left w:w="100" w:type="dxa"/>
              <w:bottom w:w="0" w:type="dxa"/>
              <w:right w:w="100" w:type="dxa"/>
            </w:tcMar>
          </w:tcPr>
          <w:p w14:paraId="00386EB9"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e</m:t>
                    </m:r>
                  </m:sub>
                </m:sSub>
              </m:oMath>
            </m:oMathPara>
          </w:p>
        </w:tc>
        <w:tc>
          <w:tcPr>
            <w:tcW w:w="2135" w:type="dxa"/>
            <w:tcBorders>
              <w:top w:val="nil"/>
              <w:bottom w:val="nil"/>
            </w:tcBorders>
            <w:tcMar>
              <w:top w:w="0" w:type="dxa"/>
              <w:left w:w="100" w:type="dxa"/>
              <w:bottom w:w="0" w:type="dxa"/>
              <w:right w:w="100" w:type="dxa"/>
            </w:tcMar>
          </w:tcPr>
          <w:p w14:paraId="0FFC5918" w14:textId="77777777" w:rsidR="00DA7E40" w:rsidRPr="00D800F0" w:rsidRDefault="00DA7E40" w:rsidP="0000614D">
            <w:pPr>
              <w:spacing w:line="256" w:lineRule="auto"/>
              <w:jc w:val="center"/>
              <w:rPr>
                <w:rFonts w:ascii="Arial" w:hAnsi="Arial" w:cs="Arial"/>
              </w:rPr>
            </w:pPr>
            <w:r w:rsidRPr="00D800F0">
              <w:rPr>
                <w:rFonts w:ascii="Arial" w:hAnsi="Arial" w:cs="Arial"/>
              </w:rPr>
              <w:t>12.27%</w:t>
            </w:r>
          </w:p>
        </w:tc>
        <w:tc>
          <w:tcPr>
            <w:tcW w:w="1710" w:type="dxa"/>
            <w:tcBorders>
              <w:top w:val="nil"/>
              <w:bottom w:val="nil"/>
            </w:tcBorders>
            <w:tcMar>
              <w:top w:w="0" w:type="dxa"/>
              <w:left w:w="100" w:type="dxa"/>
              <w:bottom w:w="0" w:type="dxa"/>
              <w:right w:w="100" w:type="dxa"/>
            </w:tcMar>
          </w:tcPr>
          <w:p w14:paraId="5EF2B5CD"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2700" w:type="dxa"/>
            <w:tcBorders>
              <w:top w:val="nil"/>
              <w:bottom w:val="nil"/>
            </w:tcBorders>
            <w:tcMar>
              <w:top w:w="0" w:type="dxa"/>
              <w:left w:w="100" w:type="dxa"/>
              <w:bottom w:w="0" w:type="dxa"/>
              <w:right w:w="100" w:type="dxa"/>
            </w:tcMar>
          </w:tcPr>
          <w:p w14:paraId="203557A4" w14:textId="77777777" w:rsidR="00DA7E40" w:rsidRPr="00D800F0" w:rsidRDefault="00DA7E40" w:rsidP="0000614D">
            <w:pPr>
              <w:spacing w:line="256" w:lineRule="auto"/>
              <w:jc w:val="center"/>
              <w:rPr>
                <w:rFonts w:ascii="Arial" w:hAnsi="Arial" w:cs="Arial"/>
              </w:rPr>
            </w:pPr>
            <w:r w:rsidRPr="00D800F0">
              <w:rPr>
                <w:rFonts w:ascii="Arial" w:hAnsi="Arial" w:cs="Arial"/>
              </w:rPr>
              <w:t>Damodaran et al. 2023</w:t>
            </w:r>
          </w:p>
        </w:tc>
      </w:tr>
      <w:tr w:rsidR="00DA7E40" w:rsidRPr="00D800F0" w14:paraId="435114B4" w14:textId="77777777" w:rsidTr="0000614D">
        <w:trPr>
          <w:cantSplit/>
          <w:trHeight w:val="630"/>
        </w:trPr>
        <w:tc>
          <w:tcPr>
            <w:tcW w:w="3085" w:type="dxa"/>
            <w:tcBorders>
              <w:top w:val="nil"/>
              <w:bottom w:val="nil"/>
            </w:tcBorders>
            <w:tcMar>
              <w:top w:w="0" w:type="dxa"/>
              <w:left w:w="100" w:type="dxa"/>
              <w:bottom w:w="0" w:type="dxa"/>
              <w:right w:w="100" w:type="dxa"/>
            </w:tcMar>
          </w:tcPr>
          <w:p w14:paraId="174821D8"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R</m:t>
                    </m:r>
                  </m:e>
                  <m:sub>
                    <m:r>
                      <m:rPr>
                        <m:sty m:val="bi"/>
                      </m:rPr>
                      <w:rPr>
                        <w:rFonts w:ascii="Cambria Math" w:eastAsia="Cambria Math" w:hAnsi="Cambria Math" w:cs="Arial"/>
                      </w:rPr>
                      <m:t>d</m:t>
                    </m:r>
                  </m:sub>
                </m:sSub>
              </m:oMath>
            </m:oMathPara>
          </w:p>
        </w:tc>
        <w:tc>
          <w:tcPr>
            <w:tcW w:w="2135" w:type="dxa"/>
            <w:tcBorders>
              <w:top w:val="nil"/>
              <w:bottom w:val="nil"/>
            </w:tcBorders>
            <w:tcMar>
              <w:top w:w="0" w:type="dxa"/>
              <w:left w:w="100" w:type="dxa"/>
              <w:bottom w:w="0" w:type="dxa"/>
              <w:right w:w="100" w:type="dxa"/>
            </w:tcMar>
          </w:tcPr>
          <w:p w14:paraId="45470E58" w14:textId="77777777" w:rsidR="00DA7E40" w:rsidRPr="00D800F0" w:rsidRDefault="00DA7E40" w:rsidP="0000614D">
            <w:pPr>
              <w:spacing w:line="256" w:lineRule="auto"/>
              <w:jc w:val="center"/>
              <w:rPr>
                <w:rFonts w:ascii="Arial" w:hAnsi="Arial" w:cs="Arial"/>
              </w:rPr>
            </w:pPr>
            <w:r w:rsidRPr="00D800F0">
              <w:rPr>
                <w:rFonts w:ascii="Arial" w:hAnsi="Arial" w:cs="Arial"/>
              </w:rPr>
              <w:t>5.5%</w:t>
            </w:r>
          </w:p>
        </w:tc>
        <w:tc>
          <w:tcPr>
            <w:tcW w:w="1710" w:type="dxa"/>
            <w:tcBorders>
              <w:top w:val="nil"/>
              <w:bottom w:val="nil"/>
            </w:tcBorders>
            <w:tcMar>
              <w:top w:w="0" w:type="dxa"/>
              <w:left w:w="100" w:type="dxa"/>
              <w:bottom w:w="0" w:type="dxa"/>
              <w:right w:w="100" w:type="dxa"/>
            </w:tcMar>
          </w:tcPr>
          <w:p w14:paraId="51FE2C9F"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2700" w:type="dxa"/>
            <w:tcBorders>
              <w:top w:val="nil"/>
              <w:bottom w:val="nil"/>
            </w:tcBorders>
            <w:tcMar>
              <w:top w:w="0" w:type="dxa"/>
              <w:left w:w="100" w:type="dxa"/>
              <w:bottom w:w="0" w:type="dxa"/>
              <w:right w:w="100" w:type="dxa"/>
            </w:tcMar>
          </w:tcPr>
          <w:p w14:paraId="1F02A3C2" w14:textId="77777777" w:rsidR="00DA7E40" w:rsidRPr="00D800F0" w:rsidRDefault="00DA7E40" w:rsidP="0000614D">
            <w:pPr>
              <w:spacing w:line="256" w:lineRule="auto"/>
              <w:jc w:val="center"/>
              <w:rPr>
                <w:rFonts w:ascii="Arial" w:hAnsi="Arial" w:cs="Arial"/>
              </w:rPr>
            </w:pPr>
            <w:r w:rsidRPr="00D800F0">
              <w:rPr>
                <w:rFonts w:ascii="Arial" w:hAnsi="Arial" w:cs="Arial"/>
              </w:rPr>
              <w:t>Damodaran et al. 2023</w:t>
            </w:r>
          </w:p>
        </w:tc>
      </w:tr>
      <w:tr w:rsidR="00DA7E40" w:rsidRPr="00D800F0" w14:paraId="31922C3D" w14:textId="77777777" w:rsidTr="0000614D">
        <w:trPr>
          <w:cantSplit/>
          <w:trHeight w:val="630"/>
        </w:trPr>
        <w:tc>
          <w:tcPr>
            <w:tcW w:w="3085" w:type="dxa"/>
            <w:tcBorders>
              <w:top w:val="nil"/>
              <w:bottom w:val="nil"/>
            </w:tcBorders>
            <w:tcMar>
              <w:top w:w="0" w:type="dxa"/>
              <w:left w:w="100" w:type="dxa"/>
              <w:bottom w:w="0" w:type="dxa"/>
              <w:right w:w="100" w:type="dxa"/>
            </w:tcMar>
          </w:tcPr>
          <w:p w14:paraId="18942552" w14:textId="77777777" w:rsidR="00DA7E40" w:rsidRPr="00D800F0" w:rsidRDefault="00DA7E40" w:rsidP="0000614D">
            <w:pPr>
              <w:jc w:val="center"/>
              <w:rPr>
                <w:rFonts w:ascii="Arial" w:eastAsia="Cambria Math" w:hAnsi="Arial" w:cs="Arial"/>
                <w:b/>
                <w:bCs/>
              </w:rPr>
            </w:pPr>
            <m:oMathPara>
              <m:oMath>
                <m:r>
                  <m:rPr>
                    <m:sty m:val="bi"/>
                  </m:rPr>
                  <w:rPr>
                    <w:rFonts w:ascii="Cambria Math" w:eastAsia="Cambria Math" w:hAnsi="Cambria Math" w:cs="Arial"/>
                  </w:rPr>
                  <m:t>e</m:t>
                </m:r>
              </m:oMath>
            </m:oMathPara>
          </w:p>
        </w:tc>
        <w:tc>
          <w:tcPr>
            <w:tcW w:w="2135" w:type="dxa"/>
            <w:tcBorders>
              <w:top w:val="nil"/>
              <w:bottom w:val="nil"/>
            </w:tcBorders>
            <w:tcMar>
              <w:top w:w="0" w:type="dxa"/>
              <w:left w:w="100" w:type="dxa"/>
              <w:bottom w:w="0" w:type="dxa"/>
              <w:right w:w="100" w:type="dxa"/>
            </w:tcMar>
          </w:tcPr>
          <w:p w14:paraId="06686BCC" w14:textId="77777777" w:rsidR="00DA7E40" w:rsidRPr="00D800F0" w:rsidRDefault="00DA7E40" w:rsidP="0000614D">
            <w:pPr>
              <w:spacing w:line="256" w:lineRule="auto"/>
              <w:jc w:val="center"/>
              <w:rPr>
                <w:rFonts w:ascii="Arial" w:hAnsi="Arial" w:cs="Arial"/>
              </w:rPr>
            </w:pPr>
            <w:r w:rsidRPr="00D800F0">
              <w:rPr>
                <w:rFonts w:ascii="Arial" w:hAnsi="Arial" w:cs="Arial"/>
              </w:rPr>
              <w:t>63.19%</w:t>
            </w:r>
          </w:p>
        </w:tc>
        <w:tc>
          <w:tcPr>
            <w:tcW w:w="1710" w:type="dxa"/>
            <w:tcBorders>
              <w:top w:val="nil"/>
              <w:bottom w:val="nil"/>
            </w:tcBorders>
            <w:tcMar>
              <w:top w:w="0" w:type="dxa"/>
              <w:left w:w="100" w:type="dxa"/>
              <w:bottom w:w="0" w:type="dxa"/>
              <w:right w:w="100" w:type="dxa"/>
            </w:tcMar>
          </w:tcPr>
          <w:p w14:paraId="6EFC1CA4"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2700" w:type="dxa"/>
            <w:tcBorders>
              <w:top w:val="nil"/>
              <w:bottom w:val="nil"/>
            </w:tcBorders>
            <w:tcMar>
              <w:top w:w="0" w:type="dxa"/>
              <w:left w:w="100" w:type="dxa"/>
              <w:bottom w:w="0" w:type="dxa"/>
              <w:right w:w="100" w:type="dxa"/>
            </w:tcMar>
          </w:tcPr>
          <w:p w14:paraId="58E3ADDF" w14:textId="77777777" w:rsidR="00DA7E40" w:rsidRPr="00D800F0" w:rsidRDefault="00DA7E40" w:rsidP="0000614D">
            <w:pPr>
              <w:spacing w:line="256" w:lineRule="auto"/>
              <w:jc w:val="center"/>
              <w:rPr>
                <w:rFonts w:ascii="Arial" w:hAnsi="Arial" w:cs="Arial"/>
              </w:rPr>
            </w:pPr>
            <w:r w:rsidRPr="00D800F0">
              <w:rPr>
                <w:rFonts w:ascii="Arial" w:hAnsi="Arial" w:cs="Arial"/>
              </w:rPr>
              <w:t>Damodaran et al. 2023</w:t>
            </w:r>
          </w:p>
        </w:tc>
      </w:tr>
      <w:tr w:rsidR="00DA7E40" w:rsidRPr="00D800F0" w14:paraId="006BDDDE" w14:textId="77777777" w:rsidTr="0000614D">
        <w:trPr>
          <w:cantSplit/>
          <w:trHeight w:val="630"/>
        </w:trPr>
        <w:tc>
          <w:tcPr>
            <w:tcW w:w="3085" w:type="dxa"/>
            <w:tcBorders>
              <w:top w:val="nil"/>
              <w:bottom w:val="nil"/>
            </w:tcBorders>
            <w:tcMar>
              <w:top w:w="0" w:type="dxa"/>
              <w:left w:w="100" w:type="dxa"/>
              <w:bottom w:w="0" w:type="dxa"/>
              <w:right w:w="100" w:type="dxa"/>
            </w:tcMar>
          </w:tcPr>
          <w:p w14:paraId="4FB7ED09"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hAnsi="Cambria Math" w:cs="Arial"/>
                      </w:rPr>
                      <m:t>φ</m:t>
                    </m:r>
                  </m:e>
                  <m:sub>
                    <m:r>
                      <m:rPr>
                        <m:sty m:val="bi"/>
                      </m:rPr>
                      <w:rPr>
                        <w:rFonts w:ascii="Cambria Math" w:eastAsia="Cambria Math" w:hAnsi="Cambria Math" w:cs="Arial"/>
                      </w:rPr>
                      <m:t>state</m:t>
                    </m:r>
                  </m:sub>
                </m:sSub>
              </m:oMath>
            </m:oMathPara>
          </w:p>
        </w:tc>
        <w:tc>
          <w:tcPr>
            <w:tcW w:w="2135" w:type="dxa"/>
            <w:tcBorders>
              <w:top w:val="nil"/>
              <w:bottom w:val="nil"/>
            </w:tcBorders>
            <w:tcMar>
              <w:top w:w="0" w:type="dxa"/>
              <w:left w:w="100" w:type="dxa"/>
              <w:bottom w:w="0" w:type="dxa"/>
              <w:right w:w="100" w:type="dxa"/>
            </w:tcMar>
          </w:tcPr>
          <w:p w14:paraId="5E0D5A0B" w14:textId="77777777" w:rsidR="00DA7E40" w:rsidRPr="00D800F0" w:rsidRDefault="00DA7E40" w:rsidP="0000614D">
            <w:pPr>
              <w:spacing w:line="256" w:lineRule="auto"/>
              <w:jc w:val="center"/>
              <w:rPr>
                <w:rFonts w:ascii="Arial" w:hAnsi="Arial" w:cs="Arial"/>
              </w:rPr>
            </w:pPr>
            <w:r w:rsidRPr="00D800F0">
              <w:rPr>
                <w:rFonts w:ascii="Arial" w:hAnsi="Arial" w:cs="Arial"/>
              </w:rPr>
              <w:t>5.25%</w:t>
            </w:r>
          </w:p>
        </w:tc>
        <w:tc>
          <w:tcPr>
            <w:tcW w:w="1710" w:type="dxa"/>
            <w:tcBorders>
              <w:top w:val="nil"/>
              <w:bottom w:val="nil"/>
            </w:tcBorders>
            <w:tcMar>
              <w:top w:w="0" w:type="dxa"/>
              <w:left w:w="100" w:type="dxa"/>
              <w:bottom w:w="0" w:type="dxa"/>
              <w:right w:w="100" w:type="dxa"/>
            </w:tcMar>
          </w:tcPr>
          <w:p w14:paraId="414447CA"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2700" w:type="dxa"/>
            <w:tcBorders>
              <w:top w:val="nil"/>
              <w:bottom w:val="nil"/>
            </w:tcBorders>
            <w:tcMar>
              <w:top w:w="0" w:type="dxa"/>
              <w:left w:w="100" w:type="dxa"/>
              <w:bottom w:w="0" w:type="dxa"/>
              <w:right w:w="100" w:type="dxa"/>
            </w:tcMar>
          </w:tcPr>
          <w:p w14:paraId="7382EA85" w14:textId="77777777" w:rsidR="00DA7E40" w:rsidRPr="00D800F0" w:rsidRDefault="00DA7E40" w:rsidP="0000614D">
            <w:pPr>
              <w:spacing w:line="256" w:lineRule="auto"/>
              <w:jc w:val="center"/>
              <w:rPr>
                <w:rFonts w:ascii="Arial" w:hAnsi="Arial" w:cs="Arial"/>
              </w:rPr>
            </w:pPr>
            <w:r w:rsidRPr="00D800F0">
              <w:rPr>
                <w:rFonts w:ascii="Arial" w:hAnsi="Arial" w:cs="Arial"/>
              </w:rPr>
              <w:t xml:space="preserve"> </w:t>
            </w:r>
          </w:p>
        </w:tc>
      </w:tr>
      <w:tr w:rsidR="00DA7E40" w:rsidRPr="00D800F0" w14:paraId="4F313070" w14:textId="77777777" w:rsidTr="0000614D">
        <w:trPr>
          <w:cantSplit/>
          <w:trHeight w:val="630"/>
        </w:trPr>
        <w:tc>
          <w:tcPr>
            <w:tcW w:w="3085" w:type="dxa"/>
            <w:tcBorders>
              <w:top w:val="nil"/>
              <w:bottom w:val="nil"/>
            </w:tcBorders>
            <w:tcMar>
              <w:top w:w="0" w:type="dxa"/>
              <w:left w:w="100" w:type="dxa"/>
              <w:bottom w:w="0" w:type="dxa"/>
              <w:right w:w="100" w:type="dxa"/>
            </w:tcMar>
          </w:tcPr>
          <w:p w14:paraId="452B3057"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hAnsi="Cambria Math" w:cs="Arial"/>
                      </w:rPr>
                      <m:t>φ</m:t>
                    </m:r>
                  </m:e>
                  <m:sub>
                    <m:r>
                      <m:rPr>
                        <m:sty m:val="bi"/>
                      </m:rPr>
                      <w:rPr>
                        <w:rFonts w:ascii="Cambria Math" w:eastAsia="Cambria Math" w:hAnsi="Cambria Math" w:cs="Arial"/>
                      </w:rPr>
                      <m:t>federal</m:t>
                    </m:r>
                  </m:sub>
                </m:sSub>
              </m:oMath>
            </m:oMathPara>
          </w:p>
        </w:tc>
        <w:tc>
          <w:tcPr>
            <w:tcW w:w="2135" w:type="dxa"/>
            <w:tcBorders>
              <w:top w:val="nil"/>
              <w:bottom w:val="nil"/>
            </w:tcBorders>
            <w:tcMar>
              <w:top w:w="0" w:type="dxa"/>
              <w:left w:w="100" w:type="dxa"/>
              <w:bottom w:w="0" w:type="dxa"/>
              <w:right w:w="100" w:type="dxa"/>
            </w:tcMar>
          </w:tcPr>
          <w:p w14:paraId="24EA5745" w14:textId="77777777" w:rsidR="00DA7E40" w:rsidRPr="00D800F0" w:rsidRDefault="00DA7E40" w:rsidP="0000614D">
            <w:pPr>
              <w:spacing w:line="256" w:lineRule="auto"/>
              <w:jc w:val="center"/>
              <w:rPr>
                <w:rFonts w:ascii="Arial" w:hAnsi="Arial" w:cs="Arial"/>
              </w:rPr>
            </w:pPr>
            <w:r w:rsidRPr="00D800F0">
              <w:rPr>
                <w:rFonts w:ascii="Arial" w:hAnsi="Arial" w:cs="Arial"/>
              </w:rPr>
              <w:t>21%</w:t>
            </w:r>
          </w:p>
        </w:tc>
        <w:tc>
          <w:tcPr>
            <w:tcW w:w="1710" w:type="dxa"/>
            <w:tcBorders>
              <w:top w:val="nil"/>
              <w:bottom w:val="nil"/>
            </w:tcBorders>
            <w:tcMar>
              <w:top w:w="0" w:type="dxa"/>
              <w:left w:w="100" w:type="dxa"/>
              <w:bottom w:w="0" w:type="dxa"/>
              <w:right w:w="100" w:type="dxa"/>
            </w:tcMar>
          </w:tcPr>
          <w:p w14:paraId="4D22B2F4" w14:textId="77777777" w:rsidR="00DA7E40" w:rsidRPr="00D800F0" w:rsidRDefault="00DA7E40" w:rsidP="0000614D">
            <w:pPr>
              <w:spacing w:line="256" w:lineRule="auto"/>
              <w:jc w:val="center"/>
              <w:rPr>
                <w:rFonts w:ascii="Arial" w:hAnsi="Arial" w:cs="Arial"/>
              </w:rPr>
            </w:pPr>
            <w:r w:rsidRPr="00D800F0">
              <w:rPr>
                <w:rFonts w:ascii="Arial" w:hAnsi="Arial" w:cs="Arial"/>
              </w:rPr>
              <w:t>-</w:t>
            </w:r>
          </w:p>
        </w:tc>
        <w:tc>
          <w:tcPr>
            <w:tcW w:w="2700" w:type="dxa"/>
            <w:tcBorders>
              <w:top w:val="nil"/>
              <w:bottom w:val="nil"/>
            </w:tcBorders>
            <w:tcMar>
              <w:top w:w="0" w:type="dxa"/>
              <w:left w:w="100" w:type="dxa"/>
              <w:bottom w:w="0" w:type="dxa"/>
              <w:right w:w="100" w:type="dxa"/>
            </w:tcMar>
          </w:tcPr>
          <w:p w14:paraId="47382005" w14:textId="77777777" w:rsidR="00DA7E40" w:rsidRPr="00D800F0" w:rsidRDefault="00DA7E40" w:rsidP="0000614D">
            <w:pPr>
              <w:spacing w:line="256" w:lineRule="auto"/>
              <w:jc w:val="center"/>
              <w:rPr>
                <w:rFonts w:ascii="Arial" w:hAnsi="Arial" w:cs="Arial"/>
              </w:rPr>
            </w:pPr>
          </w:p>
        </w:tc>
      </w:tr>
      <w:tr w:rsidR="00DA7E40" w:rsidRPr="00D800F0" w14:paraId="6353900B" w14:textId="77777777" w:rsidTr="0000614D">
        <w:trPr>
          <w:cantSplit/>
          <w:trHeight w:val="630"/>
        </w:trPr>
        <w:tc>
          <w:tcPr>
            <w:tcW w:w="3085" w:type="dxa"/>
            <w:tcBorders>
              <w:top w:val="nil"/>
              <w:bottom w:val="nil"/>
            </w:tcBorders>
            <w:tcMar>
              <w:top w:w="0" w:type="dxa"/>
              <w:left w:w="100" w:type="dxa"/>
              <w:bottom w:w="0" w:type="dxa"/>
              <w:right w:w="100" w:type="dxa"/>
            </w:tcMar>
          </w:tcPr>
          <w:p w14:paraId="2D1C239D"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L</m:t>
                    </m:r>
                  </m:e>
                  <m:sub>
                    <m:r>
                      <m:rPr>
                        <m:sty m:val="bi"/>
                      </m:rPr>
                      <w:rPr>
                        <w:rFonts w:ascii="Cambria Math" w:eastAsia="Cambria Math" w:hAnsi="Cambria Math" w:cs="Arial"/>
                      </w:rPr>
                      <m:t>loan</m:t>
                    </m:r>
                  </m:sub>
                </m:sSub>
              </m:oMath>
            </m:oMathPara>
          </w:p>
        </w:tc>
        <w:tc>
          <w:tcPr>
            <w:tcW w:w="2135" w:type="dxa"/>
            <w:tcBorders>
              <w:top w:val="nil"/>
              <w:bottom w:val="nil"/>
            </w:tcBorders>
            <w:tcMar>
              <w:top w:w="0" w:type="dxa"/>
              <w:left w:w="100" w:type="dxa"/>
              <w:bottom w:w="0" w:type="dxa"/>
              <w:right w:w="100" w:type="dxa"/>
            </w:tcMar>
          </w:tcPr>
          <w:p w14:paraId="2B8EF93B" w14:textId="77777777" w:rsidR="00DA7E40" w:rsidRPr="00D800F0" w:rsidRDefault="00DA7E40" w:rsidP="0000614D">
            <w:pPr>
              <w:spacing w:line="256" w:lineRule="auto"/>
              <w:jc w:val="center"/>
              <w:rPr>
                <w:rFonts w:ascii="Arial" w:hAnsi="Arial" w:cs="Arial"/>
              </w:rPr>
            </w:pPr>
            <w:r w:rsidRPr="00D800F0">
              <w:rPr>
                <w:rFonts w:ascii="Arial" w:hAnsi="Arial" w:cs="Arial"/>
              </w:rPr>
              <w:t>180</w:t>
            </w:r>
          </w:p>
        </w:tc>
        <w:tc>
          <w:tcPr>
            <w:tcW w:w="1710" w:type="dxa"/>
            <w:tcBorders>
              <w:top w:val="nil"/>
              <w:bottom w:val="nil"/>
            </w:tcBorders>
            <w:tcMar>
              <w:top w:w="0" w:type="dxa"/>
              <w:left w:w="100" w:type="dxa"/>
              <w:bottom w:w="0" w:type="dxa"/>
              <w:right w:w="100" w:type="dxa"/>
            </w:tcMar>
          </w:tcPr>
          <w:p w14:paraId="26FC12F1" w14:textId="77777777" w:rsidR="00DA7E40" w:rsidRPr="00D800F0" w:rsidRDefault="00DA7E40" w:rsidP="0000614D">
            <w:pPr>
              <w:spacing w:line="256" w:lineRule="auto"/>
              <w:jc w:val="center"/>
              <w:rPr>
                <w:rFonts w:ascii="Arial" w:hAnsi="Arial" w:cs="Arial"/>
              </w:rPr>
            </w:pPr>
            <w:r w:rsidRPr="00D800F0">
              <w:rPr>
                <w:rFonts w:ascii="Arial" w:hAnsi="Arial" w:cs="Arial"/>
              </w:rPr>
              <w:t>years</w:t>
            </w:r>
          </w:p>
        </w:tc>
        <w:tc>
          <w:tcPr>
            <w:tcW w:w="2700" w:type="dxa"/>
            <w:tcBorders>
              <w:top w:val="nil"/>
              <w:bottom w:val="nil"/>
            </w:tcBorders>
            <w:tcMar>
              <w:top w:w="0" w:type="dxa"/>
              <w:left w:w="100" w:type="dxa"/>
              <w:bottom w:w="0" w:type="dxa"/>
              <w:right w:w="100" w:type="dxa"/>
            </w:tcMar>
          </w:tcPr>
          <w:p w14:paraId="2F6F7E78" w14:textId="77777777" w:rsidR="00DA7E40" w:rsidRPr="00D800F0" w:rsidRDefault="00DA7E40" w:rsidP="0000614D">
            <w:pPr>
              <w:spacing w:line="256" w:lineRule="auto"/>
              <w:jc w:val="center"/>
              <w:rPr>
                <w:rFonts w:ascii="Arial" w:hAnsi="Arial" w:cs="Arial"/>
              </w:rPr>
            </w:pPr>
            <w:r w:rsidRPr="00D800F0">
              <w:rPr>
                <w:rFonts w:ascii="Arial" w:hAnsi="Arial" w:cs="Arial"/>
              </w:rPr>
              <w:t>Lewis et al. 2022</w:t>
            </w:r>
          </w:p>
        </w:tc>
      </w:tr>
      <w:tr w:rsidR="00DA7E40" w:rsidRPr="00D800F0" w14:paraId="0FA2A511" w14:textId="77777777" w:rsidTr="0000614D">
        <w:trPr>
          <w:cantSplit/>
          <w:trHeight w:val="630"/>
        </w:trPr>
        <w:tc>
          <w:tcPr>
            <w:tcW w:w="3085" w:type="dxa"/>
            <w:tcBorders>
              <w:top w:val="nil"/>
              <w:bottom w:val="single" w:sz="4" w:space="0" w:color="auto"/>
            </w:tcBorders>
            <w:tcMar>
              <w:top w:w="0" w:type="dxa"/>
              <w:left w:w="100" w:type="dxa"/>
              <w:bottom w:w="0" w:type="dxa"/>
              <w:right w:w="100" w:type="dxa"/>
            </w:tcMar>
          </w:tcPr>
          <w:p w14:paraId="17C9D6A8"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L</m:t>
                    </m:r>
                  </m:e>
                  <m:sub>
                    <m:r>
                      <m:rPr>
                        <m:sty m:val="bi"/>
                      </m:rPr>
                      <w:rPr>
                        <w:rFonts w:ascii="Cambria Math" w:eastAsia="Cambria Math" w:hAnsi="Cambria Math" w:cs="Arial"/>
                      </w:rPr>
                      <m:t>equipment</m:t>
                    </m:r>
                  </m:sub>
                </m:sSub>
              </m:oMath>
            </m:oMathPara>
          </w:p>
        </w:tc>
        <w:tc>
          <w:tcPr>
            <w:tcW w:w="2135" w:type="dxa"/>
            <w:tcBorders>
              <w:top w:val="nil"/>
              <w:bottom w:val="single" w:sz="4" w:space="0" w:color="auto"/>
            </w:tcBorders>
            <w:tcMar>
              <w:top w:w="0" w:type="dxa"/>
              <w:left w:w="100" w:type="dxa"/>
              <w:bottom w:w="0" w:type="dxa"/>
              <w:right w:w="100" w:type="dxa"/>
            </w:tcMar>
          </w:tcPr>
          <w:p w14:paraId="353CAAA5" w14:textId="77777777" w:rsidR="00DA7E40" w:rsidRPr="00D800F0" w:rsidRDefault="00DA7E40" w:rsidP="0000614D">
            <w:pPr>
              <w:spacing w:line="256" w:lineRule="auto"/>
              <w:jc w:val="center"/>
              <w:rPr>
                <w:rFonts w:ascii="Arial" w:hAnsi="Arial" w:cs="Arial"/>
              </w:rPr>
            </w:pPr>
            <w:r w:rsidRPr="00D800F0">
              <w:rPr>
                <w:rFonts w:ascii="Arial" w:hAnsi="Arial" w:cs="Arial"/>
              </w:rPr>
              <w:t>84</w:t>
            </w:r>
          </w:p>
        </w:tc>
        <w:tc>
          <w:tcPr>
            <w:tcW w:w="1710" w:type="dxa"/>
            <w:tcBorders>
              <w:top w:val="nil"/>
              <w:bottom w:val="single" w:sz="4" w:space="0" w:color="auto"/>
            </w:tcBorders>
            <w:tcMar>
              <w:top w:w="0" w:type="dxa"/>
              <w:left w:w="100" w:type="dxa"/>
              <w:bottom w:w="0" w:type="dxa"/>
              <w:right w:w="100" w:type="dxa"/>
            </w:tcMar>
          </w:tcPr>
          <w:p w14:paraId="736B5DF2" w14:textId="77777777" w:rsidR="00DA7E40" w:rsidRPr="00D800F0" w:rsidRDefault="00DA7E40" w:rsidP="0000614D">
            <w:pPr>
              <w:spacing w:line="256" w:lineRule="auto"/>
              <w:jc w:val="center"/>
              <w:rPr>
                <w:rFonts w:ascii="Arial" w:hAnsi="Arial" w:cs="Arial"/>
              </w:rPr>
            </w:pPr>
            <w:r w:rsidRPr="00D800F0">
              <w:rPr>
                <w:rFonts w:ascii="Arial" w:hAnsi="Arial" w:cs="Arial"/>
              </w:rPr>
              <w:t>years</w:t>
            </w:r>
          </w:p>
        </w:tc>
        <w:tc>
          <w:tcPr>
            <w:tcW w:w="2700" w:type="dxa"/>
            <w:tcBorders>
              <w:top w:val="nil"/>
              <w:bottom w:val="single" w:sz="4" w:space="0" w:color="auto"/>
            </w:tcBorders>
            <w:tcMar>
              <w:top w:w="0" w:type="dxa"/>
              <w:left w:w="100" w:type="dxa"/>
              <w:bottom w:w="0" w:type="dxa"/>
              <w:right w:w="100" w:type="dxa"/>
            </w:tcMar>
          </w:tcPr>
          <w:p w14:paraId="78FFFD3A" w14:textId="77777777" w:rsidR="00DA7E40" w:rsidRPr="00D800F0" w:rsidRDefault="00DA7E40" w:rsidP="0000614D">
            <w:pPr>
              <w:spacing w:line="256" w:lineRule="auto"/>
              <w:jc w:val="center"/>
              <w:rPr>
                <w:rFonts w:ascii="Arial" w:hAnsi="Arial" w:cs="Arial"/>
              </w:rPr>
            </w:pPr>
            <w:r w:rsidRPr="00D800F0">
              <w:rPr>
                <w:rFonts w:ascii="Arial" w:hAnsi="Arial" w:cs="Arial"/>
              </w:rPr>
              <w:t>Turton et al. 2018</w:t>
            </w:r>
          </w:p>
        </w:tc>
      </w:tr>
    </w:tbl>
    <w:p w14:paraId="6DA32E8D" w14:textId="77777777" w:rsidR="00DA7E40" w:rsidRPr="00D800F0" w:rsidRDefault="00DA7E40" w:rsidP="00DA7E40">
      <w:pPr>
        <w:rPr>
          <w:rFonts w:ascii="Arial" w:hAnsi="Arial" w:cs="Arial"/>
        </w:rPr>
      </w:pPr>
    </w:p>
    <w:p w14:paraId="283DCBF6"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C</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6</w:t>
      </w:r>
      <w:r w:rsidRPr="00D800F0">
        <w:rPr>
          <w:rFonts w:ascii="Arial" w:hAnsi="Arial" w:cs="Arial"/>
          <w:noProof/>
        </w:rPr>
        <w:fldChar w:fldCharType="end"/>
      </w:r>
      <w:r w:rsidRPr="00D800F0">
        <w:rPr>
          <w:rFonts w:ascii="Arial" w:hAnsi="Arial" w:cs="Arial"/>
        </w:rPr>
        <w:t>: IRA Inputs</w:t>
      </w:r>
    </w:p>
    <w:tbl>
      <w:tblPr>
        <w:tblW w:w="8958" w:type="dxa"/>
        <w:tblBorders>
          <w:top w:val="single" w:sz="4" w:space="0" w:color="auto"/>
          <w:bottom w:val="single" w:sz="4" w:space="0" w:color="auto"/>
        </w:tblBorders>
        <w:tblLayout w:type="fixed"/>
        <w:tblLook w:val="0600" w:firstRow="0" w:lastRow="0" w:firstColumn="0" w:lastColumn="0" w:noHBand="1" w:noVBand="1"/>
      </w:tblPr>
      <w:tblGrid>
        <w:gridCol w:w="3085"/>
        <w:gridCol w:w="2135"/>
        <w:gridCol w:w="1936"/>
        <w:gridCol w:w="1802"/>
      </w:tblGrid>
      <w:tr w:rsidR="00DA7E40" w:rsidRPr="00D800F0" w14:paraId="6A0A22F7" w14:textId="77777777" w:rsidTr="0000614D">
        <w:trPr>
          <w:cantSplit/>
          <w:trHeight w:val="405"/>
        </w:trPr>
        <w:tc>
          <w:tcPr>
            <w:tcW w:w="3085" w:type="dxa"/>
            <w:tcBorders>
              <w:bottom w:val="single" w:sz="4" w:space="0" w:color="auto"/>
            </w:tcBorders>
            <w:tcMar>
              <w:top w:w="0" w:type="dxa"/>
              <w:left w:w="100" w:type="dxa"/>
              <w:bottom w:w="0" w:type="dxa"/>
              <w:right w:w="100" w:type="dxa"/>
            </w:tcMar>
          </w:tcPr>
          <w:p w14:paraId="65C67634"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2135" w:type="dxa"/>
            <w:tcBorders>
              <w:bottom w:val="single" w:sz="4" w:space="0" w:color="auto"/>
            </w:tcBorders>
            <w:tcMar>
              <w:top w:w="0" w:type="dxa"/>
              <w:left w:w="100" w:type="dxa"/>
              <w:bottom w:w="0" w:type="dxa"/>
              <w:right w:w="100" w:type="dxa"/>
            </w:tcMar>
          </w:tcPr>
          <w:p w14:paraId="09B1A0EE" w14:textId="77777777" w:rsidR="00DA7E40" w:rsidRPr="00D800F0" w:rsidRDefault="00DA7E40" w:rsidP="0000614D">
            <w:pPr>
              <w:spacing w:line="256" w:lineRule="auto"/>
              <w:jc w:val="center"/>
              <w:rPr>
                <w:rFonts w:ascii="Arial" w:hAnsi="Arial" w:cs="Arial"/>
                <w:b/>
              </w:rPr>
            </w:pPr>
            <w:r w:rsidRPr="00D800F0">
              <w:rPr>
                <w:rFonts w:ascii="Arial" w:hAnsi="Arial" w:cs="Arial"/>
                <w:b/>
              </w:rPr>
              <w:t>Value</w:t>
            </w:r>
          </w:p>
        </w:tc>
        <w:tc>
          <w:tcPr>
            <w:tcW w:w="1936" w:type="dxa"/>
            <w:tcBorders>
              <w:bottom w:val="single" w:sz="4" w:space="0" w:color="auto"/>
            </w:tcBorders>
            <w:tcMar>
              <w:top w:w="0" w:type="dxa"/>
              <w:left w:w="100" w:type="dxa"/>
              <w:bottom w:w="0" w:type="dxa"/>
              <w:right w:w="100" w:type="dxa"/>
            </w:tcMar>
          </w:tcPr>
          <w:p w14:paraId="7E777D7C"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1802" w:type="dxa"/>
            <w:tcBorders>
              <w:bottom w:val="single" w:sz="4" w:space="0" w:color="auto"/>
            </w:tcBorders>
            <w:tcMar>
              <w:top w:w="0" w:type="dxa"/>
              <w:left w:w="100" w:type="dxa"/>
              <w:bottom w:w="0" w:type="dxa"/>
              <w:right w:w="100" w:type="dxa"/>
            </w:tcMar>
          </w:tcPr>
          <w:p w14:paraId="4915F2A3"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tr w:rsidR="00DA7E40" w:rsidRPr="00D800F0" w14:paraId="3F3C9B8C" w14:textId="77777777" w:rsidTr="0000614D">
        <w:trPr>
          <w:cantSplit/>
          <w:trHeight w:val="392"/>
        </w:trPr>
        <w:tc>
          <w:tcPr>
            <w:tcW w:w="3085" w:type="dxa"/>
            <w:tcBorders>
              <w:top w:val="single" w:sz="4" w:space="0" w:color="auto"/>
              <w:bottom w:val="nil"/>
            </w:tcBorders>
            <w:tcMar>
              <w:top w:w="0" w:type="dxa"/>
              <w:left w:w="100" w:type="dxa"/>
              <w:bottom w:w="0" w:type="dxa"/>
              <w:right w:w="100" w:type="dxa"/>
            </w:tcMar>
          </w:tcPr>
          <w:p w14:paraId="21EC5013" w14:textId="77777777" w:rsidR="00DA7E40" w:rsidRPr="00D800F0" w:rsidRDefault="00000000" w:rsidP="0000614D">
            <w:pPr>
              <w:spacing w:line="256" w:lineRule="auto"/>
              <w:jc w:val="center"/>
              <w:rPr>
                <w:rFonts w:ascii="Arial"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V</m:t>
                    </m:r>
                  </m:sub>
                </m:sSub>
                <m:r>
                  <m:rPr>
                    <m:sty m:val="b"/>
                  </m:rPr>
                  <w:rPr>
                    <w:rFonts w:ascii="Cambria Math" w:hAnsi="Cambria Math" w:cs="Arial"/>
                  </w:rPr>
                  <m:t>(0 – 0.45</m:t>
                </m:r>
                <m:f>
                  <m:fPr>
                    <m:ctrlPr>
                      <w:rPr>
                        <w:rFonts w:ascii="Cambria Math" w:hAnsi="Cambria Math" w:cs="Arial"/>
                        <w:b/>
                        <w:bCs/>
                      </w:rPr>
                    </m:ctrlPr>
                  </m:fPr>
                  <m:num>
                    <m:sSub>
                      <m:sSubPr>
                        <m:ctrlPr>
                          <w:rPr>
                            <w:rFonts w:ascii="Cambria Math" w:hAnsi="Cambria Math" w:cs="Arial"/>
                            <w:b/>
                            <w:bCs/>
                          </w:rPr>
                        </m:ctrlPr>
                      </m:sSubPr>
                      <m:e>
                        <m:r>
                          <m:rPr>
                            <m:sty m:val="b"/>
                          </m:rPr>
                          <w:rPr>
                            <w:rFonts w:ascii="Cambria Math" w:hAnsi="Cambria Math" w:cs="Arial"/>
                          </w:rPr>
                          <m:t>KgCO</m:t>
                        </m:r>
                      </m:e>
                      <m:sub>
                        <m:sSub>
                          <m:sSubPr>
                            <m:ctrlPr>
                              <w:rPr>
                                <w:rFonts w:ascii="Cambria Math" w:hAnsi="Cambria Math" w:cs="Arial"/>
                                <w:b/>
                                <w:bCs/>
                              </w:rPr>
                            </m:ctrlPr>
                          </m:sSubPr>
                          <m:e>
                            <m:r>
                              <m:rPr>
                                <m:sty m:val="b"/>
                              </m:rPr>
                              <w:rPr>
                                <w:rFonts w:ascii="Cambria Math" w:hAnsi="Cambria Math" w:cs="Arial"/>
                              </w:rPr>
                              <m:t>2</m:t>
                            </m:r>
                          </m:e>
                          <m:sub>
                            <m:r>
                              <m:rPr>
                                <m:sty m:val="b"/>
                              </m:rPr>
                              <w:rPr>
                                <w:rFonts w:ascii="Cambria Math" w:hAnsi="Cambria Math" w:cs="Arial"/>
                              </w:rPr>
                              <m:t>eq</m:t>
                            </m:r>
                          </m:sub>
                        </m:sSub>
                      </m:sub>
                    </m:sSub>
                  </m:num>
                  <m:den>
                    <m:sSub>
                      <m:sSubPr>
                        <m:ctrlPr>
                          <w:rPr>
                            <w:rFonts w:ascii="Cambria Math" w:hAnsi="Cambria Math" w:cs="Arial"/>
                            <w:b/>
                            <w:bCs/>
                          </w:rPr>
                        </m:ctrlPr>
                      </m:sSubPr>
                      <m:e>
                        <m:r>
                          <m:rPr>
                            <m:sty m:val="b"/>
                          </m:rPr>
                          <w:rPr>
                            <w:rFonts w:ascii="Cambria Math" w:hAnsi="Cambria Math" w:cs="Arial"/>
                          </w:rPr>
                          <m:t>Kg</m:t>
                        </m:r>
                      </m:e>
                      <m:sub>
                        <m:r>
                          <m:rPr>
                            <m:sty m:val="b"/>
                          </m:rPr>
                          <w:rPr>
                            <w:rFonts w:ascii="Cambria Math" w:hAnsi="Cambria Math" w:cs="Arial"/>
                          </w:rPr>
                          <m:t>H2</m:t>
                        </m:r>
                      </m:sub>
                    </m:sSub>
                  </m:den>
                </m:f>
                <m:r>
                  <m:rPr>
                    <m:sty m:val="b"/>
                  </m:rPr>
                  <w:rPr>
                    <w:rFonts w:ascii="Cambria Math" w:hAnsi="Cambria Math" w:cs="Arial"/>
                  </w:rPr>
                  <m:t>)</m:t>
                </m:r>
              </m:oMath>
            </m:oMathPara>
          </w:p>
        </w:tc>
        <w:tc>
          <w:tcPr>
            <w:tcW w:w="2135" w:type="dxa"/>
            <w:tcBorders>
              <w:top w:val="single" w:sz="4" w:space="0" w:color="auto"/>
              <w:bottom w:val="nil"/>
            </w:tcBorders>
            <w:tcMar>
              <w:top w:w="0" w:type="dxa"/>
              <w:left w:w="100" w:type="dxa"/>
              <w:bottom w:w="0" w:type="dxa"/>
              <w:right w:w="100" w:type="dxa"/>
            </w:tcMar>
          </w:tcPr>
          <w:p w14:paraId="01C8A36D" w14:textId="77777777" w:rsidR="00DA7E40" w:rsidRPr="00D800F0" w:rsidRDefault="00DA7E40" w:rsidP="0000614D">
            <w:pPr>
              <w:spacing w:line="256" w:lineRule="auto"/>
              <w:jc w:val="center"/>
              <w:rPr>
                <w:rFonts w:ascii="Arial" w:hAnsi="Arial" w:cs="Arial"/>
              </w:rPr>
            </w:pPr>
            <w:r w:rsidRPr="00D800F0">
              <w:rPr>
                <w:rFonts w:ascii="Arial" w:hAnsi="Arial" w:cs="Arial"/>
              </w:rPr>
              <w:t>3</w:t>
            </w:r>
          </w:p>
        </w:tc>
        <w:tc>
          <w:tcPr>
            <w:tcW w:w="1936" w:type="dxa"/>
            <w:tcBorders>
              <w:top w:val="single" w:sz="4" w:space="0" w:color="auto"/>
              <w:bottom w:val="nil"/>
            </w:tcBorders>
            <w:tcMar>
              <w:top w:w="0" w:type="dxa"/>
              <w:left w:w="100" w:type="dxa"/>
              <w:bottom w:w="0" w:type="dxa"/>
              <w:right w:w="100" w:type="dxa"/>
            </w:tcMar>
          </w:tcPr>
          <w:p w14:paraId="09323AC2" w14:textId="77777777" w:rsidR="00DA7E40" w:rsidRPr="00D800F0" w:rsidRDefault="00DA7E40" w:rsidP="0000614D">
            <w:pPr>
              <w:spacing w:line="256" w:lineRule="auto"/>
              <w:jc w:val="center"/>
              <w:rPr>
                <w:rFonts w:ascii="Arial" w:hAnsi="Arial" w:cs="Arial"/>
              </w:rPr>
            </w:pPr>
            <w:r w:rsidRPr="00D800F0">
              <w:rPr>
                <w:rFonts w:ascii="Arial" w:hAnsi="Arial" w:cs="Arial"/>
              </w:rPr>
              <w:t>$/Kg H2</w:t>
            </w:r>
          </w:p>
        </w:tc>
        <w:tc>
          <w:tcPr>
            <w:tcW w:w="1802" w:type="dxa"/>
            <w:tcBorders>
              <w:top w:val="single" w:sz="4" w:space="0" w:color="auto"/>
              <w:bottom w:val="nil"/>
            </w:tcBorders>
            <w:tcMar>
              <w:top w:w="0" w:type="dxa"/>
              <w:left w:w="100" w:type="dxa"/>
              <w:bottom w:w="0" w:type="dxa"/>
              <w:right w:w="100" w:type="dxa"/>
            </w:tcMar>
          </w:tcPr>
          <w:p w14:paraId="6704D3C2" w14:textId="5E94A1EE" w:rsidR="00DA7E40" w:rsidRPr="00D800F0" w:rsidRDefault="004853CE" w:rsidP="0000614D">
            <w:pPr>
              <w:spacing w:line="256" w:lineRule="auto"/>
              <w:jc w:val="center"/>
              <w:rPr>
                <w:rFonts w:ascii="Arial" w:hAnsi="Arial" w:cs="Arial"/>
              </w:rPr>
            </w:pPr>
            <w:r w:rsidRPr="00D800F0">
              <w:rPr>
                <w:rFonts w:ascii="Arial" w:hAnsi="Arial" w:cs="Arial"/>
              </w:rPr>
              <w:t xml:space="preserve">IRA </w:t>
            </w:r>
            <w:r w:rsidR="00DA7E40" w:rsidRPr="00D800F0">
              <w:rPr>
                <w:rFonts w:ascii="Arial" w:hAnsi="Arial" w:cs="Arial"/>
              </w:rPr>
              <w:t>, 2022</w:t>
            </w:r>
          </w:p>
        </w:tc>
      </w:tr>
      <w:tr w:rsidR="00DA7E40" w:rsidRPr="00D800F0" w14:paraId="67157993" w14:textId="77777777" w:rsidTr="0000614D">
        <w:trPr>
          <w:cantSplit/>
          <w:trHeight w:val="405"/>
        </w:trPr>
        <w:tc>
          <w:tcPr>
            <w:tcW w:w="3085" w:type="dxa"/>
            <w:tcBorders>
              <w:top w:val="nil"/>
              <w:bottom w:val="nil"/>
            </w:tcBorders>
            <w:tcMar>
              <w:top w:w="0" w:type="dxa"/>
              <w:left w:w="100" w:type="dxa"/>
              <w:bottom w:w="0" w:type="dxa"/>
              <w:right w:w="100" w:type="dxa"/>
            </w:tcMar>
          </w:tcPr>
          <w:p w14:paraId="132831DD" w14:textId="77777777" w:rsidR="00DA7E40" w:rsidRPr="00D800F0" w:rsidRDefault="00000000" w:rsidP="0000614D">
            <w:pPr>
              <w:spacing w:line="256" w:lineRule="auto"/>
              <w:jc w:val="center"/>
              <w:rPr>
                <w:rFonts w:ascii="Arial"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V</m:t>
                    </m:r>
                  </m:sub>
                </m:sSub>
                <m:r>
                  <m:rPr>
                    <m:sty m:val="b"/>
                  </m:rPr>
                  <w:rPr>
                    <w:rFonts w:ascii="Cambria Math" w:hAnsi="Cambria Math" w:cs="Arial"/>
                  </w:rPr>
                  <m:t>0.45 –1.5</m:t>
                </m:r>
                <m:f>
                  <m:fPr>
                    <m:ctrlPr>
                      <w:rPr>
                        <w:rFonts w:ascii="Cambria Math" w:hAnsi="Cambria Math" w:cs="Arial"/>
                        <w:b/>
                        <w:bCs/>
                      </w:rPr>
                    </m:ctrlPr>
                  </m:fPr>
                  <m:num>
                    <m:sSub>
                      <m:sSubPr>
                        <m:ctrlPr>
                          <w:rPr>
                            <w:rFonts w:ascii="Cambria Math" w:hAnsi="Cambria Math" w:cs="Arial"/>
                            <w:b/>
                            <w:bCs/>
                          </w:rPr>
                        </m:ctrlPr>
                      </m:sSubPr>
                      <m:e>
                        <m:r>
                          <m:rPr>
                            <m:sty m:val="b"/>
                          </m:rPr>
                          <w:rPr>
                            <w:rFonts w:ascii="Cambria Math" w:hAnsi="Cambria Math" w:cs="Arial"/>
                          </w:rPr>
                          <m:t>KgCO</m:t>
                        </m:r>
                      </m:e>
                      <m:sub>
                        <m:sSub>
                          <m:sSubPr>
                            <m:ctrlPr>
                              <w:rPr>
                                <w:rFonts w:ascii="Cambria Math" w:hAnsi="Cambria Math" w:cs="Arial"/>
                                <w:b/>
                                <w:bCs/>
                              </w:rPr>
                            </m:ctrlPr>
                          </m:sSubPr>
                          <m:e>
                            <m:r>
                              <m:rPr>
                                <m:sty m:val="b"/>
                              </m:rPr>
                              <w:rPr>
                                <w:rFonts w:ascii="Cambria Math" w:hAnsi="Cambria Math" w:cs="Arial"/>
                              </w:rPr>
                              <m:t>2</m:t>
                            </m:r>
                          </m:e>
                          <m:sub>
                            <m:r>
                              <m:rPr>
                                <m:sty m:val="b"/>
                              </m:rPr>
                              <w:rPr>
                                <w:rFonts w:ascii="Cambria Math" w:hAnsi="Cambria Math" w:cs="Arial"/>
                              </w:rPr>
                              <m:t>eq</m:t>
                            </m:r>
                          </m:sub>
                        </m:sSub>
                      </m:sub>
                    </m:sSub>
                  </m:num>
                  <m:den>
                    <m:sSub>
                      <m:sSubPr>
                        <m:ctrlPr>
                          <w:rPr>
                            <w:rFonts w:ascii="Cambria Math" w:hAnsi="Cambria Math" w:cs="Arial"/>
                            <w:b/>
                            <w:bCs/>
                          </w:rPr>
                        </m:ctrlPr>
                      </m:sSubPr>
                      <m:e>
                        <m:r>
                          <m:rPr>
                            <m:sty m:val="b"/>
                          </m:rPr>
                          <w:rPr>
                            <w:rFonts w:ascii="Cambria Math" w:hAnsi="Cambria Math" w:cs="Arial"/>
                          </w:rPr>
                          <m:t>Kg</m:t>
                        </m:r>
                      </m:e>
                      <m:sub>
                        <m:r>
                          <m:rPr>
                            <m:sty m:val="b"/>
                          </m:rPr>
                          <w:rPr>
                            <w:rFonts w:ascii="Cambria Math" w:hAnsi="Cambria Math" w:cs="Arial"/>
                          </w:rPr>
                          <m:t>H2</m:t>
                        </m:r>
                      </m:sub>
                    </m:sSub>
                  </m:den>
                </m:f>
                <m:r>
                  <m:rPr>
                    <m:sty m:val="b"/>
                  </m:rPr>
                  <w:rPr>
                    <w:rFonts w:ascii="Cambria Math" w:hAnsi="Cambria Math" w:cs="Arial"/>
                  </w:rPr>
                  <m:t>)</m:t>
                </m:r>
              </m:oMath>
            </m:oMathPara>
          </w:p>
        </w:tc>
        <w:tc>
          <w:tcPr>
            <w:tcW w:w="2135" w:type="dxa"/>
            <w:tcBorders>
              <w:top w:val="nil"/>
              <w:bottom w:val="nil"/>
            </w:tcBorders>
            <w:tcMar>
              <w:top w:w="0" w:type="dxa"/>
              <w:left w:w="100" w:type="dxa"/>
              <w:bottom w:w="0" w:type="dxa"/>
              <w:right w:w="100" w:type="dxa"/>
            </w:tcMar>
          </w:tcPr>
          <w:p w14:paraId="080DA343" w14:textId="77777777" w:rsidR="00DA7E40" w:rsidRPr="00D800F0" w:rsidRDefault="00DA7E40" w:rsidP="0000614D">
            <w:pPr>
              <w:spacing w:line="256" w:lineRule="auto"/>
              <w:jc w:val="center"/>
              <w:rPr>
                <w:rFonts w:ascii="Arial" w:hAnsi="Arial" w:cs="Arial"/>
              </w:rPr>
            </w:pPr>
            <w:r w:rsidRPr="00D800F0">
              <w:rPr>
                <w:rFonts w:ascii="Arial" w:hAnsi="Arial" w:cs="Arial"/>
              </w:rPr>
              <w:t>1</w:t>
            </w:r>
          </w:p>
        </w:tc>
        <w:tc>
          <w:tcPr>
            <w:tcW w:w="1936" w:type="dxa"/>
            <w:tcBorders>
              <w:top w:val="nil"/>
              <w:bottom w:val="nil"/>
            </w:tcBorders>
            <w:tcMar>
              <w:top w:w="0" w:type="dxa"/>
              <w:left w:w="100" w:type="dxa"/>
              <w:bottom w:w="0" w:type="dxa"/>
              <w:right w:w="100" w:type="dxa"/>
            </w:tcMar>
          </w:tcPr>
          <w:p w14:paraId="0E3CE8C1" w14:textId="77777777" w:rsidR="00DA7E40" w:rsidRPr="00D800F0" w:rsidRDefault="00DA7E40" w:rsidP="0000614D">
            <w:pPr>
              <w:spacing w:line="256" w:lineRule="auto"/>
              <w:jc w:val="center"/>
              <w:rPr>
                <w:rFonts w:ascii="Arial" w:hAnsi="Arial" w:cs="Arial"/>
              </w:rPr>
            </w:pPr>
            <w:r w:rsidRPr="00D800F0">
              <w:rPr>
                <w:rFonts w:ascii="Arial" w:hAnsi="Arial" w:cs="Arial"/>
              </w:rPr>
              <w:t>$/Kg H2</w:t>
            </w:r>
          </w:p>
        </w:tc>
        <w:tc>
          <w:tcPr>
            <w:tcW w:w="1802" w:type="dxa"/>
            <w:tcBorders>
              <w:top w:val="nil"/>
              <w:bottom w:val="nil"/>
            </w:tcBorders>
            <w:tcMar>
              <w:top w:w="0" w:type="dxa"/>
              <w:left w:w="100" w:type="dxa"/>
              <w:bottom w:w="0" w:type="dxa"/>
              <w:right w:w="100" w:type="dxa"/>
            </w:tcMar>
          </w:tcPr>
          <w:p w14:paraId="51B9FC6B" w14:textId="01AC21F5" w:rsidR="00DA7E40" w:rsidRPr="00D800F0" w:rsidRDefault="004853CE" w:rsidP="0000614D">
            <w:pPr>
              <w:spacing w:line="256" w:lineRule="auto"/>
              <w:jc w:val="center"/>
              <w:rPr>
                <w:rFonts w:ascii="Arial" w:hAnsi="Arial" w:cs="Arial"/>
              </w:rPr>
            </w:pPr>
            <w:r w:rsidRPr="00D800F0">
              <w:rPr>
                <w:rFonts w:ascii="Arial" w:hAnsi="Arial" w:cs="Arial"/>
              </w:rPr>
              <w:t>IRA</w:t>
            </w:r>
            <w:r w:rsidR="00DA7E40" w:rsidRPr="00D800F0">
              <w:rPr>
                <w:rFonts w:ascii="Arial" w:hAnsi="Arial" w:cs="Arial"/>
              </w:rPr>
              <w:t>, 2022</w:t>
            </w:r>
          </w:p>
        </w:tc>
      </w:tr>
      <w:tr w:rsidR="00DA7E40" w:rsidRPr="00D800F0" w14:paraId="012100EF" w14:textId="77777777" w:rsidTr="0000614D">
        <w:trPr>
          <w:cantSplit/>
          <w:trHeight w:val="405"/>
        </w:trPr>
        <w:tc>
          <w:tcPr>
            <w:tcW w:w="3085" w:type="dxa"/>
            <w:tcBorders>
              <w:top w:val="nil"/>
              <w:bottom w:val="nil"/>
            </w:tcBorders>
            <w:tcMar>
              <w:top w:w="0" w:type="dxa"/>
              <w:left w:w="100" w:type="dxa"/>
              <w:bottom w:w="0" w:type="dxa"/>
              <w:right w:w="100" w:type="dxa"/>
            </w:tcMar>
          </w:tcPr>
          <w:p w14:paraId="3DE5DB0A" w14:textId="77777777" w:rsidR="00DA7E40" w:rsidRPr="00D800F0" w:rsidRDefault="00000000" w:rsidP="0000614D">
            <w:pPr>
              <w:spacing w:line="256" w:lineRule="auto"/>
              <w:jc w:val="center"/>
              <w:rPr>
                <w:rFonts w:ascii="Arial"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V</m:t>
                    </m:r>
                  </m:sub>
                </m:sSub>
                <m:r>
                  <m:rPr>
                    <m:sty m:val="b"/>
                  </m:rPr>
                  <w:rPr>
                    <w:rFonts w:ascii="Cambria Math" w:hAnsi="Cambria Math" w:cs="Arial"/>
                  </w:rPr>
                  <m:t>(1.5 –2.5</m:t>
                </m:r>
                <m:f>
                  <m:fPr>
                    <m:ctrlPr>
                      <w:rPr>
                        <w:rFonts w:ascii="Cambria Math" w:hAnsi="Cambria Math" w:cs="Arial"/>
                        <w:b/>
                        <w:bCs/>
                      </w:rPr>
                    </m:ctrlPr>
                  </m:fPr>
                  <m:num>
                    <m:sSub>
                      <m:sSubPr>
                        <m:ctrlPr>
                          <w:rPr>
                            <w:rFonts w:ascii="Cambria Math" w:hAnsi="Cambria Math" w:cs="Arial"/>
                            <w:b/>
                            <w:bCs/>
                          </w:rPr>
                        </m:ctrlPr>
                      </m:sSubPr>
                      <m:e>
                        <m:r>
                          <m:rPr>
                            <m:sty m:val="b"/>
                          </m:rPr>
                          <w:rPr>
                            <w:rFonts w:ascii="Cambria Math" w:hAnsi="Cambria Math" w:cs="Arial"/>
                          </w:rPr>
                          <m:t>KgCO</m:t>
                        </m:r>
                      </m:e>
                      <m:sub>
                        <m:sSub>
                          <m:sSubPr>
                            <m:ctrlPr>
                              <w:rPr>
                                <w:rFonts w:ascii="Cambria Math" w:hAnsi="Cambria Math" w:cs="Arial"/>
                                <w:b/>
                                <w:bCs/>
                              </w:rPr>
                            </m:ctrlPr>
                          </m:sSubPr>
                          <m:e>
                            <m:r>
                              <m:rPr>
                                <m:sty m:val="b"/>
                              </m:rPr>
                              <w:rPr>
                                <w:rFonts w:ascii="Cambria Math" w:hAnsi="Cambria Math" w:cs="Arial"/>
                              </w:rPr>
                              <m:t>2</m:t>
                            </m:r>
                          </m:e>
                          <m:sub>
                            <m:r>
                              <m:rPr>
                                <m:sty m:val="b"/>
                              </m:rPr>
                              <w:rPr>
                                <w:rFonts w:ascii="Cambria Math" w:hAnsi="Cambria Math" w:cs="Arial"/>
                              </w:rPr>
                              <m:t>eq</m:t>
                            </m:r>
                          </m:sub>
                        </m:sSub>
                      </m:sub>
                    </m:sSub>
                  </m:num>
                  <m:den>
                    <m:sSub>
                      <m:sSubPr>
                        <m:ctrlPr>
                          <w:rPr>
                            <w:rFonts w:ascii="Cambria Math" w:hAnsi="Cambria Math" w:cs="Arial"/>
                            <w:b/>
                            <w:bCs/>
                          </w:rPr>
                        </m:ctrlPr>
                      </m:sSubPr>
                      <m:e>
                        <m:r>
                          <m:rPr>
                            <m:sty m:val="b"/>
                          </m:rPr>
                          <w:rPr>
                            <w:rFonts w:ascii="Cambria Math" w:hAnsi="Cambria Math" w:cs="Arial"/>
                          </w:rPr>
                          <m:t>Kg</m:t>
                        </m:r>
                      </m:e>
                      <m:sub>
                        <m:r>
                          <m:rPr>
                            <m:sty m:val="b"/>
                          </m:rPr>
                          <w:rPr>
                            <w:rFonts w:ascii="Cambria Math" w:hAnsi="Cambria Math" w:cs="Arial"/>
                          </w:rPr>
                          <m:t>H2</m:t>
                        </m:r>
                      </m:sub>
                    </m:sSub>
                  </m:den>
                </m:f>
                <m:r>
                  <m:rPr>
                    <m:sty m:val="b"/>
                  </m:rPr>
                  <w:rPr>
                    <w:rFonts w:ascii="Cambria Math" w:hAnsi="Cambria Math" w:cs="Arial"/>
                  </w:rPr>
                  <m:t>)</m:t>
                </m:r>
              </m:oMath>
            </m:oMathPara>
          </w:p>
        </w:tc>
        <w:tc>
          <w:tcPr>
            <w:tcW w:w="2135" w:type="dxa"/>
            <w:tcBorders>
              <w:top w:val="nil"/>
              <w:bottom w:val="nil"/>
            </w:tcBorders>
            <w:tcMar>
              <w:top w:w="0" w:type="dxa"/>
              <w:left w:w="100" w:type="dxa"/>
              <w:bottom w:w="0" w:type="dxa"/>
              <w:right w:w="100" w:type="dxa"/>
            </w:tcMar>
          </w:tcPr>
          <w:p w14:paraId="3610D1EB" w14:textId="77777777" w:rsidR="00DA7E40" w:rsidRPr="00D800F0" w:rsidRDefault="00DA7E40" w:rsidP="0000614D">
            <w:pPr>
              <w:spacing w:line="256" w:lineRule="auto"/>
              <w:jc w:val="center"/>
              <w:rPr>
                <w:rFonts w:ascii="Arial" w:hAnsi="Arial" w:cs="Arial"/>
              </w:rPr>
            </w:pPr>
            <w:r w:rsidRPr="00D800F0">
              <w:rPr>
                <w:rFonts w:ascii="Arial" w:hAnsi="Arial" w:cs="Arial"/>
              </w:rPr>
              <w:t>0.75</w:t>
            </w:r>
          </w:p>
        </w:tc>
        <w:tc>
          <w:tcPr>
            <w:tcW w:w="1936" w:type="dxa"/>
            <w:tcBorders>
              <w:top w:val="nil"/>
              <w:bottom w:val="nil"/>
            </w:tcBorders>
            <w:tcMar>
              <w:top w:w="0" w:type="dxa"/>
              <w:left w:w="100" w:type="dxa"/>
              <w:bottom w:w="0" w:type="dxa"/>
              <w:right w:w="100" w:type="dxa"/>
            </w:tcMar>
          </w:tcPr>
          <w:p w14:paraId="3E52028E" w14:textId="77777777" w:rsidR="00DA7E40" w:rsidRPr="00D800F0" w:rsidRDefault="00DA7E40" w:rsidP="0000614D">
            <w:pPr>
              <w:spacing w:line="256" w:lineRule="auto"/>
              <w:jc w:val="center"/>
              <w:rPr>
                <w:rFonts w:ascii="Arial" w:hAnsi="Arial" w:cs="Arial"/>
              </w:rPr>
            </w:pPr>
            <w:r w:rsidRPr="00D800F0">
              <w:rPr>
                <w:rFonts w:ascii="Arial" w:hAnsi="Arial" w:cs="Arial"/>
              </w:rPr>
              <w:t>$/Kg H2</w:t>
            </w:r>
          </w:p>
        </w:tc>
        <w:tc>
          <w:tcPr>
            <w:tcW w:w="1802" w:type="dxa"/>
            <w:tcBorders>
              <w:top w:val="nil"/>
              <w:bottom w:val="nil"/>
            </w:tcBorders>
            <w:tcMar>
              <w:top w:w="0" w:type="dxa"/>
              <w:left w:w="100" w:type="dxa"/>
              <w:bottom w:w="0" w:type="dxa"/>
              <w:right w:w="100" w:type="dxa"/>
            </w:tcMar>
          </w:tcPr>
          <w:p w14:paraId="6B38E7C9" w14:textId="5271CC77" w:rsidR="00DA7E40" w:rsidRPr="00D800F0" w:rsidRDefault="004853CE" w:rsidP="0000614D">
            <w:pPr>
              <w:spacing w:line="256" w:lineRule="auto"/>
              <w:jc w:val="center"/>
              <w:rPr>
                <w:rFonts w:ascii="Arial" w:hAnsi="Arial" w:cs="Arial"/>
              </w:rPr>
            </w:pPr>
            <w:r w:rsidRPr="00D800F0">
              <w:rPr>
                <w:rFonts w:ascii="Arial" w:hAnsi="Arial" w:cs="Arial"/>
              </w:rPr>
              <w:t>IRA</w:t>
            </w:r>
            <w:r w:rsidR="00DA7E40" w:rsidRPr="00D800F0">
              <w:rPr>
                <w:rFonts w:ascii="Arial" w:hAnsi="Arial" w:cs="Arial"/>
              </w:rPr>
              <w:t>, 2022</w:t>
            </w:r>
          </w:p>
        </w:tc>
      </w:tr>
      <w:tr w:rsidR="00DA7E40" w:rsidRPr="00D800F0" w14:paraId="7565BFC1" w14:textId="77777777" w:rsidTr="0000614D">
        <w:trPr>
          <w:cantSplit/>
          <w:trHeight w:val="405"/>
        </w:trPr>
        <w:tc>
          <w:tcPr>
            <w:tcW w:w="3085" w:type="dxa"/>
            <w:tcBorders>
              <w:top w:val="nil"/>
              <w:bottom w:val="nil"/>
            </w:tcBorders>
            <w:tcMar>
              <w:top w:w="0" w:type="dxa"/>
              <w:left w:w="100" w:type="dxa"/>
              <w:bottom w:w="0" w:type="dxa"/>
              <w:right w:w="100" w:type="dxa"/>
            </w:tcMar>
          </w:tcPr>
          <w:p w14:paraId="6A2D8E7D" w14:textId="77777777" w:rsidR="00DA7E40" w:rsidRPr="00D800F0" w:rsidRDefault="00000000" w:rsidP="0000614D">
            <w:pPr>
              <w:spacing w:line="256" w:lineRule="auto"/>
              <w:jc w:val="center"/>
              <w:rPr>
                <w:rFonts w:ascii="Arial" w:hAnsi="Arial" w:cs="Arial"/>
              </w:rPr>
            </w:pPr>
            <m:oMathPara>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V</m:t>
                    </m:r>
                  </m:sub>
                </m:sSub>
                <m:r>
                  <m:rPr>
                    <m:sty m:val="b"/>
                  </m:rPr>
                  <w:rPr>
                    <w:rFonts w:ascii="Cambria Math" w:hAnsi="Cambria Math" w:cs="Arial"/>
                  </w:rPr>
                  <m:t>(2.5 – 4.0</m:t>
                </m:r>
                <m:f>
                  <m:fPr>
                    <m:ctrlPr>
                      <w:rPr>
                        <w:rFonts w:ascii="Cambria Math" w:hAnsi="Cambria Math" w:cs="Arial"/>
                        <w:b/>
                        <w:bCs/>
                      </w:rPr>
                    </m:ctrlPr>
                  </m:fPr>
                  <m:num>
                    <m:sSub>
                      <m:sSubPr>
                        <m:ctrlPr>
                          <w:rPr>
                            <w:rFonts w:ascii="Cambria Math" w:hAnsi="Cambria Math" w:cs="Arial"/>
                            <w:b/>
                            <w:bCs/>
                          </w:rPr>
                        </m:ctrlPr>
                      </m:sSubPr>
                      <m:e>
                        <m:r>
                          <m:rPr>
                            <m:sty m:val="b"/>
                          </m:rPr>
                          <w:rPr>
                            <w:rFonts w:ascii="Cambria Math" w:hAnsi="Cambria Math" w:cs="Arial"/>
                          </w:rPr>
                          <m:t>KgCO</m:t>
                        </m:r>
                      </m:e>
                      <m:sub>
                        <m:sSub>
                          <m:sSubPr>
                            <m:ctrlPr>
                              <w:rPr>
                                <w:rFonts w:ascii="Cambria Math" w:hAnsi="Cambria Math" w:cs="Arial"/>
                                <w:b/>
                                <w:bCs/>
                              </w:rPr>
                            </m:ctrlPr>
                          </m:sSubPr>
                          <m:e>
                            <m:r>
                              <m:rPr>
                                <m:sty m:val="b"/>
                              </m:rPr>
                              <w:rPr>
                                <w:rFonts w:ascii="Cambria Math" w:hAnsi="Cambria Math" w:cs="Arial"/>
                              </w:rPr>
                              <m:t>2</m:t>
                            </m:r>
                          </m:e>
                          <m:sub>
                            <m:r>
                              <m:rPr>
                                <m:sty m:val="b"/>
                              </m:rPr>
                              <w:rPr>
                                <w:rFonts w:ascii="Cambria Math" w:hAnsi="Cambria Math" w:cs="Arial"/>
                              </w:rPr>
                              <m:t>eq</m:t>
                            </m:r>
                          </m:sub>
                        </m:sSub>
                      </m:sub>
                    </m:sSub>
                  </m:num>
                  <m:den>
                    <m:sSub>
                      <m:sSubPr>
                        <m:ctrlPr>
                          <w:rPr>
                            <w:rFonts w:ascii="Cambria Math" w:hAnsi="Cambria Math" w:cs="Arial"/>
                            <w:b/>
                            <w:bCs/>
                          </w:rPr>
                        </m:ctrlPr>
                      </m:sSubPr>
                      <m:e>
                        <m:r>
                          <m:rPr>
                            <m:sty m:val="b"/>
                          </m:rPr>
                          <w:rPr>
                            <w:rFonts w:ascii="Cambria Math" w:hAnsi="Cambria Math" w:cs="Arial"/>
                          </w:rPr>
                          <m:t>Kg</m:t>
                        </m:r>
                      </m:e>
                      <m:sub>
                        <m:r>
                          <m:rPr>
                            <m:sty m:val="b"/>
                          </m:rPr>
                          <w:rPr>
                            <w:rFonts w:ascii="Cambria Math" w:hAnsi="Cambria Math" w:cs="Arial"/>
                          </w:rPr>
                          <m:t>H2</m:t>
                        </m:r>
                      </m:sub>
                    </m:sSub>
                  </m:den>
                </m:f>
                <m:r>
                  <m:rPr>
                    <m:sty m:val="b"/>
                  </m:rPr>
                  <w:rPr>
                    <w:rFonts w:ascii="Cambria Math" w:hAnsi="Cambria Math" w:cs="Arial"/>
                  </w:rPr>
                  <m:t>)</m:t>
                </m:r>
              </m:oMath>
            </m:oMathPara>
          </w:p>
        </w:tc>
        <w:tc>
          <w:tcPr>
            <w:tcW w:w="2135" w:type="dxa"/>
            <w:tcBorders>
              <w:top w:val="nil"/>
              <w:bottom w:val="nil"/>
            </w:tcBorders>
            <w:tcMar>
              <w:top w:w="0" w:type="dxa"/>
              <w:left w:w="100" w:type="dxa"/>
              <w:bottom w:w="0" w:type="dxa"/>
              <w:right w:w="100" w:type="dxa"/>
            </w:tcMar>
          </w:tcPr>
          <w:p w14:paraId="70C03E0E" w14:textId="77777777" w:rsidR="00DA7E40" w:rsidRPr="00D800F0" w:rsidRDefault="00DA7E40" w:rsidP="0000614D">
            <w:pPr>
              <w:spacing w:line="256" w:lineRule="auto"/>
              <w:jc w:val="center"/>
              <w:rPr>
                <w:rFonts w:ascii="Arial" w:hAnsi="Arial" w:cs="Arial"/>
              </w:rPr>
            </w:pPr>
            <w:r w:rsidRPr="00D800F0">
              <w:rPr>
                <w:rFonts w:ascii="Arial" w:hAnsi="Arial" w:cs="Arial"/>
              </w:rPr>
              <w:t>0.6</w:t>
            </w:r>
          </w:p>
        </w:tc>
        <w:tc>
          <w:tcPr>
            <w:tcW w:w="1936" w:type="dxa"/>
            <w:tcBorders>
              <w:top w:val="nil"/>
              <w:bottom w:val="nil"/>
            </w:tcBorders>
            <w:tcMar>
              <w:top w:w="0" w:type="dxa"/>
              <w:left w:w="100" w:type="dxa"/>
              <w:bottom w:w="0" w:type="dxa"/>
              <w:right w:w="100" w:type="dxa"/>
            </w:tcMar>
          </w:tcPr>
          <w:p w14:paraId="1A1992ED" w14:textId="77777777" w:rsidR="00DA7E40" w:rsidRPr="00D800F0" w:rsidRDefault="00DA7E40" w:rsidP="0000614D">
            <w:pPr>
              <w:spacing w:line="256" w:lineRule="auto"/>
              <w:jc w:val="center"/>
              <w:rPr>
                <w:rFonts w:ascii="Arial" w:hAnsi="Arial" w:cs="Arial"/>
              </w:rPr>
            </w:pPr>
            <w:r w:rsidRPr="00D800F0">
              <w:rPr>
                <w:rFonts w:ascii="Arial" w:hAnsi="Arial" w:cs="Arial"/>
              </w:rPr>
              <w:t>$/Kg H2</w:t>
            </w:r>
          </w:p>
        </w:tc>
        <w:tc>
          <w:tcPr>
            <w:tcW w:w="1802" w:type="dxa"/>
            <w:tcBorders>
              <w:top w:val="nil"/>
              <w:bottom w:val="nil"/>
            </w:tcBorders>
            <w:tcMar>
              <w:top w:w="0" w:type="dxa"/>
              <w:left w:w="100" w:type="dxa"/>
              <w:bottom w:w="0" w:type="dxa"/>
              <w:right w:w="100" w:type="dxa"/>
            </w:tcMar>
          </w:tcPr>
          <w:p w14:paraId="6226610B" w14:textId="76A59D63" w:rsidR="00DA7E40" w:rsidRPr="00D800F0" w:rsidRDefault="004853CE" w:rsidP="0000614D">
            <w:pPr>
              <w:spacing w:line="256" w:lineRule="auto"/>
              <w:jc w:val="center"/>
              <w:rPr>
                <w:rFonts w:ascii="Arial" w:hAnsi="Arial" w:cs="Arial"/>
              </w:rPr>
            </w:pPr>
            <w:r w:rsidRPr="00D800F0">
              <w:rPr>
                <w:rFonts w:ascii="Arial" w:hAnsi="Arial" w:cs="Arial"/>
              </w:rPr>
              <w:t>IRA</w:t>
            </w:r>
            <w:r w:rsidR="00DA7E40" w:rsidRPr="00D800F0">
              <w:rPr>
                <w:rFonts w:ascii="Arial" w:hAnsi="Arial" w:cs="Arial"/>
              </w:rPr>
              <w:t>, 2022</w:t>
            </w:r>
          </w:p>
        </w:tc>
      </w:tr>
      <w:tr w:rsidR="00DA7E40" w:rsidRPr="00D800F0" w14:paraId="7D8D70AC" w14:textId="77777777" w:rsidTr="0000614D">
        <w:trPr>
          <w:cantSplit/>
          <w:trHeight w:val="405"/>
        </w:trPr>
        <w:tc>
          <w:tcPr>
            <w:tcW w:w="3085" w:type="dxa"/>
            <w:tcBorders>
              <w:top w:val="nil"/>
              <w:bottom w:val="single" w:sz="4" w:space="0" w:color="auto"/>
            </w:tcBorders>
            <w:tcMar>
              <w:top w:w="0" w:type="dxa"/>
              <w:left w:w="100" w:type="dxa"/>
              <w:bottom w:w="0" w:type="dxa"/>
              <w:right w:w="100" w:type="dxa"/>
            </w:tcMar>
          </w:tcPr>
          <w:p w14:paraId="5B7A4A5E" w14:textId="77777777" w:rsidR="00DA7E40" w:rsidRPr="00D800F0" w:rsidRDefault="00000000" w:rsidP="0000614D">
            <w:pPr>
              <w:jc w:val="center"/>
              <w:rPr>
                <w:rFonts w:ascii="Arial" w:eastAsia="Cambria Math" w:hAnsi="Arial" w:cs="Arial"/>
                <w:b/>
                <w:bCs/>
              </w:rPr>
            </w:pPr>
            <m:oMathPara>
              <m:oMath>
                <m:sSub>
                  <m:sSubPr>
                    <m:ctrlPr>
                      <w:rPr>
                        <w:rFonts w:ascii="Cambria Math" w:eastAsia="Cambria Math" w:hAnsi="Cambria Math" w:cs="Arial"/>
                        <w:b/>
                        <w:bCs/>
                      </w:rPr>
                    </m:ctrlPr>
                  </m:sSubPr>
                  <m:e>
                    <m:r>
                      <m:rPr>
                        <m:sty m:val="bi"/>
                      </m:rPr>
                      <w:rPr>
                        <w:rFonts w:ascii="Cambria Math" w:eastAsia="Cambria Math" w:hAnsi="Cambria Math" w:cs="Arial"/>
                      </w:rPr>
                      <m:t>F</m:t>
                    </m:r>
                  </m:e>
                  <m:sub>
                    <m:r>
                      <m:rPr>
                        <m:sty m:val="bi"/>
                      </m:rPr>
                      <w:rPr>
                        <w:rFonts w:ascii="Cambria Math" w:eastAsia="Cambria Math" w:hAnsi="Cambria Math" w:cs="Arial"/>
                      </w:rPr>
                      <m:t>45</m:t>
                    </m:r>
                    <m:r>
                      <m:rPr>
                        <m:sty m:val="bi"/>
                      </m:rPr>
                      <w:rPr>
                        <w:rFonts w:ascii="Cambria Math" w:eastAsia="Cambria Math" w:hAnsi="Cambria Math" w:cs="Arial"/>
                      </w:rPr>
                      <m:t>Q</m:t>
                    </m:r>
                  </m:sub>
                </m:sSub>
              </m:oMath>
            </m:oMathPara>
          </w:p>
        </w:tc>
        <w:tc>
          <w:tcPr>
            <w:tcW w:w="2135" w:type="dxa"/>
            <w:tcBorders>
              <w:top w:val="nil"/>
              <w:bottom w:val="single" w:sz="4" w:space="0" w:color="auto"/>
            </w:tcBorders>
            <w:tcMar>
              <w:top w:w="0" w:type="dxa"/>
              <w:left w:w="100" w:type="dxa"/>
              <w:bottom w:w="0" w:type="dxa"/>
              <w:right w:w="100" w:type="dxa"/>
            </w:tcMar>
          </w:tcPr>
          <w:p w14:paraId="7D83F0B4" w14:textId="77777777" w:rsidR="00DA7E40" w:rsidRPr="00D800F0" w:rsidRDefault="00DA7E40" w:rsidP="0000614D">
            <w:pPr>
              <w:spacing w:line="256" w:lineRule="auto"/>
              <w:jc w:val="center"/>
              <w:rPr>
                <w:rFonts w:ascii="Arial" w:hAnsi="Arial" w:cs="Arial"/>
              </w:rPr>
            </w:pPr>
            <w:r w:rsidRPr="00D800F0">
              <w:rPr>
                <w:rFonts w:ascii="Arial" w:hAnsi="Arial" w:cs="Arial"/>
              </w:rPr>
              <w:t>85</w:t>
            </w:r>
          </w:p>
        </w:tc>
        <w:tc>
          <w:tcPr>
            <w:tcW w:w="1936" w:type="dxa"/>
            <w:tcBorders>
              <w:top w:val="nil"/>
              <w:bottom w:val="single" w:sz="4" w:space="0" w:color="auto"/>
            </w:tcBorders>
            <w:tcMar>
              <w:top w:w="0" w:type="dxa"/>
              <w:left w:w="100" w:type="dxa"/>
              <w:bottom w:w="0" w:type="dxa"/>
              <w:right w:w="100" w:type="dxa"/>
            </w:tcMar>
          </w:tcPr>
          <w:p w14:paraId="49B6338F" w14:textId="77777777" w:rsidR="00DA7E40" w:rsidRPr="00D800F0" w:rsidRDefault="00DA7E40" w:rsidP="0000614D">
            <w:pPr>
              <w:spacing w:line="256" w:lineRule="auto"/>
              <w:jc w:val="center"/>
              <w:rPr>
                <w:rFonts w:ascii="Arial" w:hAnsi="Arial" w:cs="Arial"/>
              </w:rPr>
            </w:pPr>
            <w:r w:rsidRPr="00D800F0">
              <w:rPr>
                <w:rFonts w:ascii="Arial" w:hAnsi="Arial" w:cs="Arial"/>
              </w:rPr>
              <w:t>$/tCO2e</w:t>
            </w:r>
          </w:p>
        </w:tc>
        <w:tc>
          <w:tcPr>
            <w:tcW w:w="1802" w:type="dxa"/>
            <w:tcBorders>
              <w:top w:val="nil"/>
              <w:bottom w:val="single" w:sz="4" w:space="0" w:color="auto"/>
            </w:tcBorders>
            <w:tcMar>
              <w:top w:w="0" w:type="dxa"/>
              <w:left w:w="100" w:type="dxa"/>
              <w:bottom w:w="0" w:type="dxa"/>
              <w:right w:w="100" w:type="dxa"/>
            </w:tcMar>
          </w:tcPr>
          <w:p w14:paraId="6DE4CCB0" w14:textId="26CB3C06" w:rsidR="00DA7E40" w:rsidRPr="00D800F0" w:rsidRDefault="004853CE" w:rsidP="0000614D">
            <w:pPr>
              <w:spacing w:line="256" w:lineRule="auto"/>
              <w:jc w:val="center"/>
              <w:rPr>
                <w:rFonts w:ascii="Arial" w:hAnsi="Arial" w:cs="Arial"/>
              </w:rPr>
            </w:pPr>
            <w:r w:rsidRPr="00D800F0">
              <w:rPr>
                <w:rFonts w:ascii="Arial" w:hAnsi="Arial" w:cs="Arial"/>
              </w:rPr>
              <w:t>IRA</w:t>
            </w:r>
            <w:r w:rsidR="00DA7E40" w:rsidRPr="00D800F0">
              <w:rPr>
                <w:rFonts w:ascii="Arial" w:hAnsi="Arial" w:cs="Arial"/>
              </w:rPr>
              <w:t>, 2022</w:t>
            </w:r>
          </w:p>
        </w:tc>
      </w:tr>
    </w:tbl>
    <w:p w14:paraId="362876B0" w14:textId="77777777" w:rsidR="00DA7E40" w:rsidRPr="00D800F0" w:rsidRDefault="00DA7E40" w:rsidP="00DA7E40">
      <w:pPr>
        <w:spacing w:line="256" w:lineRule="auto"/>
        <w:rPr>
          <w:rFonts w:ascii="Arial" w:hAnsi="Arial" w:cs="Arial"/>
        </w:rPr>
      </w:pPr>
    </w:p>
    <w:p w14:paraId="495E0FAF"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C</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7</w:t>
      </w:r>
      <w:r w:rsidRPr="00D800F0">
        <w:rPr>
          <w:rFonts w:ascii="Arial" w:hAnsi="Arial" w:cs="Arial"/>
          <w:noProof/>
        </w:rPr>
        <w:fldChar w:fldCharType="end"/>
      </w:r>
      <w:r w:rsidRPr="00D800F0">
        <w:rPr>
          <w:rFonts w:ascii="Arial" w:hAnsi="Arial" w:cs="Arial"/>
        </w:rPr>
        <w:t>: Measurement metrics values.</w:t>
      </w:r>
    </w:p>
    <w:tbl>
      <w:tblPr>
        <w:tblW w:w="9360" w:type="dxa"/>
        <w:tblBorders>
          <w:top w:val="single" w:sz="4" w:space="0" w:color="auto"/>
          <w:bottom w:val="single" w:sz="4" w:space="0" w:color="auto"/>
        </w:tblBorders>
        <w:tblLayout w:type="fixed"/>
        <w:tblLook w:val="0600" w:firstRow="0" w:lastRow="0" w:firstColumn="0" w:lastColumn="0" w:noHBand="1" w:noVBand="1"/>
      </w:tblPr>
      <w:tblGrid>
        <w:gridCol w:w="3085"/>
        <w:gridCol w:w="2537"/>
        <w:gridCol w:w="1936"/>
        <w:gridCol w:w="1802"/>
      </w:tblGrid>
      <w:tr w:rsidR="00DA7E40" w:rsidRPr="00D800F0" w14:paraId="080BF959" w14:textId="77777777" w:rsidTr="0000614D">
        <w:trPr>
          <w:cantSplit/>
          <w:trHeight w:val="405"/>
        </w:trPr>
        <w:tc>
          <w:tcPr>
            <w:tcW w:w="3085" w:type="dxa"/>
            <w:tcBorders>
              <w:bottom w:val="single" w:sz="4" w:space="0" w:color="auto"/>
            </w:tcBorders>
            <w:tcMar>
              <w:top w:w="0" w:type="dxa"/>
              <w:left w:w="100" w:type="dxa"/>
              <w:bottom w:w="0" w:type="dxa"/>
              <w:right w:w="100" w:type="dxa"/>
            </w:tcMar>
          </w:tcPr>
          <w:p w14:paraId="388C8CEF" w14:textId="77777777" w:rsidR="00DA7E40" w:rsidRPr="00D800F0" w:rsidRDefault="00DA7E40" w:rsidP="0000614D">
            <w:pPr>
              <w:spacing w:line="256" w:lineRule="auto"/>
              <w:jc w:val="center"/>
              <w:rPr>
                <w:rFonts w:ascii="Arial" w:hAnsi="Arial" w:cs="Arial"/>
                <w:b/>
              </w:rPr>
            </w:pPr>
            <w:r w:rsidRPr="00D800F0">
              <w:rPr>
                <w:rFonts w:ascii="Arial" w:hAnsi="Arial" w:cs="Arial"/>
                <w:b/>
              </w:rPr>
              <w:t>Input Name</w:t>
            </w:r>
          </w:p>
        </w:tc>
        <w:tc>
          <w:tcPr>
            <w:tcW w:w="2537" w:type="dxa"/>
            <w:tcBorders>
              <w:bottom w:val="single" w:sz="4" w:space="0" w:color="auto"/>
            </w:tcBorders>
            <w:tcMar>
              <w:top w:w="0" w:type="dxa"/>
              <w:left w:w="100" w:type="dxa"/>
              <w:bottom w:w="0" w:type="dxa"/>
              <w:right w:w="100" w:type="dxa"/>
            </w:tcMar>
          </w:tcPr>
          <w:p w14:paraId="030776EF" w14:textId="77777777" w:rsidR="00DA7E40" w:rsidRPr="00D800F0" w:rsidRDefault="00DA7E40" w:rsidP="0000614D">
            <w:pPr>
              <w:spacing w:line="256" w:lineRule="auto"/>
              <w:jc w:val="center"/>
              <w:rPr>
                <w:rFonts w:ascii="Arial" w:hAnsi="Arial" w:cs="Arial"/>
                <w:b/>
              </w:rPr>
            </w:pPr>
            <w:r w:rsidRPr="00D800F0">
              <w:rPr>
                <w:rFonts w:ascii="Arial" w:hAnsi="Arial" w:cs="Arial"/>
                <w:b/>
              </w:rPr>
              <w:t>Value</w:t>
            </w:r>
          </w:p>
        </w:tc>
        <w:tc>
          <w:tcPr>
            <w:tcW w:w="1936" w:type="dxa"/>
            <w:tcBorders>
              <w:bottom w:val="single" w:sz="4" w:space="0" w:color="auto"/>
            </w:tcBorders>
            <w:tcMar>
              <w:top w:w="0" w:type="dxa"/>
              <w:left w:w="100" w:type="dxa"/>
              <w:bottom w:w="0" w:type="dxa"/>
              <w:right w:w="100" w:type="dxa"/>
            </w:tcMar>
          </w:tcPr>
          <w:p w14:paraId="506A5496" w14:textId="77777777" w:rsidR="00DA7E40" w:rsidRPr="00D800F0" w:rsidRDefault="00DA7E40" w:rsidP="0000614D">
            <w:pPr>
              <w:spacing w:line="256" w:lineRule="auto"/>
              <w:jc w:val="center"/>
              <w:rPr>
                <w:rFonts w:ascii="Arial" w:hAnsi="Arial" w:cs="Arial"/>
                <w:b/>
              </w:rPr>
            </w:pPr>
            <w:r w:rsidRPr="00D800F0">
              <w:rPr>
                <w:rFonts w:ascii="Arial" w:hAnsi="Arial" w:cs="Arial"/>
                <w:b/>
              </w:rPr>
              <w:t>Unit</w:t>
            </w:r>
          </w:p>
        </w:tc>
        <w:tc>
          <w:tcPr>
            <w:tcW w:w="1802" w:type="dxa"/>
            <w:tcBorders>
              <w:bottom w:val="single" w:sz="4" w:space="0" w:color="auto"/>
            </w:tcBorders>
            <w:tcMar>
              <w:top w:w="0" w:type="dxa"/>
              <w:left w:w="100" w:type="dxa"/>
              <w:bottom w:w="0" w:type="dxa"/>
              <w:right w:w="100" w:type="dxa"/>
            </w:tcMar>
          </w:tcPr>
          <w:p w14:paraId="1A3BED51" w14:textId="77777777" w:rsidR="00DA7E40" w:rsidRPr="00D800F0" w:rsidRDefault="00DA7E40" w:rsidP="0000614D">
            <w:pPr>
              <w:spacing w:line="256" w:lineRule="auto"/>
              <w:jc w:val="center"/>
              <w:rPr>
                <w:rFonts w:ascii="Arial" w:hAnsi="Arial" w:cs="Arial"/>
                <w:b/>
              </w:rPr>
            </w:pPr>
            <w:r w:rsidRPr="00D800F0">
              <w:rPr>
                <w:rFonts w:ascii="Arial" w:hAnsi="Arial" w:cs="Arial"/>
                <w:b/>
              </w:rPr>
              <w:t>Source</w:t>
            </w:r>
          </w:p>
        </w:tc>
      </w:tr>
      <w:tr w:rsidR="00DA7E40" w:rsidRPr="00D800F0" w14:paraId="6CEDA012" w14:textId="77777777" w:rsidTr="0000614D">
        <w:trPr>
          <w:cantSplit/>
          <w:trHeight w:val="392"/>
        </w:trPr>
        <w:tc>
          <w:tcPr>
            <w:tcW w:w="3085" w:type="dxa"/>
            <w:tcBorders>
              <w:top w:val="single" w:sz="4" w:space="0" w:color="auto"/>
              <w:bottom w:val="nil"/>
            </w:tcBorders>
            <w:tcMar>
              <w:top w:w="0" w:type="dxa"/>
              <w:left w:w="100" w:type="dxa"/>
              <w:bottom w:w="0" w:type="dxa"/>
              <w:right w:w="100" w:type="dxa"/>
            </w:tcMar>
          </w:tcPr>
          <w:p w14:paraId="4E69724B" w14:textId="77777777" w:rsidR="00DA7E40" w:rsidRPr="00D800F0" w:rsidRDefault="00000000" w:rsidP="0000614D">
            <w:pPr>
              <w:spacing w:line="256" w:lineRule="auto"/>
              <w:jc w:val="center"/>
              <w:rPr>
                <w:rFonts w:ascii="Arial" w:hAnsi="Arial" w:cs="Arial"/>
                <w:b/>
                <w:bCs/>
              </w:rPr>
            </w:pPr>
            <m:oMathPara>
              <m:oMath>
                <m:sSub>
                  <m:sSubPr>
                    <m:ctrlPr>
                      <w:rPr>
                        <w:rFonts w:ascii="Cambria Math" w:hAnsi="Cambria Math" w:cs="Arial"/>
                        <w:b/>
                        <w:bCs/>
                        <w:i/>
                      </w:rPr>
                    </m:ctrlPr>
                  </m:sSubPr>
                  <m:e>
                    <m:r>
                      <m:rPr>
                        <m:sty m:val="bi"/>
                      </m:rPr>
                      <w:rPr>
                        <w:rFonts w:ascii="Cambria Math" w:hAnsi="Cambria Math" w:cs="Arial"/>
                      </w:rPr>
                      <m:t>d</m:t>
                    </m:r>
                  </m:e>
                  <m:sub>
                    <m:r>
                      <m:rPr>
                        <m:sty m:val="bi"/>
                      </m:rPr>
                      <w:rPr>
                        <w:rFonts w:ascii="Cambria Math" w:hAnsi="Cambria Math" w:cs="Arial"/>
                      </w:rPr>
                      <m:t>s</m:t>
                    </m:r>
                  </m:sub>
                </m:sSub>
              </m:oMath>
            </m:oMathPara>
          </w:p>
        </w:tc>
        <w:tc>
          <w:tcPr>
            <w:tcW w:w="2537" w:type="dxa"/>
            <w:tcBorders>
              <w:top w:val="single" w:sz="4" w:space="0" w:color="auto"/>
              <w:bottom w:val="nil"/>
            </w:tcBorders>
            <w:tcMar>
              <w:top w:w="0" w:type="dxa"/>
              <w:left w:w="100" w:type="dxa"/>
              <w:bottom w:w="0" w:type="dxa"/>
              <w:right w:w="100" w:type="dxa"/>
            </w:tcMar>
          </w:tcPr>
          <w:p w14:paraId="3E529278" w14:textId="77777777" w:rsidR="00DA7E40" w:rsidRPr="00D800F0" w:rsidRDefault="00DA7E40" w:rsidP="0000614D">
            <w:pPr>
              <w:spacing w:line="256" w:lineRule="auto"/>
              <w:jc w:val="center"/>
              <w:rPr>
                <w:rFonts w:ascii="Arial" w:hAnsi="Arial" w:cs="Arial"/>
              </w:rPr>
            </w:pPr>
            <w:r w:rsidRPr="00D800F0">
              <w:rPr>
                <w:rFonts w:ascii="Arial" w:hAnsi="Arial" w:cs="Arial"/>
              </w:rPr>
              <w:t>2%</w:t>
            </w:r>
          </w:p>
        </w:tc>
        <w:tc>
          <w:tcPr>
            <w:tcW w:w="1936" w:type="dxa"/>
            <w:tcBorders>
              <w:top w:val="single" w:sz="4" w:space="0" w:color="auto"/>
              <w:bottom w:val="nil"/>
            </w:tcBorders>
            <w:tcMar>
              <w:top w:w="0" w:type="dxa"/>
              <w:left w:w="100" w:type="dxa"/>
              <w:bottom w:w="0" w:type="dxa"/>
              <w:right w:w="100" w:type="dxa"/>
            </w:tcMar>
          </w:tcPr>
          <w:p w14:paraId="00C9DCAA" w14:textId="77777777" w:rsidR="00DA7E40" w:rsidRPr="00D800F0" w:rsidRDefault="00DA7E40" w:rsidP="0000614D">
            <w:pPr>
              <w:spacing w:line="256" w:lineRule="auto"/>
              <w:jc w:val="center"/>
              <w:rPr>
                <w:rFonts w:ascii="Arial" w:hAnsi="Arial" w:cs="Arial"/>
              </w:rPr>
            </w:pPr>
            <w:r w:rsidRPr="00D800F0">
              <w:rPr>
                <w:rFonts w:ascii="Arial" w:hAnsi="Arial" w:cs="Arial"/>
              </w:rPr>
              <w:t>%/year</w:t>
            </w:r>
          </w:p>
        </w:tc>
        <w:tc>
          <w:tcPr>
            <w:tcW w:w="1802" w:type="dxa"/>
            <w:tcBorders>
              <w:top w:val="single" w:sz="4" w:space="0" w:color="auto"/>
              <w:bottom w:val="nil"/>
            </w:tcBorders>
            <w:tcMar>
              <w:top w:w="0" w:type="dxa"/>
              <w:left w:w="100" w:type="dxa"/>
              <w:bottom w:w="0" w:type="dxa"/>
              <w:right w:w="100" w:type="dxa"/>
            </w:tcMar>
          </w:tcPr>
          <w:p w14:paraId="5B231BC8" w14:textId="77777777" w:rsidR="00DA7E40" w:rsidRPr="00D800F0" w:rsidRDefault="00DA7E40" w:rsidP="0000614D">
            <w:pPr>
              <w:spacing w:line="256" w:lineRule="auto"/>
              <w:jc w:val="center"/>
              <w:rPr>
                <w:rFonts w:ascii="Arial" w:hAnsi="Arial" w:cs="Arial"/>
              </w:rPr>
            </w:pPr>
            <w:r w:rsidRPr="00D800F0">
              <w:rPr>
                <w:rFonts w:ascii="Arial" w:hAnsi="Arial" w:cs="Arial"/>
              </w:rPr>
              <w:t>EPA, 2022</w:t>
            </w:r>
          </w:p>
        </w:tc>
      </w:tr>
      <w:tr w:rsidR="00DA7E40" w:rsidRPr="00D800F0" w14:paraId="4015E5B4" w14:textId="77777777" w:rsidTr="0000614D">
        <w:trPr>
          <w:cantSplit/>
          <w:trHeight w:val="63"/>
        </w:trPr>
        <w:tc>
          <w:tcPr>
            <w:tcW w:w="3085" w:type="dxa"/>
            <w:tcBorders>
              <w:top w:val="nil"/>
              <w:bottom w:val="single" w:sz="4" w:space="0" w:color="auto"/>
            </w:tcBorders>
            <w:tcMar>
              <w:top w:w="0" w:type="dxa"/>
              <w:left w:w="100" w:type="dxa"/>
              <w:bottom w:w="0" w:type="dxa"/>
              <w:right w:w="100" w:type="dxa"/>
            </w:tcMar>
          </w:tcPr>
          <w:p w14:paraId="7322C4BA" w14:textId="77777777" w:rsidR="00DA7E40" w:rsidRPr="00D800F0" w:rsidRDefault="00000000" w:rsidP="0000614D">
            <w:pPr>
              <w:spacing w:line="256" w:lineRule="auto"/>
              <w:jc w:val="center"/>
              <w:rPr>
                <w:rFonts w:ascii="Arial" w:hAnsi="Arial" w:cs="Arial"/>
                <w:b/>
                <w:bCs/>
              </w:rPr>
            </w:pPr>
            <m:oMathPara>
              <m:oMath>
                <m:sSub>
                  <m:sSubPr>
                    <m:ctrlPr>
                      <w:rPr>
                        <w:rFonts w:ascii="Cambria Math" w:hAnsi="Cambria Math" w:cs="Arial"/>
                        <w:b/>
                        <w:bCs/>
                        <w:i/>
                      </w:rPr>
                    </m:ctrlPr>
                  </m:sSubPr>
                  <m:e>
                    <m:r>
                      <m:rPr>
                        <m:sty m:val="bi"/>
                      </m:rPr>
                      <w:rPr>
                        <w:rFonts w:ascii="Cambria Math" w:hAnsi="Cambria Math" w:cs="Arial"/>
                      </w:rPr>
                      <m:t>L</m:t>
                    </m:r>
                  </m:e>
                  <m:sub>
                    <m:sSub>
                      <m:sSubPr>
                        <m:ctrlPr>
                          <w:rPr>
                            <w:rFonts w:ascii="Cambria Math" w:hAnsi="Cambria Math" w:cs="Arial"/>
                            <w:b/>
                            <w:bCs/>
                            <w:i/>
                          </w:rPr>
                        </m:ctrlPr>
                      </m:sSubPr>
                      <m:e>
                        <m:r>
                          <m:rPr>
                            <m:sty m:val="bi"/>
                          </m:rPr>
                          <w:rPr>
                            <w:rFonts w:ascii="Cambria Math" w:hAnsi="Cambria Math" w:cs="Arial"/>
                          </w:rPr>
                          <m:t>H</m:t>
                        </m:r>
                      </m:e>
                      <m:sub>
                        <m:r>
                          <m:rPr>
                            <m:sty m:val="bi"/>
                          </m:rPr>
                          <w:rPr>
                            <w:rFonts w:ascii="Cambria Math" w:hAnsi="Cambria Math" w:cs="Arial"/>
                          </w:rPr>
                          <m:t>2</m:t>
                        </m:r>
                      </m:sub>
                    </m:sSub>
                  </m:sub>
                </m:sSub>
              </m:oMath>
            </m:oMathPara>
          </w:p>
        </w:tc>
        <w:tc>
          <w:tcPr>
            <w:tcW w:w="2537" w:type="dxa"/>
            <w:tcBorders>
              <w:top w:val="nil"/>
              <w:bottom w:val="single" w:sz="4" w:space="0" w:color="auto"/>
            </w:tcBorders>
            <w:tcMar>
              <w:top w:w="0" w:type="dxa"/>
              <w:left w:w="100" w:type="dxa"/>
              <w:bottom w:w="0" w:type="dxa"/>
              <w:right w:w="100" w:type="dxa"/>
            </w:tcMar>
          </w:tcPr>
          <w:p w14:paraId="17E20CE2" w14:textId="77777777" w:rsidR="00DA7E40" w:rsidRPr="00D800F0" w:rsidRDefault="00DA7E40" w:rsidP="0000614D">
            <w:pPr>
              <w:spacing w:line="256" w:lineRule="auto"/>
              <w:jc w:val="center"/>
              <w:rPr>
                <w:rFonts w:ascii="Arial" w:hAnsi="Arial" w:cs="Arial"/>
                <w:vertAlign w:val="superscript"/>
              </w:rPr>
            </w:pPr>
            <w:r w:rsidRPr="00D800F0">
              <w:rPr>
                <w:rFonts w:ascii="Arial" w:hAnsi="Arial" w:cs="Arial"/>
              </w:rPr>
              <w:t>120</w:t>
            </w:r>
            <w:r w:rsidRPr="00D800F0">
              <w:rPr>
                <w:rFonts w:ascii="Arial" w:hAnsi="Arial" w:cs="Arial"/>
                <w:vertAlign w:val="superscript"/>
              </w:rPr>
              <w:t>A</w:t>
            </w:r>
          </w:p>
        </w:tc>
        <w:tc>
          <w:tcPr>
            <w:tcW w:w="1936" w:type="dxa"/>
            <w:tcBorders>
              <w:top w:val="nil"/>
              <w:bottom w:val="single" w:sz="4" w:space="0" w:color="auto"/>
            </w:tcBorders>
            <w:tcMar>
              <w:top w:w="0" w:type="dxa"/>
              <w:left w:w="100" w:type="dxa"/>
              <w:bottom w:w="0" w:type="dxa"/>
              <w:right w:w="100" w:type="dxa"/>
            </w:tcMar>
          </w:tcPr>
          <w:p w14:paraId="5614F093" w14:textId="77777777" w:rsidR="00DA7E40" w:rsidRPr="00D800F0" w:rsidRDefault="00DA7E40" w:rsidP="0000614D">
            <w:pPr>
              <w:spacing w:line="256" w:lineRule="auto"/>
              <w:jc w:val="center"/>
              <w:rPr>
                <w:rFonts w:ascii="Arial" w:hAnsi="Arial" w:cs="Arial"/>
              </w:rPr>
            </w:pPr>
            <w:r w:rsidRPr="00D800F0">
              <w:rPr>
                <w:rFonts w:ascii="Arial" w:hAnsi="Arial" w:cs="Arial"/>
              </w:rPr>
              <w:t>months</w:t>
            </w:r>
          </w:p>
        </w:tc>
        <w:tc>
          <w:tcPr>
            <w:tcW w:w="1802" w:type="dxa"/>
            <w:tcBorders>
              <w:top w:val="nil"/>
              <w:bottom w:val="single" w:sz="4" w:space="0" w:color="auto"/>
            </w:tcBorders>
            <w:tcMar>
              <w:top w:w="0" w:type="dxa"/>
              <w:left w:w="100" w:type="dxa"/>
              <w:bottom w:w="0" w:type="dxa"/>
              <w:right w:w="100" w:type="dxa"/>
            </w:tcMar>
          </w:tcPr>
          <w:p w14:paraId="7C5E1343" w14:textId="3BFAA98D" w:rsidR="00DA7E40" w:rsidRPr="00D800F0" w:rsidRDefault="004853CE" w:rsidP="0000614D">
            <w:pPr>
              <w:spacing w:line="256" w:lineRule="auto"/>
              <w:jc w:val="center"/>
              <w:rPr>
                <w:rFonts w:ascii="Arial" w:hAnsi="Arial" w:cs="Arial"/>
              </w:rPr>
            </w:pPr>
            <w:r w:rsidRPr="00D800F0">
              <w:rPr>
                <w:rFonts w:ascii="Arial" w:hAnsi="Arial" w:cs="Arial"/>
              </w:rPr>
              <w:t>IRA</w:t>
            </w:r>
            <w:r w:rsidR="00DA7E40" w:rsidRPr="00D800F0">
              <w:rPr>
                <w:rFonts w:ascii="Arial" w:hAnsi="Arial" w:cs="Arial"/>
              </w:rPr>
              <w:t>, 2022</w:t>
            </w:r>
          </w:p>
        </w:tc>
      </w:tr>
      <w:tr w:rsidR="00DA7E40" w:rsidRPr="00D800F0" w14:paraId="38A55728" w14:textId="77777777" w:rsidTr="0000614D">
        <w:trPr>
          <w:cantSplit/>
          <w:trHeight w:val="392"/>
        </w:trPr>
        <w:tc>
          <w:tcPr>
            <w:tcW w:w="9360" w:type="dxa"/>
            <w:gridSpan w:val="4"/>
            <w:tcBorders>
              <w:top w:val="single" w:sz="4" w:space="0" w:color="auto"/>
              <w:bottom w:val="single" w:sz="4" w:space="0" w:color="auto"/>
            </w:tcBorders>
            <w:tcMar>
              <w:top w:w="0" w:type="dxa"/>
              <w:left w:w="100" w:type="dxa"/>
              <w:bottom w:w="0" w:type="dxa"/>
              <w:right w:w="100" w:type="dxa"/>
            </w:tcMar>
          </w:tcPr>
          <w:p w14:paraId="231A07AE" w14:textId="77777777" w:rsidR="00DA7E40" w:rsidRPr="00D800F0" w:rsidRDefault="00DA7E40" w:rsidP="0000614D">
            <w:pPr>
              <w:spacing w:line="256" w:lineRule="auto"/>
              <w:rPr>
                <w:rFonts w:ascii="Arial" w:hAnsi="Arial" w:cs="Arial"/>
              </w:rPr>
            </w:pPr>
            <w:r w:rsidRPr="00D800F0">
              <w:rPr>
                <w:rFonts w:ascii="Arial" w:hAnsi="Arial" w:cs="Arial"/>
                <w:vertAlign w:val="superscript"/>
              </w:rPr>
              <w:t>A</w:t>
            </w:r>
            <w:r w:rsidRPr="00D800F0">
              <w:rPr>
                <w:rFonts w:ascii="Arial" w:hAnsi="Arial" w:cs="Arial"/>
              </w:rPr>
              <w:t xml:space="preserve"> The lifetime of 45V credits (10 years) is assumed to be the lifetime of hydrogen production under the IRA. </w:t>
            </w:r>
          </w:p>
        </w:tc>
      </w:tr>
    </w:tbl>
    <w:p w14:paraId="16958574" w14:textId="77777777" w:rsidR="00DA7E40" w:rsidRPr="00D800F0" w:rsidRDefault="00DA7E40" w:rsidP="00DA7E40">
      <w:pPr>
        <w:rPr>
          <w:rFonts w:ascii="Arial" w:hAnsi="Arial" w:cs="Arial"/>
          <w:lang w:eastAsia="en-GB"/>
        </w:rPr>
      </w:pPr>
    </w:p>
    <w:p w14:paraId="3DE1D93E" w14:textId="77777777" w:rsidR="00DA7E40" w:rsidRPr="00D800F0" w:rsidRDefault="00DA7E40" w:rsidP="00DA7E40">
      <w:pPr>
        <w:rPr>
          <w:rFonts w:ascii="Arial" w:hAnsi="Arial" w:cs="Arial"/>
          <w:lang w:eastAsia="en-GB"/>
        </w:rPr>
      </w:pPr>
    </w:p>
    <w:p w14:paraId="012D7143" w14:textId="77777777" w:rsidR="00DA7E40" w:rsidRPr="00D800F0" w:rsidRDefault="00DA7E40" w:rsidP="006864F3">
      <w:pPr>
        <w:pStyle w:val="Heading2"/>
        <w:rPr>
          <w:rFonts w:ascii="Arial" w:hAnsi="Arial" w:cs="Arial"/>
        </w:rPr>
      </w:pPr>
      <w:bookmarkStart w:id="49" w:name="_Ref146464408"/>
      <w:bookmarkStart w:id="50" w:name="_Hlk146932997"/>
      <w:bookmarkStart w:id="51" w:name="_Toc148296628"/>
      <w:r w:rsidRPr="00D800F0">
        <w:rPr>
          <w:rFonts w:ascii="Arial" w:hAnsi="Arial" w:cs="Arial"/>
        </w:rPr>
        <w:t>Wind Farm and Battery System Optimization</w:t>
      </w:r>
      <w:bookmarkEnd w:id="49"/>
      <w:bookmarkEnd w:id="51"/>
    </w:p>
    <w:p w14:paraId="475EBAB5" w14:textId="77777777" w:rsidR="00DA7E40" w:rsidRPr="00D800F0" w:rsidRDefault="00DA7E40" w:rsidP="006864F3">
      <w:pPr>
        <w:pStyle w:val="Heading3"/>
        <w:rPr>
          <w:rFonts w:ascii="Arial" w:hAnsi="Arial" w:cs="Arial"/>
        </w:rPr>
      </w:pPr>
      <w:bookmarkStart w:id="52" w:name="_Toc148296629"/>
      <w:r w:rsidRPr="00D800F0">
        <w:rPr>
          <w:rFonts w:ascii="Arial" w:hAnsi="Arial" w:cs="Arial"/>
        </w:rPr>
        <w:t>Problem Statement</w:t>
      </w:r>
      <w:bookmarkEnd w:id="52"/>
    </w:p>
    <w:p w14:paraId="182D8168" w14:textId="77777777" w:rsidR="00DA7E40" w:rsidRPr="00D800F0" w:rsidRDefault="00DA7E40" w:rsidP="00DA7E40">
      <w:pPr>
        <w:rPr>
          <w:rFonts w:ascii="Arial" w:hAnsi="Arial" w:cs="Arial"/>
        </w:rPr>
      </w:pPr>
      <w:r w:rsidRPr="00D800F0">
        <w:rPr>
          <w:rFonts w:ascii="Arial" w:hAnsi="Arial" w:cs="Arial"/>
        </w:rPr>
        <w:t>The problem aims to minimize the capital cost required for wind and battery installations to meet constant electricity demand. Optimal sizing of wind and battery capacity depends on the relative costs of wind and battery facilities, wind generation resource availability, and requirements for constant electricity output. Thus, the objective is to find the optimal capacities of wind and battery installations that minimize the overall capital cost.</w:t>
      </w:r>
    </w:p>
    <w:p w14:paraId="24CA34F2" w14:textId="77777777" w:rsidR="00DA7E40" w:rsidRPr="00D800F0" w:rsidRDefault="00DA7E40" w:rsidP="006864F3">
      <w:pPr>
        <w:pStyle w:val="Heading3"/>
        <w:rPr>
          <w:rFonts w:ascii="Arial" w:hAnsi="Arial" w:cs="Arial"/>
        </w:rPr>
      </w:pPr>
      <w:bookmarkStart w:id="53" w:name="_Toc148296630"/>
      <w:r w:rsidRPr="00D800F0">
        <w:rPr>
          <w:rFonts w:ascii="Arial" w:hAnsi="Arial" w:cs="Arial"/>
        </w:rPr>
        <w:t>Model Formulation</w:t>
      </w:r>
      <w:bookmarkEnd w:id="53"/>
    </w:p>
    <w:p w14:paraId="7C5DEA4C" w14:textId="1F80A362" w:rsidR="00DA7E40" w:rsidRPr="00D800F0" w:rsidRDefault="00DA7E40" w:rsidP="00DA7E40">
      <w:pPr>
        <w:rPr>
          <w:rFonts w:ascii="Arial" w:hAnsi="Arial" w:cs="Arial"/>
        </w:rPr>
      </w:pPr>
      <w:r w:rsidRPr="00D800F0">
        <w:rPr>
          <w:rFonts w:ascii="Arial" w:hAnsi="Arial" w:cs="Arial"/>
        </w:rPr>
        <w:t xml:space="preserve">In this problem, the index </w:t>
      </w:r>
      <m:oMath>
        <m:r>
          <m:rPr>
            <m:sty m:val="bi"/>
          </m:rPr>
          <w:rPr>
            <w:rFonts w:ascii="Cambria Math" w:hAnsi="Cambria Math" w:cs="Arial"/>
          </w:rPr>
          <m:t>t</m:t>
        </m:r>
        <m:r>
          <w:rPr>
            <w:rFonts w:ascii="Cambria Math" w:hAnsi="Cambria Math" w:cs="Arial"/>
          </w:rPr>
          <m:t>∈</m:t>
        </m:r>
        <m:r>
          <m:rPr>
            <m:sty m:val="bi"/>
          </m:rPr>
          <w:rPr>
            <w:rFonts w:ascii="Cambria Math" w:hAnsi="Cambria Math" w:cs="Arial"/>
          </w:rPr>
          <m:t>N</m:t>
        </m:r>
      </m:oMath>
      <w:r w:rsidRPr="00D800F0">
        <w:rPr>
          <w:rFonts w:ascii="Arial" w:hAnsi="Arial" w:cs="Arial"/>
          <w:bCs/>
        </w:rPr>
        <w:t xml:space="preserve"> </w:t>
      </w:r>
      <w:r w:rsidRPr="00D800F0">
        <w:rPr>
          <w:rFonts w:ascii="Arial" w:hAnsi="Arial" w:cs="Arial"/>
        </w:rPr>
        <w:t xml:space="preserve">denotes discrete time steps. We model hourly (i.e., 8760 time steps) and monthly (i.e., 12 time steps) resolutions. </w:t>
      </w:r>
      <w:r w:rsidRPr="00D800F0">
        <w:rPr>
          <w:rFonts w:ascii="Arial" w:hAnsi="Arial" w:cs="Arial"/>
          <w:highlight w:val="yellow"/>
        </w:rPr>
        <w:fldChar w:fldCharType="begin"/>
      </w:r>
      <w:r w:rsidRPr="00D800F0">
        <w:rPr>
          <w:rFonts w:ascii="Arial" w:hAnsi="Arial" w:cs="Arial"/>
        </w:rPr>
        <w:instrText xml:space="preserve"> REF _Ref146366686 \h </w:instrText>
      </w:r>
      <w:r w:rsidR="00D800F0">
        <w:rPr>
          <w:rFonts w:ascii="Arial" w:hAnsi="Arial" w:cs="Arial"/>
          <w:highlight w:val="yellow"/>
        </w:rPr>
        <w:instrText xml:space="preserve"> \* MERGEFORMAT </w:instrText>
      </w:r>
      <w:r w:rsidRPr="00D800F0">
        <w:rPr>
          <w:rFonts w:ascii="Arial" w:hAnsi="Arial" w:cs="Arial"/>
          <w:highlight w:val="yellow"/>
        </w:rPr>
      </w:r>
      <w:r w:rsidRPr="00D800F0">
        <w:rPr>
          <w:rFonts w:ascii="Arial" w:hAnsi="Arial" w:cs="Arial"/>
          <w:highlight w:val="yellow"/>
        </w:rPr>
        <w:fldChar w:fldCharType="separate"/>
      </w:r>
      <w:r w:rsidRPr="00D800F0">
        <w:rPr>
          <w:rFonts w:ascii="Arial" w:hAnsi="Arial" w:cs="Arial"/>
        </w:rPr>
        <w:t xml:space="preserve">Table </w:t>
      </w:r>
      <w:r w:rsidRPr="00D800F0">
        <w:rPr>
          <w:rFonts w:ascii="Arial" w:hAnsi="Arial" w:cs="Arial"/>
          <w:noProof/>
        </w:rPr>
        <w:t>D</w:t>
      </w:r>
      <w:r w:rsidRPr="00D800F0">
        <w:rPr>
          <w:rFonts w:ascii="Arial" w:hAnsi="Arial" w:cs="Arial"/>
        </w:rPr>
        <w:noBreakHyphen/>
      </w:r>
      <w:r w:rsidRPr="00D800F0">
        <w:rPr>
          <w:rFonts w:ascii="Arial" w:hAnsi="Arial" w:cs="Arial"/>
          <w:noProof/>
        </w:rPr>
        <w:t>1</w:t>
      </w:r>
      <w:r w:rsidRPr="00D800F0">
        <w:rPr>
          <w:rFonts w:ascii="Arial" w:hAnsi="Arial" w:cs="Arial"/>
          <w:highlight w:val="yellow"/>
        </w:rPr>
        <w:fldChar w:fldCharType="end"/>
      </w:r>
      <w:r w:rsidRPr="00D800F0">
        <w:rPr>
          <w:rFonts w:ascii="Arial" w:hAnsi="Arial" w:cs="Arial"/>
        </w:rPr>
        <w:t xml:space="preserve"> outlines notations used in the formulation, while </w:t>
      </w:r>
      <w:r w:rsidRPr="00D800F0">
        <w:rPr>
          <w:rFonts w:ascii="Arial" w:hAnsi="Arial" w:cs="Arial"/>
        </w:rPr>
        <w:fldChar w:fldCharType="begin"/>
      </w:r>
      <w:r w:rsidRPr="00D800F0">
        <w:rPr>
          <w:rFonts w:ascii="Arial" w:hAnsi="Arial" w:cs="Arial"/>
        </w:rPr>
        <w:instrText xml:space="preserve"> REF _Ref146366000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Table </w:t>
      </w:r>
      <w:r w:rsidRPr="00D800F0">
        <w:rPr>
          <w:rFonts w:ascii="Arial" w:hAnsi="Arial" w:cs="Arial"/>
          <w:noProof/>
        </w:rPr>
        <w:t>E</w:t>
      </w:r>
      <w:r w:rsidRPr="00D800F0">
        <w:rPr>
          <w:rFonts w:ascii="Arial" w:hAnsi="Arial" w:cs="Arial"/>
        </w:rPr>
        <w:noBreakHyphen/>
      </w:r>
      <w:r w:rsidRPr="00D800F0">
        <w:rPr>
          <w:rFonts w:ascii="Arial" w:hAnsi="Arial" w:cs="Arial"/>
          <w:noProof/>
        </w:rPr>
        <w:t>2</w:t>
      </w:r>
      <w:r w:rsidRPr="00D800F0">
        <w:rPr>
          <w:rFonts w:ascii="Arial" w:hAnsi="Arial" w:cs="Arial"/>
        </w:rPr>
        <w:fldChar w:fldCharType="end"/>
      </w:r>
      <w:r w:rsidRPr="00D800F0">
        <w:rPr>
          <w:rFonts w:ascii="Arial" w:hAnsi="Arial" w:cs="Arial"/>
        </w:rPr>
        <w:t xml:space="preserve">, </w:t>
      </w:r>
      <w:r w:rsidRPr="00D800F0">
        <w:rPr>
          <w:rFonts w:ascii="Arial" w:hAnsi="Arial" w:cs="Arial"/>
        </w:rPr>
        <w:fldChar w:fldCharType="begin"/>
      </w:r>
      <w:r w:rsidRPr="00D800F0">
        <w:rPr>
          <w:rFonts w:ascii="Arial" w:hAnsi="Arial" w:cs="Arial"/>
        </w:rPr>
        <w:instrText xml:space="preserve"> REF _Ref146366519 \h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Table </w:t>
      </w:r>
      <w:r w:rsidRPr="00D800F0">
        <w:rPr>
          <w:rFonts w:ascii="Arial" w:hAnsi="Arial" w:cs="Arial"/>
          <w:noProof/>
        </w:rPr>
        <w:t>E</w:t>
      </w:r>
      <w:r w:rsidRPr="00D800F0">
        <w:rPr>
          <w:rFonts w:ascii="Arial" w:hAnsi="Arial" w:cs="Arial"/>
        </w:rPr>
        <w:noBreakHyphen/>
      </w:r>
      <w:r w:rsidRPr="00D800F0">
        <w:rPr>
          <w:rFonts w:ascii="Arial" w:hAnsi="Arial" w:cs="Arial"/>
          <w:noProof/>
        </w:rPr>
        <w:t>3</w:t>
      </w:r>
      <w:r w:rsidRPr="00D800F0">
        <w:rPr>
          <w:rFonts w:ascii="Arial" w:hAnsi="Arial" w:cs="Arial"/>
        </w:rPr>
        <w:fldChar w:fldCharType="end"/>
      </w:r>
      <w:r w:rsidRPr="00D800F0">
        <w:rPr>
          <w:rFonts w:ascii="Arial" w:hAnsi="Arial" w:cs="Arial"/>
        </w:rPr>
        <w:t xml:space="preserve">, </w:t>
      </w:r>
      <w:r w:rsidRPr="00D800F0">
        <w:rPr>
          <w:rFonts w:ascii="Arial" w:hAnsi="Arial" w:cs="Arial"/>
        </w:rPr>
        <w:fldChar w:fldCharType="begin"/>
      </w:r>
      <w:r w:rsidRPr="00D800F0">
        <w:rPr>
          <w:rFonts w:ascii="Arial" w:hAnsi="Arial" w:cs="Arial"/>
        </w:rPr>
        <w:instrText xml:space="preserve"> REF _Ref146354213 \h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Table </w:t>
      </w:r>
      <w:r w:rsidRPr="00D800F0">
        <w:rPr>
          <w:rFonts w:ascii="Arial" w:hAnsi="Arial" w:cs="Arial"/>
          <w:noProof/>
        </w:rPr>
        <w:t>E</w:t>
      </w:r>
      <w:r w:rsidRPr="00D800F0">
        <w:rPr>
          <w:rFonts w:ascii="Arial" w:hAnsi="Arial" w:cs="Arial"/>
        </w:rPr>
        <w:noBreakHyphen/>
      </w:r>
      <w:r w:rsidRPr="00D800F0">
        <w:rPr>
          <w:rFonts w:ascii="Arial" w:hAnsi="Arial" w:cs="Arial"/>
          <w:noProof/>
        </w:rPr>
        <w:t>4</w:t>
      </w:r>
      <w:r w:rsidRPr="00D800F0">
        <w:rPr>
          <w:rFonts w:ascii="Arial" w:hAnsi="Arial" w:cs="Arial"/>
        </w:rPr>
        <w:fldChar w:fldCharType="end"/>
      </w:r>
      <w:r w:rsidRPr="00D800F0">
        <w:rPr>
          <w:rFonts w:ascii="Arial" w:hAnsi="Arial" w:cs="Arial"/>
        </w:rPr>
        <w:t xml:space="preserve">, and </w:t>
      </w:r>
      <w:r w:rsidRPr="00D800F0">
        <w:rPr>
          <w:rFonts w:ascii="Arial" w:hAnsi="Arial" w:cs="Arial"/>
        </w:rPr>
        <w:fldChar w:fldCharType="begin"/>
      </w:r>
      <w:r w:rsidRPr="00D800F0">
        <w:rPr>
          <w:rFonts w:ascii="Arial" w:hAnsi="Arial" w:cs="Arial"/>
        </w:rPr>
        <w:instrText xml:space="preserve"> REF _Ref146354227 \h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Table </w:t>
      </w:r>
      <w:r w:rsidRPr="00D800F0">
        <w:rPr>
          <w:rFonts w:ascii="Arial" w:hAnsi="Arial" w:cs="Arial"/>
          <w:noProof/>
        </w:rPr>
        <w:t>E</w:t>
      </w:r>
      <w:r w:rsidRPr="00D800F0">
        <w:rPr>
          <w:rFonts w:ascii="Arial" w:hAnsi="Arial" w:cs="Arial"/>
        </w:rPr>
        <w:noBreakHyphen/>
      </w:r>
      <w:r w:rsidRPr="00D800F0">
        <w:rPr>
          <w:rFonts w:ascii="Arial" w:hAnsi="Arial" w:cs="Arial"/>
          <w:noProof/>
        </w:rPr>
        <w:t>5</w:t>
      </w:r>
      <w:r w:rsidRPr="00D800F0">
        <w:rPr>
          <w:rFonts w:ascii="Arial" w:hAnsi="Arial" w:cs="Arial"/>
        </w:rPr>
        <w:fldChar w:fldCharType="end"/>
      </w:r>
      <w:r w:rsidRPr="00D800F0">
        <w:rPr>
          <w:rFonts w:ascii="Arial" w:hAnsi="Arial" w:cs="Arial"/>
        </w:rPr>
        <w:t xml:space="preserve"> summarize numerical input values and their sources.</w:t>
      </w:r>
    </w:p>
    <w:p w14:paraId="39F26344" w14:textId="77777777" w:rsidR="00DA7E40" w:rsidRPr="00D800F0" w:rsidRDefault="00DA7E40" w:rsidP="00DA7E40">
      <w:pPr>
        <w:pStyle w:val="Caption"/>
        <w:rPr>
          <w:rFonts w:ascii="Arial" w:hAnsi="Arial" w:cs="Arial"/>
        </w:rPr>
      </w:pPr>
      <w:bookmarkStart w:id="54" w:name="_Ref146366686"/>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1</w:t>
      </w:r>
      <w:r w:rsidRPr="00D800F0">
        <w:rPr>
          <w:rFonts w:ascii="Arial" w:hAnsi="Arial" w:cs="Arial"/>
          <w:noProof/>
        </w:rPr>
        <w:fldChar w:fldCharType="end"/>
      </w:r>
      <w:bookmarkEnd w:id="54"/>
      <w:r w:rsidRPr="00D800F0">
        <w:rPr>
          <w:rFonts w:ascii="Arial" w:hAnsi="Arial" w:cs="Arial"/>
        </w:rPr>
        <w:t>: Nomenclature</w:t>
      </w:r>
    </w:p>
    <w:tbl>
      <w:tblPr>
        <w:tblStyle w:val="TableGrid"/>
        <w:tblW w:w="100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46"/>
        <w:gridCol w:w="1274"/>
      </w:tblGrid>
      <w:tr w:rsidR="00DA7E40" w:rsidRPr="00D800F0" w14:paraId="3A1FD32B" w14:textId="77777777" w:rsidTr="0000614D">
        <w:tc>
          <w:tcPr>
            <w:tcW w:w="2269" w:type="dxa"/>
            <w:tcBorders>
              <w:top w:val="single" w:sz="4" w:space="0" w:color="auto"/>
              <w:bottom w:val="single" w:sz="4" w:space="0" w:color="auto"/>
            </w:tcBorders>
          </w:tcPr>
          <w:p w14:paraId="22D6F2B5" w14:textId="77777777" w:rsidR="00DA7E40" w:rsidRPr="00D800F0" w:rsidRDefault="00DA7E40" w:rsidP="0000614D">
            <w:pPr>
              <w:rPr>
                <w:rFonts w:ascii="Arial" w:hAnsi="Arial" w:cs="Arial"/>
                <w:i/>
                <w:iCs/>
              </w:rPr>
            </w:pPr>
          </w:p>
        </w:tc>
        <w:tc>
          <w:tcPr>
            <w:tcW w:w="6546" w:type="dxa"/>
            <w:tcBorders>
              <w:top w:val="single" w:sz="4" w:space="0" w:color="auto"/>
              <w:bottom w:val="single" w:sz="4" w:space="0" w:color="auto"/>
            </w:tcBorders>
          </w:tcPr>
          <w:p w14:paraId="2B29DCC7" w14:textId="77777777" w:rsidR="00DA7E40" w:rsidRPr="00D800F0" w:rsidRDefault="00DA7E40" w:rsidP="0000614D">
            <w:pPr>
              <w:rPr>
                <w:rFonts w:ascii="Arial" w:hAnsi="Arial" w:cs="Arial"/>
                <w:i/>
                <w:iCs/>
              </w:rPr>
            </w:pPr>
            <w:r w:rsidRPr="00D800F0">
              <w:rPr>
                <w:rFonts w:ascii="Arial" w:hAnsi="Arial" w:cs="Arial"/>
                <w:i/>
                <w:iCs/>
              </w:rPr>
              <w:t>Description</w:t>
            </w:r>
          </w:p>
        </w:tc>
        <w:tc>
          <w:tcPr>
            <w:tcW w:w="1274" w:type="dxa"/>
            <w:tcBorders>
              <w:top w:val="single" w:sz="4" w:space="0" w:color="auto"/>
              <w:bottom w:val="single" w:sz="4" w:space="0" w:color="auto"/>
            </w:tcBorders>
          </w:tcPr>
          <w:p w14:paraId="00077BAA" w14:textId="77777777" w:rsidR="00DA7E40" w:rsidRPr="00D800F0" w:rsidRDefault="00DA7E40" w:rsidP="0000614D">
            <w:pPr>
              <w:rPr>
                <w:rFonts w:ascii="Arial" w:hAnsi="Arial" w:cs="Arial"/>
                <w:i/>
                <w:iCs/>
              </w:rPr>
            </w:pPr>
            <w:r w:rsidRPr="00D800F0">
              <w:rPr>
                <w:rFonts w:ascii="Arial" w:hAnsi="Arial" w:cs="Arial"/>
                <w:i/>
                <w:iCs/>
              </w:rPr>
              <w:t>Units</w:t>
            </w:r>
          </w:p>
        </w:tc>
      </w:tr>
      <w:tr w:rsidR="00DA7E40" w:rsidRPr="00D800F0" w14:paraId="5BECC4D9" w14:textId="77777777" w:rsidTr="0000614D">
        <w:tc>
          <w:tcPr>
            <w:tcW w:w="10089" w:type="dxa"/>
            <w:gridSpan w:val="3"/>
            <w:tcBorders>
              <w:top w:val="single" w:sz="4" w:space="0" w:color="auto"/>
              <w:bottom w:val="single" w:sz="4" w:space="0" w:color="auto"/>
            </w:tcBorders>
          </w:tcPr>
          <w:p w14:paraId="71F4EB1E" w14:textId="77777777" w:rsidR="00DA7E40" w:rsidRPr="00D800F0" w:rsidRDefault="00DA7E40" w:rsidP="0000614D">
            <w:pPr>
              <w:rPr>
                <w:rFonts w:ascii="Arial" w:hAnsi="Arial" w:cs="Arial"/>
              </w:rPr>
            </w:pPr>
            <w:r w:rsidRPr="00D800F0">
              <w:rPr>
                <w:rFonts w:ascii="Arial" w:hAnsi="Arial" w:cs="Arial"/>
              </w:rPr>
              <w:t>Decision variables</w:t>
            </w:r>
          </w:p>
        </w:tc>
      </w:tr>
      <w:tr w:rsidR="00DA7E40" w:rsidRPr="00D800F0" w14:paraId="072F350F" w14:textId="77777777" w:rsidTr="0000614D">
        <w:trPr>
          <w:trHeight w:val="56"/>
        </w:trPr>
        <w:tc>
          <w:tcPr>
            <w:tcW w:w="2269" w:type="dxa"/>
            <w:tcBorders>
              <w:top w:val="single" w:sz="4" w:space="0" w:color="auto"/>
            </w:tcBorders>
          </w:tcPr>
          <w:p w14:paraId="2548A8DA" w14:textId="77777777" w:rsidR="00DA7E40" w:rsidRPr="00D800F0" w:rsidRDefault="00DA7E40" w:rsidP="0000614D">
            <w:pPr>
              <w:rPr>
                <w:rFonts w:ascii="Arial" w:hAnsi="Arial" w:cs="Arial"/>
              </w:rPr>
            </w:pPr>
            <m:oMathPara>
              <m:oMathParaPr>
                <m:jc m:val="left"/>
              </m:oMathParaPr>
              <m:oMath>
                <m:r>
                  <m:rPr>
                    <m:sty m:val="bi"/>
                  </m:rPr>
                  <w:rPr>
                    <w:rFonts w:ascii="Cambria Math" w:hAnsi="Cambria Math" w:cs="Arial"/>
                  </w:rPr>
                  <m:t>w</m:t>
                </m:r>
              </m:oMath>
            </m:oMathPara>
          </w:p>
        </w:tc>
        <w:tc>
          <w:tcPr>
            <w:tcW w:w="6546" w:type="dxa"/>
            <w:tcBorders>
              <w:top w:val="single" w:sz="4" w:space="0" w:color="auto"/>
            </w:tcBorders>
          </w:tcPr>
          <w:p w14:paraId="6F827BE0" w14:textId="77777777" w:rsidR="00DA7E40" w:rsidRPr="00D800F0" w:rsidRDefault="00DA7E40" w:rsidP="0000614D">
            <w:pPr>
              <w:rPr>
                <w:rFonts w:ascii="Arial" w:hAnsi="Arial" w:cs="Arial"/>
                <w:b/>
                <w:bCs/>
              </w:rPr>
            </w:pPr>
            <w:r w:rsidRPr="00D800F0">
              <w:rPr>
                <w:rFonts w:ascii="Arial" w:hAnsi="Arial" w:cs="Arial"/>
              </w:rPr>
              <w:t>Installed wind capacity</w:t>
            </w:r>
          </w:p>
        </w:tc>
        <w:tc>
          <w:tcPr>
            <w:tcW w:w="1274" w:type="dxa"/>
            <w:tcBorders>
              <w:top w:val="single" w:sz="4" w:space="0" w:color="auto"/>
            </w:tcBorders>
          </w:tcPr>
          <w:p w14:paraId="7BD7218E" w14:textId="77777777" w:rsidR="00DA7E40" w:rsidRPr="00D800F0" w:rsidRDefault="00DA7E40" w:rsidP="0000614D">
            <w:pPr>
              <w:rPr>
                <w:rFonts w:ascii="Arial" w:hAnsi="Arial" w:cs="Arial"/>
              </w:rPr>
            </w:pPr>
            <w:r w:rsidRPr="00D800F0">
              <w:rPr>
                <w:rFonts w:ascii="Arial" w:hAnsi="Arial" w:cs="Arial"/>
              </w:rPr>
              <w:t>MW</w:t>
            </w:r>
          </w:p>
        </w:tc>
      </w:tr>
      <w:tr w:rsidR="00DA7E40" w:rsidRPr="00D800F0" w14:paraId="04346254" w14:textId="77777777" w:rsidTr="0000614D">
        <w:tc>
          <w:tcPr>
            <w:tcW w:w="2269" w:type="dxa"/>
          </w:tcPr>
          <w:p w14:paraId="3913264A" w14:textId="77777777" w:rsidR="00DA7E40" w:rsidRPr="00D800F0" w:rsidRDefault="00DA7E40" w:rsidP="0000614D">
            <w:pPr>
              <w:rPr>
                <w:rFonts w:ascii="Arial" w:hAnsi="Arial" w:cs="Arial"/>
              </w:rPr>
            </w:pPr>
            <m:oMathPara>
              <m:oMathParaPr>
                <m:jc m:val="left"/>
              </m:oMathParaPr>
              <m:oMath>
                <m:r>
                  <m:rPr>
                    <m:sty m:val="bi"/>
                  </m:rPr>
                  <w:rPr>
                    <w:rFonts w:ascii="Cambria Math" w:hAnsi="Cambria Math" w:cs="Arial"/>
                  </w:rPr>
                  <m:t>b</m:t>
                </m:r>
              </m:oMath>
            </m:oMathPara>
          </w:p>
        </w:tc>
        <w:tc>
          <w:tcPr>
            <w:tcW w:w="6546" w:type="dxa"/>
          </w:tcPr>
          <w:p w14:paraId="2EB0B44F" w14:textId="77777777" w:rsidR="00DA7E40" w:rsidRPr="00D800F0" w:rsidRDefault="00DA7E40" w:rsidP="0000614D">
            <w:pPr>
              <w:rPr>
                <w:rFonts w:ascii="Arial" w:hAnsi="Arial" w:cs="Arial"/>
              </w:rPr>
            </w:pPr>
            <w:r w:rsidRPr="00D800F0">
              <w:rPr>
                <w:rFonts w:ascii="Arial" w:hAnsi="Arial" w:cs="Arial"/>
              </w:rPr>
              <w:t>Battery capacity</w:t>
            </w:r>
          </w:p>
        </w:tc>
        <w:tc>
          <w:tcPr>
            <w:tcW w:w="1274" w:type="dxa"/>
          </w:tcPr>
          <w:p w14:paraId="4C0202DB" w14:textId="77777777" w:rsidR="00DA7E40" w:rsidRPr="00D800F0" w:rsidRDefault="00DA7E40" w:rsidP="0000614D">
            <w:pPr>
              <w:rPr>
                <w:rFonts w:ascii="Arial" w:hAnsi="Arial" w:cs="Arial"/>
              </w:rPr>
            </w:pPr>
            <w:r w:rsidRPr="00D800F0">
              <w:rPr>
                <w:rFonts w:ascii="Arial" w:hAnsi="Arial" w:cs="Arial"/>
              </w:rPr>
              <w:t>MW</w:t>
            </w:r>
          </w:p>
        </w:tc>
      </w:tr>
      <w:tr w:rsidR="00DA7E40" w:rsidRPr="00D800F0" w14:paraId="03E4A2D9" w14:textId="77777777" w:rsidTr="0000614D">
        <w:tc>
          <w:tcPr>
            <w:tcW w:w="2269" w:type="dxa"/>
          </w:tcPr>
          <w:p w14:paraId="68ACF107" w14:textId="77777777" w:rsidR="00DA7E40" w:rsidRPr="00D800F0" w:rsidRDefault="00DA7E40" w:rsidP="0000614D">
            <w:pPr>
              <w:rPr>
                <w:rFonts w:ascii="Arial" w:hAnsi="Arial" w:cs="Arial"/>
              </w:rPr>
            </w:pPr>
            <m:oMathPara>
              <m:oMathParaPr>
                <m:jc m:val="left"/>
              </m:oMathParaPr>
              <m:oMath>
                <m:r>
                  <m:rPr>
                    <m:sty m:val="bi"/>
                  </m:rPr>
                  <w:rPr>
                    <w:rFonts w:ascii="Cambria Math" w:hAnsi="Cambria Math" w:cs="Arial"/>
                  </w:rPr>
                  <m:t>w</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oMath>
            </m:oMathPara>
          </w:p>
        </w:tc>
        <w:tc>
          <w:tcPr>
            <w:tcW w:w="6546" w:type="dxa"/>
          </w:tcPr>
          <w:p w14:paraId="4DA78271" w14:textId="77777777" w:rsidR="00DA7E40" w:rsidRPr="00D800F0" w:rsidRDefault="00DA7E40" w:rsidP="0000614D">
            <w:pPr>
              <w:rPr>
                <w:rFonts w:ascii="Arial" w:hAnsi="Arial" w:cs="Arial"/>
                <w:b/>
                <w:bCs/>
              </w:rPr>
            </w:pPr>
            <w:r w:rsidRPr="00D800F0">
              <w:rPr>
                <w:rFonts w:ascii="Arial" w:hAnsi="Arial" w:cs="Arial"/>
              </w:rPr>
              <w:t>Wind generation in each time period</w:t>
            </w:r>
          </w:p>
        </w:tc>
        <w:tc>
          <w:tcPr>
            <w:tcW w:w="1274" w:type="dxa"/>
          </w:tcPr>
          <w:p w14:paraId="2E440E48" w14:textId="77777777" w:rsidR="00DA7E40" w:rsidRPr="00D800F0" w:rsidRDefault="00DA7E40" w:rsidP="0000614D">
            <w:pPr>
              <w:rPr>
                <w:rFonts w:ascii="Arial" w:hAnsi="Arial" w:cs="Arial"/>
              </w:rPr>
            </w:pPr>
            <w:r w:rsidRPr="00D800F0">
              <w:rPr>
                <w:rFonts w:ascii="Arial" w:hAnsi="Arial" w:cs="Arial"/>
              </w:rPr>
              <w:t>MWh</w:t>
            </w:r>
          </w:p>
        </w:tc>
      </w:tr>
      <w:tr w:rsidR="00DA7E40" w:rsidRPr="00D800F0" w14:paraId="7C21CBDC" w14:textId="77777777" w:rsidTr="0000614D">
        <w:tc>
          <w:tcPr>
            <w:tcW w:w="2269" w:type="dxa"/>
          </w:tcPr>
          <w:p w14:paraId="75480544" w14:textId="77777777" w:rsidR="00DA7E40" w:rsidRPr="00D800F0" w:rsidRDefault="00DA7E40" w:rsidP="0000614D">
            <w:pPr>
              <w:rPr>
                <w:rFonts w:ascii="Arial" w:hAnsi="Arial" w:cs="Arial"/>
              </w:rPr>
            </w:pPr>
            <m:oMathPara>
              <m:oMathParaPr>
                <m:jc m:val="left"/>
              </m:oMathParaPr>
              <m:oMath>
                <m:r>
                  <m:rPr>
                    <m:sty m:val="bi"/>
                  </m:rPr>
                  <w:rPr>
                    <w:rFonts w:ascii="Cambria Math" w:hAnsi="Cambria Math" w:cs="Arial"/>
                  </w:rPr>
                  <m:t>c</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oMath>
            </m:oMathPara>
          </w:p>
        </w:tc>
        <w:tc>
          <w:tcPr>
            <w:tcW w:w="6546" w:type="dxa"/>
          </w:tcPr>
          <w:p w14:paraId="66FF08DF" w14:textId="77777777" w:rsidR="00DA7E40" w:rsidRPr="00D800F0" w:rsidRDefault="00DA7E40" w:rsidP="0000614D">
            <w:pPr>
              <w:rPr>
                <w:rFonts w:ascii="Arial" w:hAnsi="Arial" w:cs="Arial"/>
                <w:b/>
                <w:bCs/>
              </w:rPr>
            </w:pPr>
            <w:r w:rsidRPr="00D800F0">
              <w:rPr>
                <w:rFonts w:ascii="Arial" w:hAnsi="Arial" w:cs="Arial"/>
              </w:rPr>
              <w:t xml:space="preserve">Battery charge in each time period </w:t>
            </w:r>
          </w:p>
        </w:tc>
        <w:tc>
          <w:tcPr>
            <w:tcW w:w="1274" w:type="dxa"/>
          </w:tcPr>
          <w:p w14:paraId="610446ED" w14:textId="77777777" w:rsidR="00DA7E40" w:rsidRPr="00D800F0" w:rsidRDefault="00DA7E40" w:rsidP="0000614D">
            <w:pPr>
              <w:rPr>
                <w:rFonts w:ascii="Arial" w:hAnsi="Arial" w:cs="Arial"/>
                <w:b/>
                <w:bCs/>
              </w:rPr>
            </w:pPr>
            <w:r w:rsidRPr="00D800F0">
              <w:rPr>
                <w:rFonts w:ascii="Arial" w:hAnsi="Arial" w:cs="Arial"/>
              </w:rPr>
              <w:t>MWh</w:t>
            </w:r>
          </w:p>
        </w:tc>
      </w:tr>
      <w:tr w:rsidR="00DA7E40" w:rsidRPr="00D800F0" w14:paraId="6E9EF028" w14:textId="77777777" w:rsidTr="0000614D">
        <w:tc>
          <w:tcPr>
            <w:tcW w:w="2269" w:type="dxa"/>
          </w:tcPr>
          <w:p w14:paraId="3796A7FD" w14:textId="77777777" w:rsidR="00DA7E40" w:rsidRPr="00D800F0" w:rsidRDefault="00DA7E40" w:rsidP="0000614D">
            <w:pPr>
              <w:rPr>
                <w:rFonts w:ascii="Arial" w:hAnsi="Arial" w:cs="Arial"/>
              </w:rPr>
            </w:pPr>
            <m:oMathPara>
              <m:oMathParaPr>
                <m:jc m:val="left"/>
              </m:oMathParaPr>
              <m:oMath>
                <m:r>
                  <m:rPr>
                    <m:sty m:val="bi"/>
                  </m:rPr>
                  <w:rPr>
                    <w:rFonts w:ascii="Cambria Math" w:hAnsi="Cambria Math" w:cs="Arial"/>
                  </w:rPr>
                  <m:t>d</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oMath>
            </m:oMathPara>
          </w:p>
        </w:tc>
        <w:tc>
          <w:tcPr>
            <w:tcW w:w="6546" w:type="dxa"/>
          </w:tcPr>
          <w:p w14:paraId="29B7727F" w14:textId="77777777" w:rsidR="00DA7E40" w:rsidRPr="00D800F0" w:rsidRDefault="00DA7E40" w:rsidP="0000614D">
            <w:pPr>
              <w:rPr>
                <w:rFonts w:ascii="Arial" w:hAnsi="Arial" w:cs="Arial"/>
                <w:b/>
                <w:bCs/>
              </w:rPr>
            </w:pPr>
            <w:r w:rsidRPr="00D800F0">
              <w:rPr>
                <w:rFonts w:ascii="Arial" w:hAnsi="Arial" w:cs="Arial"/>
              </w:rPr>
              <w:t>Battery discharge in each time period</w:t>
            </w:r>
          </w:p>
        </w:tc>
        <w:tc>
          <w:tcPr>
            <w:tcW w:w="1274" w:type="dxa"/>
          </w:tcPr>
          <w:p w14:paraId="7DB046F4" w14:textId="77777777" w:rsidR="00DA7E40" w:rsidRPr="00D800F0" w:rsidRDefault="00DA7E40" w:rsidP="0000614D">
            <w:pPr>
              <w:rPr>
                <w:rFonts w:ascii="Arial" w:hAnsi="Arial" w:cs="Arial"/>
                <w:b/>
                <w:bCs/>
              </w:rPr>
            </w:pPr>
            <w:r w:rsidRPr="00D800F0">
              <w:rPr>
                <w:rFonts w:ascii="Arial" w:hAnsi="Arial" w:cs="Arial"/>
              </w:rPr>
              <w:t>MWh</w:t>
            </w:r>
          </w:p>
        </w:tc>
      </w:tr>
      <w:tr w:rsidR="00DA7E40" w:rsidRPr="00D800F0" w14:paraId="4E191AD0" w14:textId="77777777" w:rsidTr="0000614D">
        <w:tc>
          <w:tcPr>
            <w:tcW w:w="2269" w:type="dxa"/>
            <w:tcBorders>
              <w:bottom w:val="single" w:sz="4" w:space="0" w:color="auto"/>
            </w:tcBorders>
          </w:tcPr>
          <w:p w14:paraId="62700F90" w14:textId="77777777" w:rsidR="00DA7E40" w:rsidRPr="00D800F0" w:rsidRDefault="00DA7E40" w:rsidP="0000614D">
            <w:pPr>
              <w:rPr>
                <w:rFonts w:ascii="Arial" w:hAnsi="Arial" w:cs="Arial"/>
              </w:rPr>
            </w:pPr>
            <m:oMathPara>
              <m:oMathParaPr>
                <m:jc m:val="left"/>
              </m:oMathParaPr>
              <m:oMath>
                <m:r>
                  <m:rPr>
                    <m:sty m:val="bi"/>
                  </m:rPr>
                  <w:rPr>
                    <w:rFonts w:ascii="Cambria Math" w:hAnsi="Cambria Math" w:cs="Arial"/>
                  </w:rPr>
                  <m:t>b</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oMath>
            </m:oMathPara>
          </w:p>
        </w:tc>
        <w:tc>
          <w:tcPr>
            <w:tcW w:w="6546" w:type="dxa"/>
            <w:tcBorders>
              <w:bottom w:val="single" w:sz="4" w:space="0" w:color="auto"/>
            </w:tcBorders>
          </w:tcPr>
          <w:p w14:paraId="0011E9D9" w14:textId="77777777" w:rsidR="00DA7E40" w:rsidRPr="00D800F0" w:rsidRDefault="00DA7E40" w:rsidP="0000614D">
            <w:pPr>
              <w:rPr>
                <w:rFonts w:ascii="Arial" w:hAnsi="Arial" w:cs="Arial"/>
                <w:b/>
                <w:bCs/>
              </w:rPr>
            </w:pPr>
            <w:r w:rsidRPr="00D800F0">
              <w:rPr>
                <w:rFonts w:ascii="Arial" w:hAnsi="Arial" w:cs="Arial"/>
              </w:rPr>
              <w:t>Battery state of charge in each time period</w:t>
            </w:r>
          </w:p>
        </w:tc>
        <w:tc>
          <w:tcPr>
            <w:tcW w:w="1274" w:type="dxa"/>
            <w:tcBorders>
              <w:bottom w:val="single" w:sz="4" w:space="0" w:color="auto"/>
            </w:tcBorders>
          </w:tcPr>
          <w:p w14:paraId="4A44D7D6" w14:textId="77777777" w:rsidR="00DA7E40" w:rsidRPr="00D800F0" w:rsidRDefault="00DA7E40" w:rsidP="0000614D">
            <w:pPr>
              <w:rPr>
                <w:rFonts w:ascii="Arial" w:hAnsi="Arial" w:cs="Arial"/>
                <w:b/>
                <w:bCs/>
              </w:rPr>
            </w:pPr>
            <w:r w:rsidRPr="00D800F0">
              <w:rPr>
                <w:rFonts w:ascii="Arial" w:hAnsi="Arial" w:cs="Arial"/>
              </w:rPr>
              <w:t>MWh</w:t>
            </w:r>
          </w:p>
        </w:tc>
      </w:tr>
      <w:tr w:rsidR="00DA7E40" w:rsidRPr="00D800F0" w14:paraId="43D08FCE" w14:textId="77777777" w:rsidTr="0000614D">
        <w:tc>
          <w:tcPr>
            <w:tcW w:w="10089" w:type="dxa"/>
            <w:gridSpan w:val="3"/>
            <w:tcBorders>
              <w:top w:val="single" w:sz="4" w:space="0" w:color="auto"/>
              <w:bottom w:val="single" w:sz="4" w:space="0" w:color="auto"/>
            </w:tcBorders>
          </w:tcPr>
          <w:p w14:paraId="34267E85" w14:textId="77777777" w:rsidR="00DA7E40" w:rsidRPr="00D800F0" w:rsidRDefault="00DA7E40" w:rsidP="0000614D">
            <w:pPr>
              <w:rPr>
                <w:rFonts w:ascii="Arial" w:hAnsi="Arial" w:cs="Arial"/>
              </w:rPr>
            </w:pPr>
            <w:r w:rsidRPr="00D800F0">
              <w:rPr>
                <w:rFonts w:ascii="Arial" w:hAnsi="Arial" w:cs="Arial"/>
              </w:rPr>
              <w:lastRenderedPageBreak/>
              <w:t>Parameters</w:t>
            </w:r>
          </w:p>
        </w:tc>
      </w:tr>
      <w:tr w:rsidR="00DA7E40" w:rsidRPr="00D800F0" w14:paraId="119CF77A" w14:textId="77777777" w:rsidTr="0000614D">
        <w:tc>
          <w:tcPr>
            <w:tcW w:w="2269" w:type="dxa"/>
            <w:tcBorders>
              <w:top w:val="single" w:sz="4" w:space="0" w:color="auto"/>
            </w:tcBorders>
          </w:tcPr>
          <w:p w14:paraId="3329A35C" w14:textId="77777777" w:rsidR="00DA7E40" w:rsidRPr="00D800F0" w:rsidRDefault="00DA7E40" w:rsidP="0000614D">
            <w:pPr>
              <w:rPr>
                <w:rFonts w:ascii="Arial" w:hAnsi="Arial" w:cs="Arial"/>
              </w:rPr>
            </w:pPr>
            <m:oMathPara>
              <m:oMathParaPr>
                <m:jc m:val="left"/>
              </m:oMathParaPr>
              <m:oMath>
                <m:r>
                  <m:rPr>
                    <m:sty m:val="bi"/>
                  </m:rPr>
                  <w:rPr>
                    <w:rFonts w:ascii="Cambria Math" w:hAnsi="Cambria Math" w:cs="Arial"/>
                  </w:rPr>
                  <m:t>CF</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oMath>
            </m:oMathPara>
          </w:p>
        </w:tc>
        <w:tc>
          <w:tcPr>
            <w:tcW w:w="6546" w:type="dxa"/>
            <w:tcBorders>
              <w:top w:val="single" w:sz="4" w:space="0" w:color="auto"/>
            </w:tcBorders>
          </w:tcPr>
          <w:p w14:paraId="5F6CCBE0" w14:textId="77777777" w:rsidR="00DA7E40" w:rsidRPr="00D800F0" w:rsidRDefault="00DA7E40" w:rsidP="0000614D">
            <w:pPr>
              <w:rPr>
                <w:rFonts w:ascii="Arial" w:hAnsi="Arial" w:cs="Arial"/>
              </w:rPr>
            </w:pPr>
            <w:r w:rsidRPr="00D800F0">
              <w:rPr>
                <w:rFonts w:ascii="Arial" w:hAnsi="Arial" w:cs="Arial"/>
              </w:rPr>
              <w:t xml:space="preserve">Capacity factor of wind across different periods. </w:t>
            </w:r>
          </w:p>
        </w:tc>
        <w:tc>
          <w:tcPr>
            <w:tcW w:w="1274" w:type="dxa"/>
            <w:tcBorders>
              <w:top w:val="single" w:sz="4" w:space="0" w:color="auto"/>
            </w:tcBorders>
          </w:tcPr>
          <w:p w14:paraId="6BD626D7" w14:textId="77777777" w:rsidR="00DA7E40" w:rsidRPr="00D800F0" w:rsidRDefault="00DA7E40" w:rsidP="0000614D">
            <w:pPr>
              <w:rPr>
                <w:rFonts w:ascii="Arial" w:hAnsi="Arial" w:cs="Arial"/>
              </w:rPr>
            </w:pPr>
            <w:r w:rsidRPr="00D800F0">
              <w:rPr>
                <w:rFonts w:ascii="Arial" w:hAnsi="Arial" w:cs="Arial"/>
              </w:rPr>
              <w:t>Unitless</w:t>
            </w:r>
          </w:p>
        </w:tc>
      </w:tr>
      <w:tr w:rsidR="00DA7E40" w:rsidRPr="00D800F0" w14:paraId="6B55FB55" w14:textId="77777777" w:rsidTr="0000614D">
        <w:tc>
          <w:tcPr>
            <w:tcW w:w="2269" w:type="dxa"/>
          </w:tcPr>
          <w:p w14:paraId="4DCEB00D" w14:textId="77777777" w:rsidR="00DA7E40" w:rsidRPr="00D800F0" w:rsidRDefault="00DA7E40" w:rsidP="0000614D">
            <w:pPr>
              <w:rPr>
                <w:rFonts w:ascii="Arial" w:eastAsia="DengXian" w:hAnsi="Arial" w:cs="Arial"/>
              </w:rPr>
            </w:pPr>
            <m:oMathPara>
              <m:oMathParaPr>
                <m:jc m:val="left"/>
              </m:oMathParaPr>
              <m:oMath>
                <m:r>
                  <m:rPr>
                    <m:sty m:val="bi"/>
                  </m:rPr>
                  <w:rPr>
                    <w:rFonts w:ascii="Cambria Math" w:hAnsi="Cambria Math" w:cs="Arial"/>
                  </w:rPr>
                  <m:t>D</m:t>
                </m:r>
              </m:oMath>
            </m:oMathPara>
          </w:p>
        </w:tc>
        <w:tc>
          <w:tcPr>
            <w:tcW w:w="6546" w:type="dxa"/>
          </w:tcPr>
          <w:p w14:paraId="0D44CD6D" w14:textId="77777777" w:rsidR="00DA7E40" w:rsidRPr="00D800F0" w:rsidRDefault="00DA7E40" w:rsidP="0000614D">
            <w:pPr>
              <w:rPr>
                <w:rFonts w:ascii="Arial" w:hAnsi="Arial" w:cs="Arial"/>
              </w:rPr>
            </w:pPr>
            <w:r w:rsidRPr="00D800F0">
              <w:rPr>
                <w:rFonts w:ascii="Arial" w:hAnsi="Arial" w:cs="Arial"/>
              </w:rPr>
              <w:t>Constant electricity demand, which differs based on specific technologies, including AP CCS, AP BH2S, and AP AEC</w:t>
            </w:r>
          </w:p>
        </w:tc>
        <w:tc>
          <w:tcPr>
            <w:tcW w:w="1274" w:type="dxa"/>
          </w:tcPr>
          <w:p w14:paraId="238974E3" w14:textId="77777777" w:rsidR="00DA7E40" w:rsidRPr="00D800F0" w:rsidRDefault="00DA7E40" w:rsidP="0000614D">
            <w:pPr>
              <w:rPr>
                <w:rFonts w:ascii="Arial" w:hAnsi="Arial" w:cs="Arial"/>
              </w:rPr>
            </w:pPr>
            <w:r w:rsidRPr="00D800F0">
              <w:rPr>
                <w:rFonts w:ascii="Arial" w:hAnsi="Arial" w:cs="Arial"/>
              </w:rPr>
              <w:t>MWh</w:t>
            </w:r>
          </w:p>
        </w:tc>
      </w:tr>
      <w:tr w:rsidR="00DA7E40" w:rsidRPr="00D800F0" w14:paraId="2311BEF4" w14:textId="77777777" w:rsidTr="0000614D">
        <w:tc>
          <w:tcPr>
            <w:tcW w:w="2269" w:type="dxa"/>
            <w:vAlign w:val="center"/>
          </w:tcPr>
          <w:p w14:paraId="5C97E809" w14:textId="77777777" w:rsidR="00DA7E40" w:rsidRPr="00D800F0" w:rsidRDefault="00DA7E40" w:rsidP="0000614D">
            <w:pPr>
              <w:jc w:val="center"/>
              <w:rPr>
                <w:rFonts w:ascii="Arial" w:hAnsi="Arial" w:cs="Arial"/>
              </w:rPr>
            </w:pPr>
            <m:oMathPara>
              <m:oMathParaPr>
                <m:jc m:val="left"/>
              </m:oMathParaPr>
              <m:oMath>
                <m:r>
                  <m:rPr>
                    <m:sty m:val="bi"/>
                  </m:rPr>
                  <w:rPr>
                    <w:rFonts w:ascii="Cambria Math" w:hAnsi="Cambria Math" w:cs="Arial"/>
                  </w:rPr>
                  <m:t>EFF</m:t>
                </m:r>
              </m:oMath>
            </m:oMathPara>
          </w:p>
        </w:tc>
        <w:tc>
          <w:tcPr>
            <w:tcW w:w="6546" w:type="dxa"/>
            <w:vAlign w:val="center"/>
          </w:tcPr>
          <w:p w14:paraId="4AAD7A5C" w14:textId="77777777" w:rsidR="00DA7E40" w:rsidRPr="00D800F0" w:rsidRDefault="00DA7E40" w:rsidP="0000614D">
            <w:pPr>
              <w:rPr>
                <w:rFonts w:ascii="Arial" w:hAnsi="Arial" w:cs="Arial"/>
              </w:rPr>
            </w:pPr>
            <w:r w:rsidRPr="00D800F0">
              <w:rPr>
                <w:rFonts w:ascii="Arial" w:hAnsi="Arial" w:cs="Arial"/>
              </w:rPr>
              <w:t>Roundtrip efficiency of the battery system. It is assumed to be 85%</w:t>
            </w:r>
            <w:r w:rsidRPr="00D800F0">
              <w:rPr>
                <w:rFonts w:ascii="Arial" w:hAnsi="Arial" w:cs="Arial"/>
                <w:vertAlign w:val="superscript"/>
              </w:rPr>
              <w:t>A</w:t>
            </w:r>
            <w:r w:rsidRPr="00D800F0">
              <w:rPr>
                <w:rFonts w:ascii="Arial" w:hAnsi="Arial" w:cs="Arial"/>
              </w:rPr>
              <w:t>.</w:t>
            </w:r>
          </w:p>
        </w:tc>
        <w:tc>
          <w:tcPr>
            <w:tcW w:w="1274" w:type="dxa"/>
          </w:tcPr>
          <w:p w14:paraId="7C3BF422" w14:textId="77777777" w:rsidR="00DA7E40" w:rsidRPr="00D800F0" w:rsidRDefault="00DA7E40" w:rsidP="0000614D">
            <w:pPr>
              <w:rPr>
                <w:rFonts w:ascii="Arial" w:hAnsi="Arial" w:cs="Arial"/>
              </w:rPr>
            </w:pPr>
            <w:r w:rsidRPr="00D800F0">
              <w:rPr>
                <w:rFonts w:ascii="Arial" w:hAnsi="Arial" w:cs="Arial"/>
              </w:rPr>
              <w:t>Unitless</w:t>
            </w:r>
          </w:p>
        </w:tc>
      </w:tr>
      <w:tr w:rsidR="00DA7E40" w:rsidRPr="00D800F0" w14:paraId="64D95C61" w14:textId="77777777" w:rsidTr="0000614D">
        <w:tc>
          <w:tcPr>
            <w:tcW w:w="2269" w:type="dxa"/>
          </w:tcPr>
          <w:p w14:paraId="7AD76131" w14:textId="77777777" w:rsidR="00DA7E40" w:rsidRPr="00D800F0" w:rsidRDefault="00DA7E40" w:rsidP="0000614D">
            <w:pPr>
              <w:rPr>
                <w:rFonts w:ascii="Arial" w:hAnsi="Arial" w:cs="Arial"/>
                <w:iCs/>
              </w:rPr>
            </w:pPr>
            <m:oMathPara>
              <m:oMathParaPr>
                <m:jc m:val="left"/>
              </m:oMathParaPr>
              <m:oMath>
                <m:r>
                  <m:rPr>
                    <m:sty m:val="bi"/>
                  </m:rPr>
                  <w:rPr>
                    <w:rFonts w:ascii="Cambria Math" w:hAnsi="Cambria Math" w:cs="Arial"/>
                  </w:rPr>
                  <m:t>COS</m:t>
                </m:r>
                <m:sSub>
                  <m:sSubPr>
                    <m:ctrlPr>
                      <w:rPr>
                        <w:rFonts w:ascii="Cambria Math" w:hAnsi="Cambria Math" w:cs="Arial"/>
                      </w:rPr>
                    </m:ctrlPr>
                  </m:sSubPr>
                  <m:e>
                    <m:r>
                      <m:rPr>
                        <m:sty m:val="bi"/>
                      </m:rPr>
                      <w:rPr>
                        <w:rFonts w:ascii="Cambria Math" w:hAnsi="Cambria Math" w:cs="Arial"/>
                      </w:rPr>
                      <m:t>T</m:t>
                    </m:r>
                  </m:e>
                  <m:sub>
                    <m:r>
                      <m:rPr>
                        <m:sty m:val="bi"/>
                      </m:rPr>
                      <w:rPr>
                        <w:rFonts w:ascii="Cambria Math" w:hAnsi="Cambria Math" w:cs="Arial"/>
                      </w:rPr>
                      <m:t>wind</m:t>
                    </m:r>
                  </m:sub>
                </m:sSub>
              </m:oMath>
            </m:oMathPara>
          </w:p>
        </w:tc>
        <w:tc>
          <w:tcPr>
            <w:tcW w:w="6546" w:type="dxa"/>
          </w:tcPr>
          <w:p w14:paraId="33B88ABD" w14:textId="77777777" w:rsidR="00DA7E40" w:rsidRPr="00D800F0" w:rsidRDefault="00DA7E40" w:rsidP="0000614D">
            <w:pPr>
              <w:rPr>
                <w:rFonts w:ascii="Arial" w:hAnsi="Arial" w:cs="Arial"/>
              </w:rPr>
            </w:pPr>
            <w:r w:rsidRPr="00D800F0">
              <w:rPr>
                <w:rFonts w:ascii="Arial" w:hAnsi="Arial" w:cs="Arial"/>
              </w:rPr>
              <w:t>Capital cost per MW of wind capacity</w:t>
            </w:r>
          </w:p>
        </w:tc>
        <w:tc>
          <w:tcPr>
            <w:tcW w:w="1274" w:type="dxa"/>
          </w:tcPr>
          <w:p w14:paraId="49AF4AE7" w14:textId="77777777" w:rsidR="00DA7E40" w:rsidRPr="00D800F0" w:rsidRDefault="00DA7E40" w:rsidP="0000614D">
            <w:pPr>
              <w:rPr>
                <w:rFonts w:ascii="Arial" w:hAnsi="Arial" w:cs="Arial"/>
              </w:rPr>
            </w:pPr>
            <w:r w:rsidRPr="00D800F0">
              <w:rPr>
                <w:rFonts w:ascii="Arial" w:hAnsi="Arial" w:cs="Arial"/>
              </w:rPr>
              <w:t>$/MW</w:t>
            </w:r>
          </w:p>
        </w:tc>
      </w:tr>
      <w:tr w:rsidR="00DA7E40" w:rsidRPr="00D800F0" w14:paraId="1A212D00" w14:textId="77777777" w:rsidTr="0000614D">
        <w:tc>
          <w:tcPr>
            <w:tcW w:w="2269" w:type="dxa"/>
            <w:tcBorders>
              <w:bottom w:val="single" w:sz="4" w:space="0" w:color="auto"/>
            </w:tcBorders>
          </w:tcPr>
          <w:p w14:paraId="01B9D4A0" w14:textId="77777777" w:rsidR="00DA7E40" w:rsidRPr="00D800F0" w:rsidRDefault="00DA7E40" w:rsidP="0000614D">
            <w:pPr>
              <w:rPr>
                <w:rFonts w:ascii="Arial" w:hAnsi="Arial" w:cs="Arial"/>
              </w:rPr>
            </w:pPr>
            <m:oMathPara>
              <m:oMathParaPr>
                <m:jc m:val="left"/>
              </m:oMathParaPr>
              <m:oMath>
                <m:r>
                  <m:rPr>
                    <m:sty m:val="bi"/>
                  </m:rPr>
                  <w:rPr>
                    <w:rFonts w:ascii="Cambria Math" w:hAnsi="Cambria Math" w:cs="Arial"/>
                  </w:rPr>
                  <m:t>COS</m:t>
                </m:r>
                <m:sSub>
                  <m:sSubPr>
                    <m:ctrlPr>
                      <w:rPr>
                        <w:rFonts w:ascii="Cambria Math" w:hAnsi="Cambria Math" w:cs="Arial"/>
                      </w:rPr>
                    </m:ctrlPr>
                  </m:sSubPr>
                  <m:e>
                    <m:r>
                      <m:rPr>
                        <m:sty m:val="bi"/>
                      </m:rPr>
                      <w:rPr>
                        <w:rFonts w:ascii="Cambria Math" w:hAnsi="Cambria Math" w:cs="Arial"/>
                      </w:rPr>
                      <m:t>T</m:t>
                    </m:r>
                  </m:e>
                  <m:sub>
                    <m:r>
                      <m:rPr>
                        <m:sty m:val="bi"/>
                      </m:rPr>
                      <w:rPr>
                        <w:rFonts w:ascii="Cambria Math" w:hAnsi="Cambria Math" w:cs="Arial"/>
                      </w:rPr>
                      <m:t>battery</m:t>
                    </m:r>
                  </m:sub>
                </m:sSub>
              </m:oMath>
            </m:oMathPara>
          </w:p>
        </w:tc>
        <w:tc>
          <w:tcPr>
            <w:tcW w:w="6546" w:type="dxa"/>
            <w:tcBorders>
              <w:bottom w:val="single" w:sz="4" w:space="0" w:color="auto"/>
            </w:tcBorders>
          </w:tcPr>
          <w:p w14:paraId="511EBA5E" w14:textId="77777777" w:rsidR="00DA7E40" w:rsidRPr="00D800F0" w:rsidRDefault="00DA7E40" w:rsidP="0000614D">
            <w:pPr>
              <w:rPr>
                <w:rFonts w:ascii="Arial" w:hAnsi="Arial" w:cs="Arial"/>
              </w:rPr>
            </w:pPr>
            <w:r w:rsidRPr="00D800F0">
              <w:rPr>
                <w:rFonts w:ascii="Arial" w:hAnsi="Arial" w:cs="Arial"/>
              </w:rPr>
              <w:t>Capital cost per MW of battery capacity</w:t>
            </w:r>
          </w:p>
        </w:tc>
        <w:tc>
          <w:tcPr>
            <w:tcW w:w="1274" w:type="dxa"/>
            <w:tcBorders>
              <w:bottom w:val="single" w:sz="4" w:space="0" w:color="auto"/>
            </w:tcBorders>
          </w:tcPr>
          <w:p w14:paraId="22E0837E" w14:textId="77777777" w:rsidR="00DA7E40" w:rsidRPr="00D800F0" w:rsidRDefault="00DA7E40" w:rsidP="0000614D">
            <w:pPr>
              <w:rPr>
                <w:rFonts w:ascii="Arial" w:hAnsi="Arial" w:cs="Arial"/>
              </w:rPr>
            </w:pPr>
            <w:r w:rsidRPr="00D800F0">
              <w:rPr>
                <w:rFonts w:ascii="Arial" w:hAnsi="Arial" w:cs="Arial"/>
              </w:rPr>
              <w:t>$/MW</w:t>
            </w:r>
          </w:p>
        </w:tc>
      </w:tr>
    </w:tbl>
    <w:p w14:paraId="05C823A2" w14:textId="77777777" w:rsidR="00DA7E40" w:rsidRPr="00D800F0" w:rsidRDefault="00DA7E40" w:rsidP="00DA7E40">
      <w:pPr>
        <w:rPr>
          <w:rFonts w:ascii="Arial" w:hAnsi="Arial" w:cs="Arial"/>
        </w:rPr>
      </w:pPr>
      <w:r w:rsidRPr="00D800F0">
        <w:rPr>
          <w:rFonts w:ascii="Arial" w:hAnsi="Arial" w:cs="Arial"/>
          <w:b/>
          <w:bCs/>
          <w:vertAlign w:val="superscript"/>
        </w:rPr>
        <w:t>A</w:t>
      </w:r>
      <w:r w:rsidRPr="00D800F0">
        <w:rPr>
          <w:rFonts w:ascii="Arial" w:hAnsi="Arial" w:cs="Arial"/>
          <w:b/>
          <w:bCs/>
        </w:rPr>
        <w:t xml:space="preserve"> </w:t>
      </w:r>
      <w:r w:rsidRPr="00D800F0">
        <w:rPr>
          <w:rFonts w:ascii="Arial" w:hAnsi="Arial" w:cs="Arial"/>
        </w:rPr>
        <w:t xml:space="preserve">Cole &amp; Frazier (2019) </w:t>
      </w:r>
    </w:p>
    <w:p w14:paraId="6A0BAE07" w14:textId="77777777" w:rsidR="00DA7E40" w:rsidRPr="00D800F0" w:rsidRDefault="00DA7E40" w:rsidP="006864F3">
      <w:pPr>
        <w:pStyle w:val="Heading4"/>
        <w:rPr>
          <w:rFonts w:ascii="Arial" w:hAnsi="Arial" w:cs="Arial"/>
        </w:rPr>
      </w:pPr>
      <w:r w:rsidRPr="00D800F0">
        <w:rPr>
          <w:rFonts w:ascii="Arial" w:hAnsi="Arial" w:cs="Arial"/>
        </w:rPr>
        <w:t>Objective Function</w:t>
      </w:r>
    </w:p>
    <w:p w14:paraId="5D203AE0" w14:textId="77777777" w:rsidR="00DA7E40" w:rsidRPr="00D800F0" w:rsidRDefault="00DA7E40" w:rsidP="00DA7E40">
      <w:pPr>
        <w:rPr>
          <w:rFonts w:ascii="Arial" w:hAnsi="Arial" w:cs="Arial"/>
          <w:b/>
          <w:bCs/>
        </w:rPr>
      </w:pPr>
      <w:r w:rsidRPr="00D800F0">
        <w:rPr>
          <w:rFonts w:ascii="Arial" w:hAnsi="Arial" w:cs="Arial"/>
        </w:rPr>
        <w:t>The objective function (eq. D.1) is to minimize the total capital investments, which is the sum of the capital cost of wind installation (</w:t>
      </w:r>
      <m:oMath>
        <m:r>
          <m:rPr>
            <m:sty m:val="bi"/>
          </m:rPr>
          <w:rPr>
            <w:rFonts w:ascii="Cambria Math" w:hAnsi="Cambria Math" w:cs="Arial"/>
          </w:rPr>
          <m:t>COS</m:t>
        </m:r>
        <m:sSub>
          <m:sSubPr>
            <m:ctrlPr>
              <w:rPr>
                <w:rFonts w:ascii="Cambria Math" w:hAnsi="Cambria Math" w:cs="Arial"/>
                <w:b/>
                <w:bCs/>
                <w:i/>
                <w:iCs/>
              </w:rPr>
            </m:ctrlPr>
          </m:sSubPr>
          <m:e>
            <m:r>
              <m:rPr>
                <m:sty m:val="bi"/>
              </m:rPr>
              <w:rPr>
                <w:rFonts w:ascii="Cambria Math" w:hAnsi="Cambria Math" w:cs="Arial"/>
              </w:rPr>
              <m:t>T</m:t>
            </m:r>
          </m:e>
          <m:sub>
            <m:r>
              <m:rPr>
                <m:sty m:val="bi"/>
              </m:rPr>
              <w:rPr>
                <w:rFonts w:ascii="Cambria Math" w:hAnsi="Cambria Math" w:cs="Arial"/>
              </w:rPr>
              <m:t>wind</m:t>
            </m:r>
          </m:sub>
        </m:sSub>
        <m:r>
          <w:rPr>
            <w:rFonts w:ascii="Cambria Math" w:hAnsi="Cambria Math" w:cs="Arial"/>
          </w:rPr>
          <m:t xml:space="preserve">× </m:t>
        </m:r>
        <m:r>
          <m:rPr>
            <m:sty m:val="bi"/>
          </m:rPr>
          <w:rPr>
            <w:rFonts w:ascii="Cambria Math" w:hAnsi="Cambria Math" w:cs="Arial"/>
          </w:rPr>
          <m:t>w</m:t>
        </m:r>
      </m:oMath>
      <w:r w:rsidRPr="00D800F0">
        <w:rPr>
          <w:rFonts w:ascii="Arial" w:hAnsi="Arial" w:cs="Arial"/>
        </w:rPr>
        <w:t>) and the capital cost of battery installation (</w:t>
      </w:r>
      <m:oMath>
        <m:r>
          <m:rPr>
            <m:sty m:val="bi"/>
          </m:rPr>
          <w:rPr>
            <w:rFonts w:ascii="Cambria Math" w:hAnsi="Cambria Math" w:cs="Arial"/>
          </w:rPr>
          <m:t>COS</m:t>
        </m:r>
        <m:sSub>
          <m:sSubPr>
            <m:ctrlPr>
              <w:rPr>
                <w:rFonts w:ascii="Cambria Math" w:hAnsi="Cambria Math" w:cs="Arial"/>
                <w:b/>
                <w:bCs/>
                <w:i/>
                <w:iCs/>
              </w:rPr>
            </m:ctrlPr>
          </m:sSubPr>
          <m:e>
            <m:r>
              <m:rPr>
                <m:sty m:val="bi"/>
              </m:rPr>
              <w:rPr>
                <w:rFonts w:ascii="Cambria Math" w:hAnsi="Cambria Math" w:cs="Arial"/>
              </w:rPr>
              <m:t>T</m:t>
            </m:r>
          </m:e>
          <m:sub>
            <m:r>
              <m:rPr>
                <m:sty m:val="bi"/>
              </m:rPr>
              <w:rPr>
                <w:rFonts w:ascii="Cambria Math" w:hAnsi="Cambria Math" w:cs="Arial"/>
              </w:rPr>
              <m:t>battery</m:t>
            </m:r>
          </m:sub>
        </m:sSub>
        <m:r>
          <w:rPr>
            <w:rFonts w:ascii="Cambria Math" w:hAnsi="Cambria Math" w:cs="Arial"/>
          </w:rPr>
          <m:t>×</m:t>
        </m:r>
        <m:r>
          <m:rPr>
            <m:sty m:val="bi"/>
          </m:rPr>
          <w:rPr>
            <w:rFonts w:ascii="Cambria Math" w:hAnsi="Cambria Math" w:cs="Arial"/>
          </w:rPr>
          <m:t xml:space="preserve"> b</m:t>
        </m:r>
      </m:oMath>
      <w:r w:rsidRPr="00D800F0">
        <w:rPr>
          <w:rFonts w:ascii="Arial" w:hAnsi="Arial" w:cs="Arial"/>
        </w:rPr>
        <w:t>).</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990"/>
      </w:tblGrid>
      <w:tr w:rsidR="00DA7E40" w:rsidRPr="00D800F0" w14:paraId="7913DC09" w14:textId="77777777" w:rsidTr="0000614D">
        <w:tc>
          <w:tcPr>
            <w:tcW w:w="8455" w:type="dxa"/>
          </w:tcPr>
          <w:p w14:paraId="387F98A3" w14:textId="77777777" w:rsidR="00DA7E40" w:rsidRPr="00D800F0" w:rsidRDefault="00000000" w:rsidP="0000614D">
            <w:pPr>
              <w:rPr>
                <w:rFonts w:ascii="Arial" w:hAnsi="Arial" w:cs="Arial"/>
                <w:bCs/>
              </w:rPr>
            </w:pPr>
            <m:oMathPara>
              <m:oMath>
                <m:func>
                  <m:funcPr>
                    <m:ctrlPr>
                      <w:rPr>
                        <w:rFonts w:ascii="Cambria Math" w:hAnsi="Cambria Math" w:cs="Arial"/>
                        <w:bCs/>
                      </w:rPr>
                    </m:ctrlPr>
                  </m:funcPr>
                  <m:fName>
                    <m:limLow>
                      <m:limLowPr>
                        <m:ctrlPr>
                          <w:rPr>
                            <w:rFonts w:ascii="Cambria Math" w:hAnsi="Cambria Math" w:cs="Arial"/>
                            <w:bCs/>
                          </w:rPr>
                        </m:ctrlPr>
                      </m:limLowPr>
                      <m:e>
                        <m:r>
                          <m:rPr>
                            <m:sty m:val="b"/>
                          </m:rPr>
                          <w:rPr>
                            <w:rFonts w:ascii="Cambria Math" w:hAnsi="Cambria Math" w:cs="Arial"/>
                          </w:rPr>
                          <m:t>min</m:t>
                        </m:r>
                      </m:e>
                      <m:lim>
                        <m:r>
                          <m:rPr>
                            <m:sty m:val="bi"/>
                          </m:rPr>
                          <w:rPr>
                            <w:rFonts w:ascii="Cambria Math" w:hAnsi="Cambria Math" w:cs="Arial"/>
                          </w:rPr>
                          <m:t>w</m:t>
                        </m:r>
                        <m:r>
                          <m:rPr>
                            <m:sty m:val="p"/>
                          </m:rPr>
                          <w:rPr>
                            <w:rFonts w:ascii="Cambria Math" w:hAnsi="Cambria Math" w:cs="Arial"/>
                          </w:rPr>
                          <m:t>≥</m:t>
                        </m:r>
                        <m:r>
                          <m:rPr>
                            <m:sty m:val="b"/>
                          </m:rPr>
                          <w:rPr>
                            <w:rFonts w:ascii="Cambria Math" w:hAnsi="Cambria Math" w:cs="Arial"/>
                          </w:rPr>
                          <m:t>0</m:t>
                        </m:r>
                        <m:r>
                          <m:rPr>
                            <m:sty m:val="p"/>
                          </m:rPr>
                          <w:rPr>
                            <w:rFonts w:ascii="Cambria Math" w:hAnsi="Cambria Math" w:cs="Arial"/>
                          </w:rPr>
                          <m:t>,</m:t>
                        </m:r>
                        <m:r>
                          <m:rPr>
                            <m:sty m:val="bi"/>
                          </m:rPr>
                          <w:rPr>
                            <w:rFonts w:ascii="Cambria Math" w:hAnsi="Cambria Math" w:cs="Arial"/>
                          </w:rPr>
                          <m:t>b</m:t>
                        </m:r>
                        <m:r>
                          <m:rPr>
                            <m:sty m:val="p"/>
                          </m:rPr>
                          <w:rPr>
                            <w:rFonts w:ascii="Cambria Math" w:hAnsi="Cambria Math" w:cs="Arial"/>
                          </w:rPr>
                          <m:t>≥</m:t>
                        </m:r>
                        <m:r>
                          <m:rPr>
                            <m:sty m:val="b"/>
                          </m:rPr>
                          <w:rPr>
                            <w:rFonts w:ascii="Cambria Math" w:hAnsi="Cambria Math" w:cs="Arial"/>
                          </w:rPr>
                          <m:t>0</m:t>
                        </m:r>
                      </m:lim>
                    </m:limLow>
                  </m:fName>
                  <m:e>
                    <m:r>
                      <m:rPr>
                        <m:sty m:val="bi"/>
                      </m:rPr>
                      <w:rPr>
                        <w:rFonts w:ascii="Cambria Math" w:hAnsi="Cambria Math" w:cs="Arial"/>
                      </w:rPr>
                      <m:t>F</m:t>
                    </m:r>
                    <m:r>
                      <m:rPr>
                        <m:sty m:val="p"/>
                      </m:rPr>
                      <w:rPr>
                        <w:rFonts w:ascii="Cambria Math" w:hAnsi="Cambria Math" w:cs="Arial"/>
                      </w:rPr>
                      <m:t>=</m:t>
                    </m:r>
                    <m:sSub>
                      <m:sSubPr>
                        <m:ctrlPr>
                          <w:rPr>
                            <w:rFonts w:ascii="Cambria Math" w:hAnsi="Cambria Math" w:cs="Arial"/>
                            <w:bCs/>
                          </w:rPr>
                        </m:ctrlPr>
                      </m:sSubPr>
                      <m:e>
                        <m:r>
                          <m:rPr>
                            <m:sty m:val="bi"/>
                          </m:rPr>
                          <w:rPr>
                            <w:rFonts w:ascii="Cambria Math" w:hAnsi="Cambria Math" w:cs="Arial"/>
                          </w:rPr>
                          <m:t>COST</m:t>
                        </m:r>
                      </m:e>
                      <m:sub>
                        <m:r>
                          <m:rPr>
                            <m:sty m:val="bi"/>
                          </m:rPr>
                          <w:rPr>
                            <w:rFonts w:ascii="Cambria Math" w:hAnsi="Cambria Math" w:cs="Arial"/>
                          </w:rPr>
                          <m:t>wind</m:t>
                        </m:r>
                      </m:sub>
                    </m:sSub>
                    <m:r>
                      <m:rPr>
                        <m:sty m:val="p"/>
                      </m:rPr>
                      <w:rPr>
                        <w:rFonts w:ascii="Cambria Math" w:hAnsi="Cambria Math" w:cs="Arial"/>
                      </w:rPr>
                      <m:t>×</m:t>
                    </m:r>
                    <m:r>
                      <m:rPr>
                        <m:sty m:val="bi"/>
                      </m:rPr>
                      <w:rPr>
                        <w:rFonts w:ascii="Cambria Math" w:hAnsi="Cambria Math" w:cs="Arial"/>
                      </w:rPr>
                      <m:t>w</m:t>
                    </m:r>
                    <m:r>
                      <m:rPr>
                        <m:sty m:val="p"/>
                      </m:rPr>
                      <w:rPr>
                        <w:rFonts w:ascii="Cambria Math" w:hAnsi="Cambria Math" w:cs="Arial"/>
                      </w:rPr>
                      <m:t>+</m:t>
                    </m:r>
                    <m:sSub>
                      <m:sSubPr>
                        <m:ctrlPr>
                          <w:rPr>
                            <w:rFonts w:ascii="Cambria Math" w:hAnsi="Cambria Math" w:cs="Arial"/>
                            <w:bCs/>
                          </w:rPr>
                        </m:ctrlPr>
                      </m:sSubPr>
                      <m:e>
                        <m:r>
                          <m:rPr>
                            <m:sty m:val="bi"/>
                          </m:rPr>
                          <w:rPr>
                            <w:rFonts w:ascii="Cambria Math" w:hAnsi="Cambria Math" w:cs="Arial"/>
                          </w:rPr>
                          <m:t>COST</m:t>
                        </m:r>
                      </m:e>
                      <m:sub>
                        <m:r>
                          <m:rPr>
                            <m:sty m:val="bi"/>
                          </m:rPr>
                          <w:rPr>
                            <w:rFonts w:ascii="Cambria Math" w:hAnsi="Cambria Math" w:cs="Arial"/>
                          </w:rPr>
                          <m:t>battery</m:t>
                        </m:r>
                      </m:sub>
                    </m:sSub>
                    <m:r>
                      <m:rPr>
                        <m:sty m:val="p"/>
                      </m:rPr>
                      <w:rPr>
                        <w:rFonts w:ascii="Cambria Math" w:hAnsi="Cambria Math" w:cs="Arial"/>
                      </w:rPr>
                      <m:t>×</m:t>
                    </m:r>
                    <m:r>
                      <m:rPr>
                        <m:sty m:val="bi"/>
                      </m:rPr>
                      <w:rPr>
                        <w:rFonts w:ascii="Cambria Math" w:hAnsi="Cambria Math" w:cs="Arial"/>
                      </w:rPr>
                      <m:t>b</m:t>
                    </m:r>
                  </m:e>
                </m:func>
              </m:oMath>
            </m:oMathPara>
          </w:p>
        </w:tc>
        <w:tc>
          <w:tcPr>
            <w:tcW w:w="990" w:type="dxa"/>
          </w:tcPr>
          <w:p w14:paraId="120F8952" w14:textId="77777777" w:rsidR="00DA7E40" w:rsidRPr="00D800F0" w:rsidRDefault="00DA7E40" w:rsidP="0000614D">
            <w:pPr>
              <w:pStyle w:val="Caption"/>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w:t>
            </w:r>
            <w:r w:rsidRPr="00D800F0">
              <w:rPr>
                <w:rFonts w:ascii="Arial" w:hAnsi="Arial" w:cs="Arial"/>
                <w:noProof/>
              </w:rPr>
              <w:fldChar w:fldCharType="end"/>
            </w:r>
            <w:r w:rsidRPr="00D800F0">
              <w:rPr>
                <w:rFonts w:ascii="Arial" w:hAnsi="Arial" w:cs="Arial"/>
                <w:noProof/>
              </w:rPr>
              <w:t>)</w:t>
            </w:r>
          </w:p>
        </w:tc>
      </w:tr>
    </w:tbl>
    <w:p w14:paraId="09ED4FE4" w14:textId="77777777" w:rsidR="00DA7E40" w:rsidRPr="00D800F0" w:rsidRDefault="00DA7E40" w:rsidP="006864F3">
      <w:pPr>
        <w:pStyle w:val="Heading4"/>
        <w:rPr>
          <w:rFonts w:ascii="Arial" w:hAnsi="Arial" w:cs="Arial"/>
        </w:rPr>
      </w:pPr>
      <w:r w:rsidRPr="00D800F0">
        <w:rPr>
          <w:rFonts w:ascii="Arial" w:hAnsi="Arial" w:cs="Arial"/>
        </w:rPr>
        <w:t>Constraints</w:t>
      </w:r>
    </w:p>
    <w:p w14:paraId="701E92CD" w14:textId="25089BF4" w:rsidR="00DA7E40" w:rsidRPr="00D800F0" w:rsidRDefault="00DA7E40" w:rsidP="00DA7E40">
      <w:pPr>
        <w:pStyle w:val="Caption"/>
        <w:rPr>
          <w:rFonts w:ascii="Arial" w:hAnsi="Arial" w:cs="Arial"/>
        </w:rPr>
      </w:pPr>
      <w:r w:rsidRPr="00D800F0">
        <w:rPr>
          <w:rFonts w:ascii="Arial" w:hAnsi="Arial" w:cs="Arial"/>
        </w:rPr>
        <w:t xml:space="preserve">The power balance constraint </w:t>
      </w:r>
      <w:r w:rsidRPr="00D800F0">
        <w:rPr>
          <w:rFonts w:ascii="Arial" w:hAnsi="Arial" w:cs="Arial"/>
        </w:rPr>
        <w:fldChar w:fldCharType="begin"/>
      </w:r>
      <w:r w:rsidRPr="00D800F0">
        <w:rPr>
          <w:rFonts w:ascii="Arial" w:hAnsi="Arial" w:cs="Arial"/>
        </w:rPr>
        <w:instrText xml:space="preserve"> REF _Ref146525374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w:t>
      </w:r>
      <w:r w:rsidRPr="00D800F0">
        <w:rPr>
          <w:rFonts w:ascii="Arial" w:hAnsi="Arial" w:cs="Arial"/>
          <w:noProof/>
        </w:rPr>
        <w:t>D</w:t>
      </w:r>
      <w:r w:rsidRPr="00D800F0">
        <w:rPr>
          <w:rFonts w:ascii="Arial" w:hAnsi="Arial" w:cs="Arial"/>
        </w:rPr>
        <w:t>.</w:t>
      </w:r>
      <w:r w:rsidRPr="00D800F0">
        <w:rPr>
          <w:rFonts w:ascii="Arial" w:hAnsi="Arial" w:cs="Arial"/>
          <w:noProof/>
        </w:rPr>
        <w:t>2)</w:t>
      </w:r>
      <w:r w:rsidRPr="00D800F0">
        <w:rPr>
          <w:rFonts w:ascii="Arial" w:hAnsi="Arial" w:cs="Arial"/>
        </w:rPr>
        <w:fldChar w:fldCharType="end"/>
      </w:r>
      <w:r w:rsidRPr="00D800F0">
        <w:rPr>
          <w:rFonts w:ascii="Arial" w:hAnsi="Arial" w:cs="Arial"/>
        </w:rPr>
        <w:t xml:space="preserve"> ensures that the net power balance in each time period equals the electricity demand (</w:t>
      </w:r>
      <m:oMath>
        <m:r>
          <m:rPr>
            <m:sty m:val="bi"/>
          </m:rPr>
          <w:rPr>
            <w:rFonts w:ascii="Cambria Math" w:hAnsi="Cambria Math" w:cs="Arial"/>
          </w:rPr>
          <m:t>D</m:t>
        </m:r>
      </m:oMath>
      <w:r w:rsidRPr="00D800F0">
        <w:rPr>
          <w:rFonts w:ascii="Arial" w:hAnsi="Arial" w:cs="Arial"/>
        </w:rPr>
        <w:t>). It accounts for wind generation (</w:t>
      </w:r>
      <m:oMath>
        <m:r>
          <m:rPr>
            <m:sty m:val="bi"/>
          </m:rPr>
          <w:rPr>
            <w:rFonts w:ascii="Cambria Math" w:hAnsi="Cambria Math" w:cs="Arial"/>
          </w:rPr>
          <m:t>w(t)</m:t>
        </m:r>
      </m:oMath>
      <w:r w:rsidRPr="00D800F0">
        <w:rPr>
          <w:rFonts w:ascii="Arial" w:hAnsi="Arial" w:cs="Arial"/>
        </w:rPr>
        <w:t>), battery charging (</w:t>
      </w:r>
      <m:oMath>
        <m:r>
          <m:rPr>
            <m:sty m:val="bi"/>
          </m:rPr>
          <w:rPr>
            <w:rFonts w:ascii="Cambria Math" w:hAnsi="Cambria Math" w:cs="Arial"/>
          </w:rPr>
          <m:t>c(t)</m:t>
        </m:r>
      </m:oMath>
      <w:r w:rsidRPr="00D800F0">
        <w:rPr>
          <w:rFonts w:ascii="Arial" w:hAnsi="Arial" w:cs="Arial"/>
        </w:rPr>
        <w:t>), and battery discharging (</w:t>
      </w:r>
      <m:oMath>
        <m:r>
          <m:rPr>
            <m:sty m:val="bi"/>
          </m:rPr>
          <w:rPr>
            <w:rFonts w:ascii="Cambria Math" w:hAnsi="Cambria Math" w:cs="Arial"/>
          </w:rPr>
          <m:t>d(t)</m:t>
        </m:r>
      </m:oMath>
      <w:r w:rsidRPr="00D800F0">
        <w:rPr>
          <w:rFonts w:ascii="Arial" w:hAnsi="Arial" w:cs="Arial"/>
        </w:rPr>
        <w:t xml:space="preserve">). The net power balance is achieved by subtracting the battery charge and adding the battery discharge to the wind generation. </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990"/>
      </w:tblGrid>
      <w:tr w:rsidR="00DA7E40" w:rsidRPr="00D800F0" w14:paraId="159105EC" w14:textId="77777777" w:rsidTr="0000614D">
        <w:tc>
          <w:tcPr>
            <w:tcW w:w="8455" w:type="dxa"/>
          </w:tcPr>
          <w:p w14:paraId="5FF2AC6B" w14:textId="77777777" w:rsidR="00DA7E40" w:rsidRPr="00D800F0" w:rsidRDefault="00DA7E40" w:rsidP="0000614D">
            <w:pPr>
              <w:rPr>
                <w:rFonts w:ascii="Arial" w:hAnsi="Arial" w:cs="Arial"/>
              </w:rPr>
            </w:pPr>
            <m:oMathPara>
              <m:oMath>
                <m:r>
                  <m:rPr>
                    <m:sty m:val="bi"/>
                  </m:rPr>
                  <w:rPr>
                    <w:rFonts w:ascii="Cambria Math" w:hAnsi="Cambria Math" w:cs="Arial"/>
                  </w:rPr>
                  <m:t>w</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r>
                  <m:rPr>
                    <m:sty m:val="bi"/>
                  </m:rPr>
                  <w:rPr>
                    <w:rFonts w:ascii="Cambria Math" w:hAnsi="Cambria Math" w:cs="Arial"/>
                  </w:rPr>
                  <m:t>c</m:t>
                </m:r>
                <m:d>
                  <m:dPr>
                    <m:ctrlPr>
                      <w:rPr>
                        <w:rFonts w:ascii="Cambria Math" w:hAnsi="Cambria Math" w:cs="Arial"/>
                      </w:rPr>
                    </m:ctrlPr>
                  </m:dPr>
                  <m:e>
                    <m:r>
                      <m:rPr>
                        <m:sty m:val="bi"/>
                      </m:rPr>
                      <w:rPr>
                        <w:rFonts w:ascii="Cambria Math" w:hAnsi="Cambria Math" w:cs="Arial"/>
                      </w:rPr>
                      <m:t>t</m:t>
                    </m:r>
                  </m:e>
                </m:d>
                <m:r>
                  <m:rPr>
                    <m:sty m:val="p"/>
                  </m:rPr>
                  <w:rPr>
                    <w:rFonts w:ascii="Cambria Math" w:hAnsi="Cambria Math" w:cs="Arial"/>
                  </w:rPr>
                  <m:t>+</m:t>
                </m:r>
                <m:r>
                  <m:rPr>
                    <m:sty m:val="bi"/>
                  </m:rPr>
                  <w:rPr>
                    <w:rFonts w:ascii="Cambria Math" w:hAnsi="Cambria Math" w:cs="Arial"/>
                  </w:rPr>
                  <m:t>d</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r>
                  <m:rPr>
                    <m:sty m:val="bi"/>
                  </m:rPr>
                  <w:rPr>
                    <w:rFonts w:ascii="Cambria Math" w:hAnsi="Cambria Math" w:cs="Arial"/>
                  </w:rPr>
                  <m:t>D</m:t>
                </m:r>
                <m:r>
                  <m:rPr>
                    <m:sty m:val="p"/>
                  </m:rPr>
                  <w:rPr>
                    <w:rFonts w:ascii="Cambria Math" w:hAnsi="Cambria Math" w:cs="Arial"/>
                  </w:rPr>
                  <m:t>,  ∀</m:t>
                </m:r>
                <m:r>
                  <m:rPr>
                    <m:sty m:val="bi"/>
                  </m:rPr>
                  <w:rPr>
                    <w:rFonts w:ascii="Cambria Math" w:hAnsi="Cambria Math" w:cs="Arial"/>
                  </w:rPr>
                  <m:t>t</m:t>
                </m:r>
              </m:oMath>
            </m:oMathPara>
          </w:p>
        </w:tc>
        <w:tc>
          <w:tcPr>
            <w:tcW w:w="990" w:type="dxa"/>
          </w:tcPr>
          <w:p w14:paraId="7BCD7F13" w14:textId="77777777" w:rsidR="00DA7E40" w:rsidRPr="00D800F0" w:rsidRDefault="00DA7E40" w:rsidP="0000614D">
            <w:pPr>
              <w:rPr>
                <w:rFonts w:ascii="Arial" w:hAnsi="Arial" w:cs="Arial"/>
              </w:rPr>
            </w:pPr>
            <w:bookmarkStart w:id="55" w:name="_Ref146525374"/>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2</w:t>
            </w:r>
            <w:r w:rsidRPr="00D800F0">
              <w:rPr>
                <w:rFonts w:ascii="Arial" w:hAnsi="Arial" w:cs="Arial"/>
                <w:noProof/>
              </w:rPr>
              <w:fldChar w:fldCharType="end"/>
            </w:r>
            <w:r w:rsidRPr="00D800F0">
              <w:rPr>
                <w:rFonts w:ascii="Arial" w:hAnsi="Arial" w:cs="Arial"/>
                <w:noProof/>
              </w:rPr>
              <w:t>)</w:t>
            </w:r>
            <w:bookmarkEnd w:id="55"/>
          </w:p>
        </w:tc>
      </w:tr>
    </w:tbl>
    <w:p w14:paraId="779CF8AF" w14:textId="5653AD57" w:rsidR="00DA7E40" w:rsidRPr="00D800F0" w:rsidRDefault="00DA7E40" w:rsidP="00DA7E40">
      <w:pPr>
        <w:ind w:firstLine="720"/>
        <w:rPr>
          <w:rFonts w:ascii="Arial" w:hAnsi="Arial" w:cs="Arial"/>
        </w:rPr>
      </w:pPr>
      <w:r w:rsidRPr="00D800F0">
        <w:rPr>
          <w:rFonts w:ascii="Arial" w:hAnsi="Arial" w:cs="Arial"/>
        </w:rPr>
        <w:t xml:space="preserve">Wind generation constraint </w:t>
      </w:r>
      <w:r w:rsidRPr="00D800F0">
        <w:rPr>
          <w:rFonts w:ascii="Arial" w:hAnsi="Arial" w:cs="Arial"/>
        </w:rPr>
        <w:fldChar w:fldCharType="begin"/>
      </w:r>
      <w:r w:rsidRPr="00D800F0">
        <w:rPr>
          <w:rFonts w:ascii="Arial" w:hAnsi="Arial" w:cs="Arial"/>
        </w:rPr>
        <w:instrText xml:space="preserve"> REF _Ref146525388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w:t>
      </w:r>
      <w:r w:rsidRPr="00D800F0">
        <w:rPr>
          <w:rFonts w:ascii="Arial" w:hAnsi="Arial" w:cs="Arial"/>
          <w:noProof/>
        </w:rPr>
        <w:t>E</w:t>
      </w:r>
      <w:r w:rsidRPr="00D800F0">
        <w:rPr>
          <w:rFonts w:ascii="Arial" w:hAnsi="Arial" w:cs="Arial"/>
        </w:rPr>
        <w:t>.</w:t>
      </w:r>
      <w:r w:rsidRPr="00D800F0">
        <w:rPr>
          <w:rFonts w:ascii="Arial" w:hAnsi="Arial" w:cs="Arial"/>
          <w:noProof/>
        </w:rPr>
        <w:t>3)</w:t>
      </w:r>
      <w:r w:rsidRPr="00D800F0">
        <w:rPr>
          <w:rFonts w:ascii="Arial" w:hAnsi="Arial" w:cs="Arial"/>
        </w:rPr>
        <w:fldChar w:fldCharType="end"/>
      </w:r>
      <w:r w:rsidRPr="00D800F0">
        <w:rPr>
          <w:rFonts w:ascii="Arial" w:hAnsi="Arial" w:cs="Arial"/>
        </w:rPr>
        <w:t xml:space="preserve"> enforces wind generation (</w:t>
      </w:r>
      <m:oMath>
        <m:r>
          <m:rPr>
            <m:sty m:val="bi"/>
          </m:rPr>
          <w:rPr>
            <w:rFonts w:ascii="Cambria Math" w:hAnsi="Cambria Math" w:cs="Arial"/>
          </w:rPr>
          <m:t>w(t)</m:t>
        </m:r>
      </m:oMath>
      <w:r w:rsidRPr="00D800F0">
        <w:rPr>
          <w:rFonts w:ascii="Arial" w:hAnsi="Arial" w:cs="Arial"/>
        </w:rPr>
        <w:t>) in each time period to not exceed wind resource availability (</w:t>
      </w:r>
      <m:oMath>
        <m:r>
          <m:rPr>
            <m:sty m:val="bi"/>
          </m:rPr>
          <w:rPr>
            <w:rFonts w:ascii="Cambria Math" w:hAnsi="Cambria Math" w:cs="Arial"/>
          </w:rPr>
          <m:t>CF(t)×w</m:t>
        </m:r>
      </m:oMath>
      <w:r w:rsidRPr="00D800F0">
        <w:rPr>
          <w:rFonts w:ascii="Arial" w:hAnsi="Arial" w:cs="Arial"/>
        </w:rPr>
        <w:t>).</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990"/>
      </w:tblGrid>
      <w:tr w:rsidR="00DA7E40" w:rsidRPr="00D800F0" w14:paraId="14ED933B" w14:textId="77777777" w:rsidTr="0000614D">
        <w:trPr>
          <w:trHeight w:val="117"/>
        </w:trPr>
        <w:tc>
          <w:tcPr>
            <w:tcW w:w="8455" w:type="dxa"/>
          </w:tcPr>
          <w:p w14:paraId="5BFD5C7D" w14:textId="77777777" w:rsidR="00DA7E40" w:rsidRPr="00D800F0" w:rsidRDefault="00DA7E40" w:rsidP="0000614D">
            <w:pPr>
              <w:rPr>
                <w:rFonts w:ascii="Arial" w:hAnsi="Arial" w:cs="Arial"/>
              </w:rPr>
            </w:pPr>
            <m:oMathPara>
              <m:oMath>
                <m:r>
                  <m:rPr>
                    <m:sty m:val="b"/>
                  </m:rPr>
                  <w:rPr>
                    <w:rFonts w:ascii="Cambria Math" w:hAnsi="Cambria Math" w:cs="Arial"/>
                  </w:rPr>
                  <m:t>0</m:t>
                </m:r>
                <m:r>
                  <m:rPr>
                    <m:sty m:val="p"/>
                  </m:rPr>
                  <w:rPr>
                    <w:rFonts w:ascii="Cambria Math" w:hAnsi="Cambria Math" w:cs="Arial"/>
                  </w:rPr>
                  <m:t>≤</m:t>
                </m:r>
                <m:r>
                  <m:rPr>
                    <m:sty m:val="bi"/>
                  </m:rPr>
                  <w:rPr>
                    <w:rFonts w:ascii="Cambria Math" w:hAnsi="Cambria Math" w:cs="Arial"/>
                  </w:rPr>
                  <m:t>w</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r>
                  <m:rPr>
                    <m:sty m:val="bi"/>
                  </m:rPr>
                  <w:rPr>
                    <w:rFonts w:ascii="Cambria Math" w:hAnsi="Cambria Math" w:cs="Arial"/>
                  </w:rPr>
                  <m:t>CF</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r>
                  <m:rPr>
                    <m:sty m:val="bi"/>
                  </m:rPr>
                  <w:rPr>
                    <w:rFonts w:ascii="Cambria Math" w:hAnsi="Cambria Math" w:cs="Arial"/>
                  </w:rPr>
                  <m:t>w</m:t>
                </m:r>
                <m:r>
                  <m:rPr>
                    <m:sty m:val="p"/>
                  </m:rPr>
                  <w:rPr>
                    <w:rFonts w:ascii="Cambria Math" w:hAnsi="Cambria Math" w:cs="Arial"/>
                  </w:rPr>
                  <m:t>,  ∀</m:t>
                </m:r>
                <m:r>
                  <m:rPr>
                    <m:sty m:val="bi"/>
                  </m:rPr>
                  <w:rPr>
                    <w:rFonts w:ascii="Cambria Math" w:hAnsi="Cambria Math" w:cs="Arial"/>
                  </w:rPr>
                  <m:t>t</m:t>
                </m:r>
              </m:oMath>
            </m:oMathPara>
          </w:p>
        </w:tc>
        <w:tc>
          <w:tcPr>
            <w:tcW w:w="990" w:type="dxa"/>
          </w:tcPr>
          <w:p w14:paraId="21D21EA0" w14:textId="77777777" w:rsidR="00DA7E40" w:rsidRPr="00D800F0" w:rsidRDefault="00DA7E40" w:rsidP="0000614D">
            <w:pPr>
              <w:pStyle w:val="Caption"/>
              <w:rPr>
                <w:rFonts w:ascii="Arial" w:hAnsi="Arial" w:cs="Arial"/>
              </w:rPr>
            </w:pPr>
            <w:bookmarkStart w:id="56" w:name="_Ref146525388"/>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3</w:t>
            </w:r>
            <w:r w:rsidRPr="00D800F0">
              <w:rPr>
                <w:rFonts w:ascii="Arial" w:hAnsi="Arial" w:cs="Arial"/>
                <w:noProof/>
              </w:rPr>
              <w:fldChar w:fldCharType="end"/>
            </w:r>
            <w:r w:rsidRPr="00D800F0">
              <w:rPr>
                <w:rFonts w:ascii="Arial" w:hAnsi="Arial" w:cs="Arial"/>
                <w:noProof/>
              </w:rPr>
              <w:t>)</w:t>
            </w:r>
            <w:bookmarkEnd w:id="56"/>
          </w:p>
        </w:tc>
      </w:tr>
    </w:tbl>
    <w:p w14:paraId="7935ED43" w14:textId="6EB6FB28" w:rsidR="00DA7E40" w:rsidRPr="00D800F0" w:rsidRDefault="00DA7E40" w:rsidP="00DA7E40">
      <w:pPr>
        <w:ind w:firstLine="720"/>
        <w:rPr>
          <w:rFonts w:ascii="Arial" w:hAnsi="Arial" w:cs="Arial"/>
        </w:rPr>
      </w:pPr>
      <w:r w:rsidRPr="00D800F0">
        <w:rPr>
          <w:rFonts w:ascii="Arial" w:hAnsi="Arial" w:cs="Arial"/>
        </w:rPr>
        <w:fldChar w:fldCharType="begin"/>
      </w:r>
      <w:r w:rsidRPr="00D800F0">
        <w:rPr>
          <w:rFonts w:ascii="Arial" w:hAnsi="Arial" w:cs="Arial"/>
        </w:rPr>
        <w:instrText xml:space="preserve"> REF _Ref146525404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w:t>
      </w:r>
      <w:r w:rsidRPr="00D800F0">
        <w:rPr>
          <w:rFonts w:ascii="Arial" w:hAnsi="Arial" w:cs="Arial"/>
          <w:noProof/>
        </w:rPr>
        <w:t>D</w:t>
      </w:r>
      <w:r w:rsidRPr="00D800F0">
        <w:rPr>
          <w:rFonts w:ascii="Arial" w:hAnsi="Arial" w:cs="Arial"/>
        </w:rPr>
        <w:t>.</w:t>
      </w:r>
      <w:r w:rsidRPr="00D800F0">
        <w:rPr>
          <w:rFonts w:ascii="Arial" w:hAnsi="Arial" w:cs="Arial"/>
          <w:noProof/>
        </w:rPr>
        <w:t>4)</w:t>
      </w:r>
      <w:r w:rsidRPr="00D800F0">
        <w:rPr>
          <w:rFonts w:ascii="Arial" w:hAnsi="Arial" w:cs="Arial"/>
        </w:rPr>
        <w:fldChar w:fldCharType="end"/>
      </w:r>
      <w:r w:rsidRPr="00D800F0">
        <w:rPr>
          <w:rFonts w:ascii="Arial" w:hAnsi="Arial" w:cs="Arial"/>
        </w:rPr>
        <w:t xml:space="preserve"> and </w:t>
      </w:r>
      <w:r w:rsidRPr="00D800F0">
        <w:rPr>
          <w:rFonts w:ascii="Arial" w:hAnsi="Arial" w:cs="Arial"/>
        </w:rPr>
        <w:fldChar w:fldCharType="begin"/>
      </w:r>
      <w:r w:rsidRPr="00D800F0">
        <w:rPr>
          <w:rFonts w:ascii="Arial" w:hAnsi="Arial" w:cs="Arial"/>
        </w:rPr>
        <w:instrText xml:space="preserve"> REF _Ref146525399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w:t>
      </w:r>
      <w:r w:rsidRPr="00D800F0">
        <w:rPr>
          <w:rFonts w:ascii="Arial" w:hAnsi="Arial" w:cs="Arial"/>
          <w:noProof/>
        </w:rPr>
        <w:t>D</w:t>
      </w:r>
      <w:r w:rsidRPr="00D800F0">
        <w:rPr>
          <w:rFonts w:ascii="Arial" w:hAnsi="Arial" w:cs="Arial"/>
        </w:rPr>
        <w:t>.</w:t>
      </w:r>
      <w:r w:rsidRPr="00D800F0">
        <w:rPr>
          <w:rFonts w:ascii="Arial" w:hAnsi="Arial" w:cs="Arial"/>
          <w:noProof/>
        </w:rPr>
        <w:t>5)</w:t>
      </w:r>
      <w:r w:rsidRPr="00D800F0">
        <w:rPr>
          <w:rFonts w:ascii="Arial" w:hAnsi="Arial" w:cs="Arial"/>
        </w:rPr>
        <w:fldChar w:fldCharType="end"/>
      </w:r>
      <w:r w:rsidRPr="00D800F0">
        <w:rPr>
          <w:rFonts w:ascii="Arial" w:hAnsi="Arial" w:cs="Arial"/>
        </w:rPr>
        <w:t xml:space="preserve"> limit the battery charging and discharging to their capacity.</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990"/>
      </w:tblGrid>
      <w:tr w:rsidR="00DA7E40" w:rsidRPr="00D800F0" w14:paraId="5BC89094" w14:textId="77777777" w:rsidTr="0000614D">
        <w:tc>
          <w:tcPr>
            <w:tcW w:w="8455" w:type="dxa"/>
          </w:tcPr>
          <w:p w14:paraId="24DC1156" w14:textId="77777777" w:rsidR="00DA7E40" w:rsidRPr="00D800F0" w:rsidRDefault="00DA7E40" w:rsidP="0000614D">
            <w:pPr>
              <w:rPr>
                <w:rFonts w:ascii="Arial" w:hAnsi="Arial" w:cs="Arial"/>
                <w:bCs/>
              </w:rPr>
            </w:pPr>
            <m:oMathPara>
              <m:oMath>
                <m:r>
                  <m:rPr>
                    <m:sty m:val="b"/>
                  </m:rPr>
                  <w:rPr>
                    <w:rFonts w:ascii="Cambria Math" w:hAnsi="Cambria Math" w:cs="Arial"/>
                  </w:rPr>
                  <m:t>0</m:t>
                </m:r>
                <m:r>
                  <m:rPr>
                    <m:sty m:val="p"/>
                  </m:rPr>
                  <w:rPr>
                    <w:rFonts w:ascii="Cambria Math" w:hAnsi="Cambria Math" w:cs="Arial"/>
                  </w:rPr>
                  <m:t>≤</m:t>
                </m:r>
                <m:r>
                  <m:rPr>
                    <m:sty m:val="bi"/>
                  </m:rPr>
                  <w:rPr>
                    <w:rFonts w:ascii="Cambria Math" w:hAnsi="Cambria Math" w:cs="Arial"/>
                  </w:rPr>
                  <m:t>c</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r>
                  <m:rPr>
                    <m:sty m:val="bi"/>
                  </m:rPr>
                  <w:rPr>
                    <w:rFonts w:ascii="Cambria Math" w:hAnsi="Cambria Math" w:cs="Arial"/>
                  </w:rPr>
                  <m:t>b</m:t>
                </m:r>
                <m:r>
                  <m:rPr>
                    <m:sty m:val="p"/>
                  </m:rPr>
                  <w:rPr>
                    <w:rFonts w:ascii="Cambria Math" w:hAnsi="Cambria Math" w:cs="Arial"/>
                  </w:rPr>
                  <m:t>,  ∀</m:t>
                </m:r>
                <m:r>
                  <m:rPr>
                    <m:sty m:val="bi"/>
                  </m:rPr>
                  <w:rPr>
                    <w:rFonts w:ascii="Cambria Math" w:hAnsi="Cambria Math" w:cs="Arial"/>
                  </w:rPr>
                  <m:t>t</m:t>
                </m:r>
              </m:oMath>
            </m:oMathPara>
          </w:p>
        </w:tc>
        <w:tc>
          <w:tcPr>
            <w:tcW w:w="990" w:type="dxa"/>
          </w:tcPr>
          <w:p w14:paraId="2991DC99" w14:textId="77777777" w:rsidR="00DA7E40" w:rsidRPr="00D800F0" w:rsidRDefault="00DA7E40" w:rsidP="0000614D">
            <w:pPr>
              <w:pStyle w:val="Caption"/>
              <w:rPr>
                <w:rFonts w:ascii="Arial" w:hAnsi="Arial" w:cs="Arial"/>
              </w:rPr>
            </w:pPr>
            <w:bookmarkStart w:id="57" w:name="_Ref146525404"/>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4</w:t>
            </w:r>
            <w:r w:rsidRPr="00D800F0">
              <w:rPr>
                <w:rFonts w:ascii="Arial" w:hAnsi="Arial" w:cs="Arial"/>
                <w:noProof/>
              </w:rPr>
              <w:fldChar w:fldCharType="end"/>
            </w:r>
            <w:r w:rsidRPr="00D800F0">
              <w:rPr>
                <w:rFonts w:ascii="Arial" w:hAnsi="Arial" w:cs="Arial"/>
                <w:noProof/>
              </w:rPr>
              <w:t>)</w:t>
            </w:r>
            <w:bookmarkEnd w:id="57"/>
          </w:p>
        </w:tc>
      </w:tr>
      <w:tr w:rsidR="00DA7E40" w:rsidRPr="00D800F0" w14:paraId="61AB6E6C" w14:textId="77777777" w:rsidTr="0000614D">
        <w:tc>
          <w:tcPr>
            <w:tcW w:w="8455" w:type="dxa"/>
          </w:tcPr>
          <w:p w14:paraId="385F640B" w14:textId="77777777" w:rsidR="00DA7E40" w:rsidRPr="00D800F0" w:rsidRDefault="00DA7E40" w:rsidP="0000614D">
            <w:pPr>
              <w:rPr>
                <w:rFonts w:ascii="Arial" w:hAnsi="Arial" w:cs="Arial"/>
                <w:bCs/>
              </w:rPr>
            </w:pPr>
            <m:oMathPara>
              <m:oMath>
                <m:r>
                  <m:rPr>
                    <m:sty m:val="b"/>
                  </m:rPr>
                  <w:rPr>
                    <w:rFonts w:ascii="Cambria Math" w:hAnsi="Cambria Math" w:cs="Arial"/>
                  </w:rPr>
                  <m:t>0</m:t>
                </m:r>
                <m:r>
                  <m:rPr>
                    <m:sty m:val="p"/>
                  </m:rPr>
                  <w:rPr>
                    <w:rFonts w:ascii="Cambria Math" w:hAnsi="Cambria Math" w:cs="Arial"/>
                  </w:rPr>
                  <m:t>≤</m:t>
                </m:r>
                <m:r>
                  <m:rPr>
                    <m:sty m:val="bi"/>
                  </m:rPr>
                  <w:rPr>
                    <w:rFonts w:ascii="Cambria Math" w:hAnsi="Cambria Math" w:cs="Arial"/>
                  </w:rPr>
                  <m:t>d</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r>
                  <m:rPr>
                    <m:sty m:val="bi"/>
                  </m:rPr>
                  <w:rPr>
                    <w:rFonts w:ascii="Cambria Math" w:hAnsi="Cambria Math" w:cs="Arial"/>
                  </w:rPr>
                  <m:t>b</m:t>
                </m:r>
                <m:r>
                  <m:rPr>
                    <m:sty m:val="p"/>
                  </m:rPr>
                  <w:rPr>
                    <w:rFonts w:ascii="Cambria Math" w:hAnsi="Cambria Math" w:cs="Arial"/>
                  </w:rPr>
                  <m:t>,  ∀</m:t>
                </m:r>
                <m:r>
                  <m:rPr>
                    <m:sty m:val="bi"/>
                  </m:rPr>
                  <w:rPr>
                    <w:rFonts w:ascii="Cambria Math" w:hAnsi="Cambria Math" w:cs="Arial"/>
                  </w:rPr>
                  <m:t>t</m:t>
                </m:r>
              </m:oMath>
            </m:oMathPara>
          </w:p>
        </w:tc>
        <w:tc>
          <w:tcPr>
            <w:tcW w:w="990" w:type="dxa"/>
          </w:tcPr>
          <w:p w14:paraId="3E8DD183" w14:textId="77777777" w:rsidR="00DA7E40" w:rsidRPr="00D800F0" w:rsidRDefault="00DA7E40" w:rsidP="0000614D">
            <w:pPr>
              <w:pStyle w:val="Caption"/>
              <w:rPr>
                <w:rFonts w:ascii="Arial" w:hAnsi="Arial" w:cs="Arial"/>
              </w:rPr>
            </w:pPr>
            <w:bookmarkStart w:id="58" w:name="_Ref146525399"/>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5</w:t>
            </w:r>
            <w:r w:rsidRPr="00D800F0">
              <w:rPr>
                <w:rFonts w:ascii="Arial" w:hAnsi="Arial" w:cs="Arial"/>
                <w:noProof/>
              </w:rPr>
              <w:fldChar w:fldCharType="end"/>
            </w:r>
            <w:r w:rsidRPr="00D800F0">
              <w:rPr>
                <w:rFonts w:ascii="Arial" w:hAnsi="Arial" w:cs="Arial"/>
                <w:noProof/>
              </w:rPr>
              <w:t>)</w:t>
            </w:r>
            <w:bookmarkEnd w:id="58"/>
          </w:p>
        </w:tc>
      </w:tr>
    </w:tbl>
    <w:p w14:paraId="08B80B4A" w14:textId="0D66EF7E" w:rsidR="00DA7E40" w:rsidRPr="00D800F0" w:rsidRDefault="00DA7E40" w:rsidP="00DA7E40">
      <w:pPr>
        <w:ind w:firstLine="720"/>
        <w:rPr>
          <w:rFonts w:ascii="Arial" w:hAnsi="Arial" w:cs="Arial"/>
        </w:rPr>
      </w:pPr>
      <w:r w:rsidRPr="00D800F0">
        <w:rPr>
          <w:rFonts w:ascii="Arial" w:hAnsi="Arial" w:cs="Arial"/>
        </w:rPr>
        <w:t xml:space="preserve">While </w:t>
      </w:r>
      <w:r w:rsidRPr="00D800F0">
        <w:rPr>
          <w:rFonts w:ascii="Arial" w:hAnsi="Arial" w:cs="Arial"/>
        </w:rPr>
        <w:fldChar w:fldCharType="begin"/>
      </w:r>
      <w:r w:rsidRPr="00D800F0">
        <w:rPr>
          <w:rFonts w:ascii="Arial" w:hAnsi="Arial" w:cs="Arial"/>
        </w:rPr>
        <w:instrText xml:space="preserve"> REF _Ref146525440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w:t>
      </w:r>
      <w:r w:rsidRPr="00D800F0">
        <w:rPr>
          <w:rFonts w:ascii="Arial" w:hAnsi="Arial" w:cs="Arial"/>
          <w:noProof/>
        </w:rPr>
        <w:t>D</w:t>
      </w:r>
      <w:r w:rsidRPr="00D800F0">
        <w:rPr>
          <w:rFonts w:ascii="Arial" w:hAnsi="Arial" w:cs="Arial"/>
        </w:rPr>
        <w:t>.</w:t>
      </w:r>
      <w:r w:rsidRPr="00D800F0">
        <w:rPr>
          <w:rFonts w:ascii="Arial" w:hAnsi="Arial" w:cs="Arial"/>
          <w:noProof/>
        </w:rPr>
        <w:t>6)</w:t>
      </w:r>
      <w:r w:rsidRPr="00D800F0">
        <w:rPr>
          <w:rFonts w:ascii="Arial" w:hAnsi="Arial" w:cs="Arial"/>
        </w:rPr>
        <w:fldChar w:fldCharType="end"/>
      </w:r>
      <w:r w:rsidRPr="00D800F0">
        <w:rPr>
          <w:rFonts w:ascii="Arial" w:hAnsi="Arial" w:cs="Arial"/>
        </w:rPr>
        <w:t xml:space="preserve"> defines the battery storage state considering roundtrip efficiency, charge and discharge dynamics. Lastly, </w:t>
      </w:r>
      <w:r w:rsidRPr="00D800F0">
        <w:rPr>
          <w:rFonts w:ascii="Arial" w:hAnsi="Arial" w:cs="Arial"/>
        </w:rPr>
        <w:fldChar w:fldCharType="begin"/>
      </w:r>
      <w:r w:rsidRPr="00D800F0">
        <w:rPr>
          <w:rFonts w:ascii="Arial" w:hAnsi="Arial" w:cs="Arial"/>
        </w:rPr>
        <w:instrText xml:space="preserve"> REF _Ref146525446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w:t>
      </w:r>
      <w:r w:rsidRPr="00D800F0">
        <w:rPr>
          <w:rFonts w:ascii="Arial" w:hAnsi="Arial" w:cs="Arial"/>
          <w:noProof/>
        </w:rPr>
        <w:t>D</w:t>
      </w:r>
      <w:r w:rsidRPr="00D800F0">
        <w:rPr>
          <w:rFonts w:ascii="Arial" w:hAnsi="Arial" w:cs="Arial"/>
        </w:rPr>
        <w:t>.</w:t>
      </w:r>
      <w:r w:rsidRPr="00D800F0">
        <w:rPr>
          <w:rFonts w:ascii="Arial" w:hAnsi="Arial" w:cs="Arial"/>
          <w:noProof/>
        </w:rPr>
        <w:t>7)</w:t>
      </w:r>
      <w:r w:rsidRPr="00D800F0">
        <w:rPr>
          <w:rFonts w:ascii="Arial" w:hAnsi="Arial" w:cs="Arial"/>
        </w:rPr>
        <w:fldChar w:fldCharType="end"/>
      </w:r>
      <w:r w:rsidRPr="00D800F0">
        <w:rPr>
          <w:rFonts w:ascii="Arial" w:hAnsi="Arial" w:cs="Arial"/>
        </w:rPr>
        <w:t xml:space="preserve"> puts a lower and an upper limit on the battery's state of charge.</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990"/>
      </w:tblGrid>
      <w:tr w:rsidR="00DA7E40" w:rsidRPr="00D800F0" w14:paraId="7B4C2005" w14:textId="77777777" w:rsidTr="0000614D">
        <w:tc>
          <w:tcPr>
            <w:tcW w:w="8455" w:type="dxa"/>
          </w:tcPr>
          <w:p w14:paraId="1795D87F" w14:textId="77777777" w:rsidR="00DA7E40" w:rsidRPr="00D800F0" w:rsidRDefault="00000000" w:rsidP="0000614D">
            <w:pPr>
              <w:rPr>
                <w:rFonts w:ascii="Arial" w:hAnsi="Arial" w:cs="Arial"/>
                <w:bCs/>
              </w:rPr>
            </w:pPr>
            <m:oMathPara>
              <m:oMath>
                <m:sSub>
                  <m:sSubPr>
                    <m:ctrlPr>
                      <w:rPr>
                        <w:rFonts w:ascii="Cambria Math" w:hAnsi="Cambria Math" w:cs="Arial"/>
                        <w:bCs/>
                      </w:rPr>
                    </m:ctrlPr>
                  </m:sSubPr>
                  <m:e>
                    <m:r>
                      <m:rPr>
                        <m:sty m:val="bi"/>
                      </m:rPr>
                      <w:rPr>
                        <w:rFonts w:ascii="Cambria Math" w:hAnsi="Cambria Math" w:cs="Arial"/>
                      </w:rPr>
                      <m:t>b</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r>
                      <m:rPr>
                        <m:sty m:val="bi"/>
                      </m:rPr>
                      <w:rPr>
                        <w:rFonts w:ascii="Cambria Math" w:hAnsi="Cambria Math" w:cs="Arial"/>
                      </w:rPr>
                      <m:t>b</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r>
                      <m:rPr>
                        <m:sty m:val="b"/>
                      </m:rPr>
                      <w:rPr>
                        <w:rFonts w:ascii="Cambria Math" w:hAnsi="Cambria Math" w:cs="Arial"/>
                      </w:rPr>
                      <m:t>1</m:t>
                    </m:r>
                    <m:r>
                      <m:rPr>
                        <m:sty m:val="p"/>
                      </m:rPr>
                      <w:rPr>
                        <w:rFonts w:ascii="Cambria Math" w:hAnsi="Cambria Math" w:cs="Arial"/>
                      </w:rPr>
                      <m:t>)</m:t>
                    </m:r>
                  </m:e>
                  <m:sub>
                    <m:r>
                      <m:rPr>
                        <m:sty m:val="p"/>
                      </m:rPr>
                      <w:rPr>
                        <w:rFonts w:ascii="Cambria Math" w:hAnsi="Cambria Math" w:cs="Arial"/>
                      </w:rPr>
                      <m:t xml:space="preserve"> </m:t>
                    </m:r>
                  </m:sub>
                </m:sSub>
                <m:r>
                  <m:rPr>
                    <m:sty m:val="p"/>
                  </m:rPr>
                  <w:rPr>
                    <w:rFonts w:ascii="Cambria Math" w:hAnsi="Cambria Math" w:cs="Arial"/>
                  </w:rPr>
                  <m:t>+</m:t>
                </m:r>
                <m:r>
                  <m:rPr>
                    <m:sty m:val="bi"/>
                  </m:rPr>
                  <w:rPr>
                    <w:rFonts w:ascii="Cambria Math" w:hAnsi="Cambria Math" w:cs="Arial"/>
                  </w:rPr>
                  <m:t>EFF</m:t>
                </m:r>
                <m:r>
                  <m:rPr>
                    <m:sty m:val="p"/>
                  </m:rPr>
                  <w:rPr>
                    <w:rFonts w:ascii="Cambria Math" w:hAnsi="Cambria Math" w:cs="Arial"/>
                  </w:rPr>
                  <m:t xml:space="preserve">× </m:t>
                </m:r>
                <m:r>
                  <m:rPr>
                    <m:sty m:val="bi"/>
                  </m:rPr>
                  <w:rPr>
                    <w:rFonts w:ascii="Cambria Math" w:hAnsi="Cambria Math" w:cs="Arial"/>
                  </w:rPr>
                  <m:t>C</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r>
                  <m:rPr>
                    <m:sty m:val="bi"/>
                  </m:rPr>
                  <w:rPr>
                    <w:rFonts w:ascii="Cambria Math" w:hAnsi="Cambria Math" w:cs="Arial"/>
                  </w:rPr>
                  <m:t>d</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   ∀</m:t>
                </m:r>
                <m:r>
                  <m:rPr>
                    <m:sty m:val="bi"/>
                  </m:rPr>
                  <w:rPr>
                    <w:rFonts w:ascii="Cambria Math" w:hAnsi="Cambria Math" w:cs="Arial"/>
                  </w:rPr>
                  <m:t>t</m:t>
                </m:r>
                <m:r>
                  <m:rPr>
                    <m:sty m:val="p"/>
                  </m:rPr>
                  <w:rPr>
                    <w:rFonts w:ascii="Cambria Math" w:hAnsi="Cambria Math" w:cs="Arial"/>
                  </w:rPr>
                  <m:t>&gt;</m:t>
                </m:r>
                <m:r>
                  <m:rPr>
                    <m:sty m:val="b"/>
                  </m:rPr>
                  <w:rPr>
                    <w:rFonts w:ascii="Cambria Math" w:hAnsi="Cambria Math" w:cs="Arial"/>
                  </w:rPr>
                  <m:t>1</m:t>
                </m:r>
              </m:oMath>
            </m:oMathPara>
          </w:p>
        </w:tc>
        <w:tc>
          <w:tcPr>
            <w:tcW w:w="990" w:type="dxa"/>
          </w:tcPr>
          <w:p w14:paraId="6A9F45F8" w14:textId="77777777" w:rsidR="00DA7E40" w:rsidRPr="00D800F0" w:rsidRDefault="00DA7E40" w:rsidP="0000614D">
            <w:pPr>
              <w:pStyle w:val="Caption"/>
              <w:rPr>
                <w:rFonts w:ascii="Arial" w:hAnsi="Arial" w:cs="Arial"/>
              </w:rPr>
            </w:pPr>
            <w:bookmarkStart w:id="59" w:name="_Ref146525440"/>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6</w:t>
            </w:r>
            <w:r w:rsidRPr="00D800F0">
              <w:rPr>
                <w:rFonts w:ascii="Arial" w:hAnsi="Arial" w:cs="Arial"/>
                <w:noProof/>
              </w:rPr>
              <w:fldChar w:fldCharType="end"/>
            </w:r>
            <w:r w:rsidRPr="00D800F0">
              <w:rPr>
                <w:rFonts w:ascii="Arial" w:hAnsi="Arial" w:cs="Arial"/>
                <w:noProof/>
              </w:rPr>
              <w:t>)</w:t>
            </w:r>
            <w:bookmarkEnd w:id="59"/>
          </w:p>
        </w:tc>
      </w:tr>
      <w:tr w:rsidR="00DA7E40" w:rsidRPr="00D800F0" w14:paraId="0C257A06" w14:textId="77777777" w:rsidTr="0000614D">
        <w:tc>
          <w:tcPr>
            <w:tcW w:w="8455" w:type="dxa"/>
          </w:tcPr>
          <w:p w14:paraId="3275535B" w14:textId="77777777" w:rsidR="00DA7E40" w:rsidRPr="00D800F0" w:rsidRDefault="00000000" w:rsidP="0000614D">
            <w:pPr>
              <w:rPr>
                <w:rFonts w:ascii="Arial" w:hAnsi="Arial" w:cs="Arial"/>
                <w:bCs/>
              </w:rPr>
            </w:pPr>
            <m:oMathPara>
              <m:oMath>
                <m:sSub>
                  <m:sSubPr>
                    <m:ctrlPr>
                      <w:rPr>
                        <w:rFonts w:ascii="Cambria Math" w:hAnsi="Cambria Math" w:cs="Arial"/>
                        <w:bCs/>
                      </w:rPr>
                    </m:ctrlPr>
                  </m:sSubPr>
                  <m:e>
                    <m:r>
                      <m:rPr>
                        <m:sty m:val="b"/>
                      </m:rPr>
                      <w:rPr>
                        <w:rFonts w:ascii="Cambria Math" w:hAnsi="Cambria Math" w:cs="Arial"/>
                      </w:rPr>
                      <m:t>0</m:t>
                    </m:r>
                    <m:r>
                      <m:rPr>
                        <m:sty m:val="p"/>
                      </m:rPr>
                      <w:rPr>
                        <w:rFonts w:ascii="Cambria Math" w:hAnsi="Cambria Math" w:cs="Arial"/>
                      </w:rPr>
                      <m:t>≤</m:t>
                    </m:r>
                    <m:r>
                      <m:rPr>
                        <m:sty m:val="bi"/>
                      </m:rPr>
                      <w:rPr>
                        <w:rFonts w:ascii="Cambria Math" w:hAnsi="Cambria Math" w:cs="Arial"/>
                      </w:rPr>
                      <m:t>b</m:t>
                    </m:r>
                    <m:r>
                      <m:rPr>
                        <m:sty m:val="p"/>
                      </m:rPr>
                      <w:rPr>
                        <w:rFonts w:ascii="Cambria Math" w:hAnsi="Cambria Math" w:cs="Arial"/>
                      </w:rPr>
                      <m:t>(</m:t>
                    </m:r>
                    <m:r>
                      <m:rPr>
                        <m:sty m:val="bi"/>
                      </m:rPr>
                      <w:rPr>
                        <w:rFonts w:ascii="Cambria Math" w:hAnsi="Cambria Math" w:cs="Arial"/>
                      </w:rPr>
                      <m:t>t</m:t>
                    </m:r>
                    <m:r>
                      <m:rPr>
                        <m:sty m:val="p"/>
                      </m:rPr>
                      <w:rPr>
                        <w:rFonts w:ascii="Cambria Math" w:hAnsi="Cambria Math" w:cs="Arial"/>
                      </w:rPr>
                      <m:t>)</m:t>
                    </m:r>
                  </m:e>
                  <m:sub>
                    <m:r>
                      <m:rPr>
                        <m:sty m:val="p"/>
                      </m:rPr>
                      <w:rPr>
                        <w:rFonts w:ascii="Cambria Math" w:hAnsi="Cambria Math" w:cs="Arial"/>
                      </w:rPr>
                      <m:t xml:space="preserve"> </m:t>
                    </m:r>
                  </m:sub>
                </m:sSub>
                <m:r>
                  <m:rPr>
                    <m:sty m:val="p"/>
                  </m:rPr>
                  <w:rPr>
                    <w:rFonts w:ascii="Cambria Math" w:hAnsi="Cambria Math" w:cs="Arial"/>
                  </w:rPr>
                  <m:t>≤</m:t>
                </m:r>
                <m:r>
                  <m:rPr>
                    <m:sty m:val="bi"/>
                  </m:rPr>
                  <w:rPr>
                    <w:rFonts w:ascii="Cambria Math" w:hAnsi="Cambria Math" w:cs="Arial"/>
                  </w:rPr>
                  <m:t>b</m:t>
                </m:r>
                <m:r>
                  <m:rPr>
                    <m:sty m:val="p"/>
                  </m:rPr>
                  <w:rPr>
                    <w:rFonts w:ascii="Cambria Math" w:hAnsi="Cambria Math" w:cs="Arial"/>
                  </w:rPr>
                  <m:t>,  ∀</m:t>
                </m:r>
                <m:r>
                  <m:rPr>
                    <m:sty m:val="bi"/>
                  </m:rPr>
                  <w:rPr>
                    <w:rFonts w:ascii="Cambria Math" w:hAnsi="Cambria Math" w:cs="Arial"/>
                  </w:rPr>
                  <m:t>t</m:t>
                </m:r>
              </m:oMath>
            </m:oMathPara>
          </w:p>
        </w:tc>
        <w:tc>
          <w:tcPr>
            <w:tcW w:w="990" w:type="dxa"/>
          </w:tcPr>
          <w:p w14:paraId="5A0BA77E" w14:textId="77777777" w:rsidR="00DA7E40" w:rsidRPr="00D800F0" w:rsidRDefault="00DA7E40" w:rsidP="0000614D">
            <w:pPr>
              <w:pStyle w:val="Caption"/>
              <w:rPr>
                <w:rFonts w:ascii="Arial" w:hAnsi="Arial" w:cs="Arial"/>
              </w:rPr>
            </w:pPr>
            <w:bookmarkStart w:id="60" w:name="_Ref146525446"/>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7</w:t>
            </w:r>
            <w:r w:rsidRPr="00D800F0">
              <w:rPr>
                <w:rFonts w:ascii="Arial" w:hAnsi="Arial" w:cs="Arial"/>
                <w:noProof/>
              </w:rPr>
              <w:fldChar w:fldCharType="end"/>
            </w:r>
            <w:r w:rsidRPr="00D800F0">
              <w:rPr>
                <w:rFonts w:ascii="Arial" w:hAnsi="Arial" w:cs="Arial"/>
                <w:noProof/>
              </w:rPr>
              <w:t>)</w:t>
            </w:r>
            <w:bookmarkEnd w:id="60"/>
          </w:p>
        </w:tc>
      </w:tr>
    </w:tbl>
    <w:p w14:paraId="14C6E537" w14:textId="77777777" w:rsidR="00DA7E40" w:rsidRPr="00D800F0" w:rsidRDefault="00DA7E40" w:rsidP="00DA7E40">
      <w:pPr>
        <w:rPr>
          <w:rFonts w:ascii="Arial" w:hAnsi="Arial" w:cs="Arial"/>
        </w:rPr>
      </w:pPr>
    </w:p>
    <w:p w14:paraId="2D5428D4" w14:textId="77777777" w:rsidR="00DA7E40" w:rsidRPr="00D800F0" w:rsidRDefault="00DA7E40" w:rsidP="006864F3">
      <w:pPr>
        <w:pStyle w:val="Heading3"/>
        <w:rPr>
          <w:rFonts w:ascii="Arial" w:hAnsi="Arial" w:cs="Arial"/>
        </w:rPr>
      </w:pPr>
      <w:bookmarkStart w:id="61" w:name="_Toc148296631"/>
      <w:r w:rsidRPr="00D800F0">
        <w:rPr>
          <w:rFonts w:ascii="Arial" w:hAnsi="Arial" w:cs="Arial"/>
        </w:rPr>
        <w:t>Data sources</w:t>
      </w:r>
      <w:bookmarkEnd w:id="61"/>
    </w:p>
    <w:p w14:paraId="10AF0930" w14:textId="77777777" w:rsidR="00DA7E40" w:rsidRPr="00D800F0" w:rsidRDefault="00DA7E40" w:rsidP="006864F3">
      <w:pPr>
        <w:pStyle w:val="Heading4"/>
        <w:numPr>
          <w:ilvl w:val="2"/>
          <w:numId w:val="4"/>
        </w:numPr>
        <w:rPr>
          <w:rFonts w:ascii="Arial" w:hAnsi="Arial" w:cs="Arial"/>
        </w:rPr>
      </w:pPr>
      <w:r w:rsidRPr="00D800F0">
        <w:rPr>
          <w:rFonts w:ascii="Arial" w:hAnsi="Arial" w:cs="Arial"/>
        </w:rPr>
        <w:t xml:space="preserve">Sources and assumptions on the capacity factor data. </w:t>
      </w:r>
    </w:p>
    <w:p w14:paraId="26002472" w14:textId="77777777" w:rsidR="00DA7E40" w:rsidRPr="00D800F0" w:rsidRDefault="00DA7E40" w:rsidP="00DA7E40">
      <w:pPr>
        <w:rPr>
          <w:rFonts w:ascii="Arial" w:hAnsi="Arial" w:cs="Arial"/>
        </w:rPr>
      </w:pPr>
      <w:r w:rsidRPr="00D800F0">
        <w:rPr>
          <w:rFonts w:ascii="Arial" w:hAnsi="Arial" w:cs="Arial"/>
        </w:rPr>
        <w:t>The data for the wind capacity factors (</w:t>
      </w:r>
      <m:oMath>
        <m:r>
          <m:rPr>
            <m:sty m:val="bi"/>
          </m:rPr>
          <w:rPr>
            <w:rFonts w:ascii="Cambria Math" w:hAnsi="Cambria Math" w:cs="Arial"/>
          </w:rPr>
          <m:t>CF(t)</m:t>
        </m:r>
      </m:oMath>
      <w:r w:rsidRPr="00D800F0">
        <w:rPr>
          <w:rFonts w:ascii="Arial" w:hAnsi="Arial" w:cs="Arial"/>
        </w:rPr>
        <w:t>) is parametrized by location, year, and wind turbine design. The hourly capacity data originates from Pfenninger et al. (2016).</w:t>
      </w:r>
    </w:p>
    <w:p w14:paraId="6E82F11E" w14:textId="40FE68D9" w:rsidR="00DA7E40" w:rsidRPr="00D800F0" w:rsidRDefault="00DA7E40" w:rsidP="00DA7E40">
      <w:pPr>
        <w:pStyle w:val="ListParagraph"/>
        <w:numPr>
          <w:ilvl w:val="0"/>
          <w:numId w:val="18"/>
        </w:numPr>
        <w:rPr>
          <w:rFonts w:ascii="Arial" w:hAnsi="Arial" w:cs="Arial"/>
        </w:rPr>
      </w:pPr>
      <w:r w:rsidRPr="00D800F0">
        <w:rPr>
          <w:rFonts w:ascii="Arial" w:hAnsi="Arial" w:cs="Arial"/>
          <w:b/>
          <w:bCs/>
        </w:rPr>
        <w:t>Locations</w:t>
      </w:r>
      <w:r w:rsidRPr="00D800F0">
        <w:rPr>
          <w:rFonts w:ascii="Arial" w:hAnsi="Arial" w:cs="Arial"/>
        </w:rPr>
        <w:t xml:space="preserve">: the capacity factors are obtained from 8 locations, labeled Yara, Koch, Woodward, Port Neal, Verdigris, Nutrien, Donaldson, AdvanSix. The locations match some of the largest AP plants in the US (see </w:t>
      </w:r>
      <w:r w:rsidRPr="00D800F0">
        <w:rPr>
          <w:rFonts w:ascii="Arial" w:hAnsi="Arial" w:cs="Arial"/>
        </w:rPr>
        <w:fldChar w:fldCharType="begin"/>
      </w:r>
      <w:r w:rsidRPr="00D800F0">
        <w:rPr>
          <w:rFonts w:ascii="Arial" w:hAnsi="Arial" w:cs="Arial"/>
        </w:rPr>
        <w:instrText xml:space="preserve"> REF _Ref146366000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Table </w:t>
      </w:r>
      <w:r w:rsidRPr="00D800F0">
        <w:rPr>
          <w:rFonts w:ascii="Arial" w:hAnsi="Arial" w:cs="Arial"/>
          <w:noProof/>
        </w:rPr>
        <w:t>E</w:t>
      </w:r>
      <w:r w:rsidRPr="00D800F0">
        <w:rPr>
          <w:rFonts w:ascii="Arial" w:hAnsi="Arial" w:cs="Arial"/>
        </w:rPr>
        <w:noBreakHyphen/>
      </w:r>
      <w:r w:rsidRPr="00D800F0">
        <w:rPr>
          <w:rFonts w:ascii="Arial" w:hAnsi="Arial" w:cs="Arial"/>
          <w:noProof/>
        </w:rPr>
        <w:t>2</w:t>
      </w:r>
      <w:r w:rsidRPr="00D800F0">
        <w:rPr>
          <w:rFonts w:ascii="Arial" w:hAnsi="Arial" w:cs="Arial"/>
        </w:rPr>
        <w:fldChar w:fldCharType="end"/>
      </w:r>
      <w:r w:rsidRPr="00D800F0">
        <w:rPr>
          <w:rFonts w:ascii="Arial" w:hAnsi="Arial" w:cs="Arial"/>
        </w:rPr>
        <w:t xml:space="preserve">). </w:t>
      </w:r>
    </w:p>
    <w:p w14:paraId="30690595" w14:textId="7B092FE2" w:rsidR="00DA7E40" w:rsidRPr="00D800F0" w:rsidRDefault="00DA7E40" w:rsidP="00DA7E40">
      <w:pPr>
        <w:pStyle w:val="ListParagraph"/>
        <w:numPr>
          <w:ilvl w:val="0"/>
          <w:numId w:val="18"/>
        </w:numPr>
        <w:rPr>
          <w:rFonts w:ascii="Arial" w:hAnsi="Arial" w:cs="Arial"/>
        </w:rPr>
      </w:pPr>
      <w:r w:rsidRPr="00D800F0">
        <w:rPr>
          <w:rFonts w:ascii="Arial" w:hAnsi="Arial" w:cs="Arial"/>
          <w:b/>
          <w:bCs/>
        </w:rPr>
        <w:lastRenderedPageBreak/>
        <w:t>Year</w:t>
      </w:r>
      <w:r w:rsidRPr="00D800F0">
        <w:rPr>
          <w:rFonts w:ascii="Arial" w:hAnsi="Arial" w:cs="Arial"/>
        </w:rPr>
        <w:t>: only 2019 data was available. We assume 2019 capacity factors to be a typical meteorological year (TMY) for the AP plant model for computational tractability. In other words, the time-varying results from this optimization problem (</w:t>
      </w:r>
      <m:oMath>
        <m:r>
          <m:rPr>
            <m:sty m:val="bi"/>
          </m:rPr>
          <w:rPr>
            <w:rFonts w:ascii="Cambria Math" w:hAnsi="Cambria Math" w:cs="Arial"/>
          </w:rPr>
          <m:t>w</m:t>
        </m:r>
        <m:d>
          <m:dPr>
            <m:ctrlPr>
              <w:rPr>
                <w:rFonts w:ascii="Cambria Math" w:hAnsi="Cambria Math" w:cs="Arial"/>
              </w:rPr>
            </m:ctrlPr>
          </m:dPr>
          <m:e>
            <m:r>
              <m:rPr>
                <m:sty m:val="bi"/>
              </m:rPr>
              <w:rPr>
                <w:rFonts w:ascii="Cambria Math" w:hAnsi="Cambria Math" w:cs="Arial"/>
              </w:rPr>
              <m:t>t</m:t>
            </m:r>
          </m:e>
        </m:d>
        <m:r>
          <m:rPr>
            <m:sty m:val="p"/>
          </m:rPr>
          <w:rPr>
            <w:rFonts w:ascii="Cambria Math" w:hAnsi="Cambria Math" w:cs="Arial"/>
          </w:rPr>
          <m:t xml:space="preserve">, </m:t>
        </m:r>
        <m:r>
          <m:rPr>
            <m:sty m:val="bi"/>
          </m:rPr>
          <w:rPr>
            <w:rFonts w:ascii="Cambria Math" w:hAnsi="Cambria Math" w:cs="Arial"/>
          </w:rPr>
          <m:t>d</m:t>
        </m:r>
        <m:d>
          <m:dPr>
            <m:ctrlPr>
              <w:rPr>
                <w:rFonts w:ascii="Cambria Math" w:hAnsi="Cambria Math" w:cs="Arial"/>
              </w:rPr>
            </m:ctrlPr>
          </m:dPr>
          <m:e>
            <m:r>
              <m:rPr>
                <m:sty m:val="bi"/>
              </m:rPr>
              <w:rPr>
                <w:rFonts w:ascii="Cambria Math" w:hAnsi="Cambria Math" w:cs="Arial"/>
              </w:rPr>
              <m:t>t</m:t>
            </m:r>
          </m:e>
        </m:d>
      </m:oMath>
      <w:r w:rsidRPr="00D800F0">
        <w:rPr>
          <w:rFonts w:ascii="Arial" w:eastAsiaTheme="minorEastAsia" w:hAnsi="Arial" w:cs="Arial"/>
        </w:rPr>
        <w:t xml:space="preserve">, etc..) are oscillatory functions in the context of the AP plant (see SI </w:t>
      </w:r>
      <w:r w:rsidRPr="00D800F0">
        <w:rPr>
          <w:rFonts w:ascii="Arial" w:eastAsiaTheme="minorEastAsia" w:hAnsi="Arial" w:cs="Arial"/>
        </w:rPr>
        <w:fldChar w:fldCharType="begin"/>
      </w:r>
      <w:r w:rsidRPr="00D800F0">
        <w:rPr>
          <w:rFonts w:ascii="Arial" w:eastAsiaTheme="minorEastAsia" w:hAnsi="Arial" w:cs="Arial"/>
        </w:rPr>
        <w:instrText xml:space="preserve"> REF _Ref146525754 \r \h </w:instrText>
      </w:r>
      <w:r w:rsidR="00D800F0">
        <w:rPr>
          <w:rFonts w:ascii="Arial" w:eastAsiaTheme="minorEastAsia" w:hAnsi="Arial" w:cs="Arial"/>
        </w:rPr>
        <w:instrText xml:space="preserve"> \* MERGEFORMAT </w:instrText>
      </w:r>
      <w:r w:rsidRPr="00D800F0">
        <w:rPr>
          <w:rFonts w:ascii="Arial" w:eastAsiaTheme="minorEastAsia" w:hAnsi="Arial" w:cs="Arial"/>
        </w:rPr>
      </w:r>
      <w:r w:rsidRPr="00D800F0">
        <w:rPr>
          <w:rFonts w:ascii="Arial" w:eastAsiaTheme="minorEastAsia" w:hAnsi="Arial" w:cs="Arial"/>
        </w:rPr>
        <w:fldChar w:fldCharType="separate"/>
      </w:r>
      <w:r w:rsidRPr="00D800F0">
        <w:rPr>
          <w:rFonts w:ascii="Arial" w:eastAsiaTheme="minorEastAsia" w:hAnsi="Arial" w:cs="Arial"/>
        </w:rPr>
        <w:t>F</w:t>
      </w:r>
      <w:r w:rsidRPr="00D800F0">
        <w:rPr>
          <w:rFonts w:ascii="Arial" w:eastAsiaTheme="minorEastAsia" w:hAnsi="Arial" w:cs="Arial"/>
        </w:rPr>
        <w:fldChar w:fldCharType="end"/>
      </w:r>
      <w:r w:rsidRPr="00D800F0">
        <w:rPr>
          <w:rFonts w:ascii="Arial" w:eastAsiaTheme="minorEastAsia" w:hAnsi="Arial" w:cs="Arial"/>
        </w:rPr>
        <w:t xml:space="preserve">). </w:t>
      </w:r>
    </w:p>
    <w:p w14:paraId="4807FE5E" w14:textId="77777777" w:rsidR="00DA7E40" w:rsidRPr="00D800F0" w:rsidRDefault="00DA7E40" w:rsidP="00DA7E40">
      <w:pPr>
        <w:pStyle w:val="ListParagraph"/>
        <w:numPr>
          <w:ilvl w:val="0"/>
          <w:numId w:val="18"/>
        </w:numPr>
        <w:rPr>
          <w:rFonts w:ascii="Arial" w:hAnsi="Arial" w:cs="Arial"/>
        </w:rPr>
      </w:pPr>
      <w:r w:rsidRPr="00D800F0">
        <w:rPr>
          <w:rFonts w:ascii="Arial" w:hAnsi="Arial" w:cs="Arial"/>
          <w:b/>
          <w:bCs/>
        </w:rPr>
        <w:t>Wind turbine design</w:t>
      </w:r>
      <w:r w:rsidRPr="00D800F0">
        <w:rPr>
          <w:rFonts w:ascii="Arial" w:hAnsi="Arial" w:cs="Arial"/>
        </w:rPr>
        <w:t>: as wind turbine technology improves, the costs are expected to decrease and the hub heights and capacity per turbine to increase. 2026 scenario data was obtained using a hub height of 90.2m and a BONUS B82 2300 turbine. 2033 data was obtained using a hub height of 120m and a GAMESA G128 5000 turbine. The turbine design was picked to match closely with the average design specifications of deployed wind turbines in the baseline and moderate scenarios of NREL’s Annual Technology Baseline report (OEDI, 2022)</w:t>
      </w:r>
      <w:r w:rsidRPr="00D800F0">
        <w:rPr>
          <w:rStyle w:val="FootnoteReference"/>
          <w:rFonts w:ascii="Arial" w:hAnsi="Arial" w:cs="Arial"/>
        </w:rPr>
        <w:footnoteReference w:id="4"/>
      </w:r>
      <w:r w:rsidRPr="00D800F0">
        <w:rPr>
          <w:rFonts w:ascii="Arial" w:hAnsi="Arial" w:cs="Arial"/>
        </w:rPr>
        <w:t xml:space="preserve">. </w:t>
      </w:r>
    </w:p>
    <w:p w14:paraId="75B642CC" w14:textId="77777777" w:rsidR="00DA7E40" w:rsidRPr="00D800F0" w:rsidRDefault="00DA7E40" w:rsidP="006864F3">
      <w:pPr>
        <w:pStyle w:val="Heading4"/>
        <w:numPr>
          <w:ilvl w:val="2"/>
          <w:numId w:val="4"/>
        </w:numPr>
        <w:rPr>
          <w:rFonts w:ascii="Arial" w:hAnsi="Arial" w:cs="Arial"/>
        </w:rPr>
      </w:pPr>
      <w:r w:rsidRPr="00D800F0">
        <w:rPr>
          <w:rFonts w:ascii="Arial" w:hAnsi="Arial" w:cs="Arial"/>
        </w:rPr>
        <w:t xml:space="preserve">Justification for hybrid wind farm locations and applications to the AP plant model. </w:t>
      </w:r>
    </w:p>
    <w:p w14:paraId="6C2D8677" w14:textId="2A7EF640" w:rsidR="00DA7E40" w:rsidRPr="00D800F0" w:rsidRDefault="00DA7E40" w:rsidP="00DA7E40">
      <w:pPr>
        <w:rPr>
          <w:rFonts w:ascii="Arial" w:hAnsi="Arial" w:cs="Arial"/>
        </w:rPr>
      </w:pPr>
      <w:r w:rsidRPr="00D800F0">
        <w:rPr>
          <w:rFonts w:ascii="Arial" w:hAnsi="Arial" w:cs="Arial"/>
        </w:rPr>
        <w:t xml:space="preserve">Our stochastic NPV model uses a uniform distribution to capture the lower and upper bounds of uncertain variables such as wind and battery capex. To capture the upper and lower bounds of wind resource availability in those eight locations, we compute the average monthly and hourly capacity factors and pick two farm locations each year with the highest and lowest average capacity factors (see </w:t>
      </w:r>
      <w:r w:rsidRPr="00D800F0">
        <w:rPr>
          <w:rFonts w:ascii="Arial" w:hAnsi="Arial" w:cs="Arial"/>
        </w:rPr>
        <w:fldChar w:fldCharType="begin"/>
      </w:r>
      <w:r w:rsidRPr="00D800F0">
        <w:rPr>
          <w:rFonts w:ascii="Arial" w:hAnsi="Arial" w:cs="Arial"/>
        </w:rPr>
        <w:instrText xml:space="preserve"> REF _Ref146366519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Table </w:t>
      </w:r>
      <w:r w:rsidRPr="00D800F0">
        <w:rPr>
          <w:rFonts w:ascii="Arial" w:hAnsi="Arial" w:cs="Arial"/>
          <w:noProof/>
        </w:rPr>
        <w:t>D</w:t>
      </w:r>
      <w:r w:rsidRPr="00D800F0">
        <w:rPr>
          <w:rFonts w:ascii="Arial" w:hAnsi="Arial" w:cs="Arial"/>
        </w:rPr>
        <w:noBreakHyphen/>
      </w:r>
      <w:r w:rsidRPr="00D800F0">
        <w:rPr>
          <w:rFonts w:ascii="Arial" w:hAnsi="Arial" w:cs="Arial"/>
          <w:noProof/>
        </w:rPr>
        <w:t>3</w:t>
      </w:r>
      <w:r w:rsidRPr="00D800F0">
        <w:rPr>
          <w:rFonts w:ascii="Arial" w:hAnsi="Arial" w:cs="Arial"/>
        </w:rPr>
        <w:fldChar w:fldCharType="end"/>
      </w:r>
      <w:r w:rsidRPr="00D800F0">
        <w:rPr>
          <w:rFonts w:ascii="Arial" w:hAnsi="Arial" w:cs="Arial"/>
        </w:rPr>
        <w:t>). Intuitively, locations with low-energy wind resources will have a larger wind capacity (higher overall CAPEX) than locations with high-energy wind resources (lower overall CAPEX).</w:t>
      </w:r>
    </w:p>
    <w:p w14:paraId="298C74E6" w14:textId="77777777" w:rsidR="00DA7E40" w:rsidRPr="00D800F0" w:rsidRDefault="00DA7E40" w:rsidP="00DA7E40">
      <w:pPr>
        <w:ind w:firstLine="720"/>
        <w:rPr>
          <w:rFonts w:ascii="Arial" w:hAnsi="Arial" w:cs="Arial"/>
        </w:rPr>
      </w:pPr>
      <w:r w:rsidRPr="00D800F0">
        <w:rPr>
          <w:rFonts w:ascii="Arial" w:hAnsi="Arial" w:cs="Arial"/>
        </w:rPr>
        <w:t>This helps in understanding which locations are performing the best and the worst in wind electricity generation, and these two locations’ data are used for stochastic NPV analysis.</w:t>
      </w:r>
    </w:p>
    <w:p w14:paraId="0C6D642A" w14:textId="77777777" w:rsidR="00DA7E40" w:rsidRPr="00D800F0" w:rsidRDefault="00DA7E40" w:rsidP="00DA7E40">
      <w:pPr>
        <w:pStyle w:val="Caption"/>
        <w:rPr>
          <w:rFonts w:ascii="Arial" w:hAnsi="Arial" w:cs="Arial"/>
        </w:rPr>
      </w:pPr>
      <w:bookmarkStart w:id="62" w:name="_Ref146366000"/>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2</w:t>
      </w:r>
      <w:r w:rsidRPr="00D800F0">
        <w:rPr>
          <w:rFonts w:ascii="Arial" w:hAnsi="Arial" w:cs="Arial"/>
          <w:noProof/>
        </w:rPr>
        <w:fldChar w:fldCharType="end"/>
      </w:r>
      <w:bookmarkEnd w:id="62"/>
      <w:r w:rsidRPr="00D800F0">
        <w:rPr>
          <w:rFonts w:ascii="Arial" w:hAnsi="Arial" w:cs="Arial"/>
        </w:rPr>
        <w:t>: Specific locations of AP plants.</w:t>
      </w:r>
    </w:p>
    <w:tbl>
      <w:tblPr>
        <w:tblW w:w="8560" w:type="dxa"/>
        <w:tblLook w:val="04A0" w:firstRow="1" w:lastRow="0" w:firstColumn="1" w:lastColumn="0" w:noHBand="0" w:noVBand="1"/>
      </w:tblPr>
      <w:tblGrid>
        <w:gridCol w:w="1620"/>
        <w:gridCol w:w="3140"/>
        <w:gridCol w:w="1060"/>
        <w:gridCol w:w="1320"/>
        <w:gridCol w:w="1420"/>
      </w:tblGrid>
      <w:tr w:rsidR="00DA7E40" w:rsidRPr="00D800F0" w14:paraId="36B9EB96" w14:textId="77777777" w:rsidTr="0000614D">
        <w:trPr>
          <w:trHeight w:val="64"/>
        </w:trPr>
        <w:tc>
          <w:tcPr>
            <w:tcW w:w="1620" w:type="dxa"/>
            <w:tcBorders>
              <w:top w:val="single" w:sz="4" w:space="0" w:color="auto"/>
              <w:bottom w:val="single" w:sz="4" w:space="0" w:color="auto"/>
            </w:tcBorders>
            <w:shd w:val="clear" w:color="auto" w:fill="auto"/>
            <w:noWrap/>
            <w:vAlign w:val="bottom"/>
            <w:hideMark/>
          </w:tcPr>
          <w:p w14:paraId="5BA8531B" w14:textId="77777777" w:rsidR="00DA7E40" w:rsidRPr="00D800F0" w:rsidRDefault="00DA7E40" w:rsidP="0000614D">
            <w:pPr>
              <w:spacing w:after="0" w:line="240" w:lineRule="auto"/>
              <w:rPr>
                <w:rFonts w:ascii="Arial" w:hAnsi="Arial" w:cs="Arial"/>
                <w:i/>
                <w:iCs/>
              </w:rPr>
            </w:pPr>
            <w:r w:rsidRPr="00D800F0">
              <w:rPr>
                <w:rFonts w:ascii="Arial" w:hAnsi="Arial" w:cs="Arial"/>
                <w:i/>
                <w:iCs/>
              </w:rPr>
              <w:t>Company</w:t>
            </w:r>
          </w:p>
        </w:tc>
        <w:tc>
          <w:tcPr>
            <w:tcW w:w="3140" w:type="dxa"/>
            <w:tcBorders>
              <w:top w:val="single" w:sz="4" w:space="0" w:color="auto"/>
              <w:bottom w:val="single" w:sz="4" w:space="0" w:color="auto"/>
            </w:tcBorders>
            <w:shd w:val="clear" w:color="auto" w:fill="auto"/>
            <w:noWrap/>
            <w:vAlign w:val="bottom"/>
            <w:hideMark/>
          </w:tcPr>
          <w:p w14:paraId="63892752" w14:textId="77777777" w:rsidR="00DA7E40" w:rsidRPr="00D800F0" w:rsidRDefault="00DA7E40" w:rsidP="0000614D">
            <w:pPr>
              <w:spacing w:after="0" w:line="240" w:lineRule="auto"/>
              <w:rPr>
                <w:rFonts w:ascii="Arial" w:hAnsi="Arial" w:cs="Arial"/>
                <w:i/>
                <w:iCs/>
              </w:rPr>
            </w:pPr>
            <w:r w:rsidRPr="00D800F0">
              <w:rPr>
                <w:rFonts w:ascii="Arial" w:hAnsi="Arial" w:cs="Arial"/>
                <w:i/>
                <w:iCs/>
              </w:rPr>
              <w:t>Name</w:t>
            </w:r>
          </w:p>
        </w:tc>
        <w:tc>
          <w:tcPr>
            <w:tcW w:w="1060" w:type="dxa"/>
            <w:tcBorders>
              <w:top w:val="single" w:sz="4" w:space="0" w:color="auto"/>
              <w:bottom w:val="single" w:sz="4" w:space="0" w:color="auto"/>
            </w:tcBorders>
            <w:shd w:val="clear" w:color="auto" w:fill="auto"/>
            <w:noWrap/>
            <w:vAlign w:val="bottom"/>
            <w:hideMark/>
          </w:tcPr>
          <w:p w14:paraId="1FB65FF0" w14:textId="77777777" w:rsidR="00DA7E40" w:rsidRPr="00D800F0" w:rsidRDefault="00DA7E40" w:rsidP="0000614D">
            <w:pPr>
              <w:spacing w:after="0" w:line="240" w:lineRule="auto"/>
              <w:rPr>
                <w:rFonts w:ascii="Arial" w:hAnsi="Arial" w:cs="Arial"/>
                <w:i/>
                <w:iCs/>
              </w:rPr>
            </w:pPr>
            <w:r w:rsidRPr="00D800F0">
              <w:rPr>
                <w:rFonts w:ascii="Arial" w:hAnsi="Arial" w:cs="Arial"/>
                <w:i/>
                <w:iCs/>
              </w:rPr>
              <w:t>State</w:t>
            </w:r>
          </w:p>
        </w:tc>
        <w:tc>
          <w:tcPr>
            <w:tcW w:w="1320" w:type="dxa"/>
            <w:tcBorders>
              <w:top w:val="single" w:sz="4" w:space="0" w:color="auto"/>
              <w:bottom w:val="single" w:sz="4" w:space="0" w:color="auto"/>
            </w:tcBorders>
            <w:shd w:val="clear" w:color="auto" w:fill="auto"/>
            <w:noWrap/>
            <w:vAlign w:val="bottom"/>
            <w:hideMark/>
          </w:tcPr>
          <w:p w14:paraId="328B4A49" w14:textId="77777777" w:rsidR="00DA7E40" w:rsidRPr="00D800F0" w:rsidRDefault="00DA7E40" w:rsidP="0000614D">
            <w:pPr>
              <w:spacing w:after="0" w:line="240" w:lineRule="auto"/>
              <w:rPr>
                <w:rFonts w:ascii="Arial" w:hAnsi="Arial" w:cs="Arial"/>
                <w:i/>
                <w:iCs/>
              </w:rPr>
            </w:pPr>
            <w:r w:rsidRPr="00D800F0">
              <w:rPr>
                <w:rFonts w:ascii="Arial" w:hAnsi="Arial" w:cs="Arial"/>
                <w:i/>
                <w:iCs/>
              </w:rPr>
              <w:t>Latitude</w:t>
            </w:r>
          </w:p>
        </w:tc>
        <w:tc>
          <w:tcPr>
            <w:tcW w:w="1420" w:type="dxa"/>
            <w:tcBorders>
              <w:top w:val="single" w:sz="4" w:space="0" w:color="auto"/>
              <w:bottom w:val="single" w:sz="4" w:space="0" w:color="auto"/>
            </w:tcBorders>
            <w:shd w:val="clear" w:color="auto" w:fill="auto"/>
            <w:noWrap/>
            <w:vAlign w:val="bottom"/>
            <w:hideMark/>
          </w:tcPr>
          <w:p w14:paraId="24ADB307" w14:textId="77777777" w:rsidR="00DA7E40" w:rsidRPr="00D800F0" w:rsidRDefault="00DA7E40" w:rsidP="0000614D">
            <w:pPr>
              <w:spacing w:after="0" w:line="240" w:lineRule="auto"/>
              <w:rPr>
                <w:rFonts w:ascii="Arial" w:hAnsi="Arial" w:cs="Arial"/>
                <w:i/>
                <w:iCs/>
              </w:rPr>
            </w:pPr>
            <w:r w:rsidRPr="00D800F0">
              <w:rPr>
                <w:rFonts w:ascii="Arial" w:hAnsi="Arial" w:cs="Arial"/>
                <w:i/>
                <w:iCs/>
              </w:rPr>
              <w:t>Longitude</w:t>
            </w:r>
          </w:p>
        </w:tc>
      </w:tr>
      <w:tr w:rsidR="00DA7E40" w:rsidRPr="00D800F0" w14:paraId="76D2D31B" w14:textId="77777777" w:rsidTr="0000614D">
        <w:trPr>
          <w:trHeight w:val="300"/>
        </w:trPr>
        <w:tc>
          <w:tcPr>
            <w:tcW w:w="1620" w:type="dxa"/>
            <w:tcBorders>
              <w:top w:val="single" w:sz="4" w:space="0" w:color="auto"/>
            </w:tcBorders>
            <w:shd w:val="clear" w:color="auto" w:fill="auto"/>
            <w:noWrap/>
            <w:vAlign w:val="center"/>
            <w:hideMark/>
          </w:tcPr>
          <w:p w14:paraId="158F9D61" w14:textId="77777777" w:rsidR="00DA7E40" w:rsidRPr="00D800F0" w:rsidRDefault="00DA7E40" w:rsidP="0000614D">
            <w:pPr>
              <w:spacing w:after="0"/>
              <w:jc w:val="center"/>
              <w:rPr>
                <w:rFonts w:ascii="Arial" w:hAnsi="Arial" w:cs="Arial"/>
              </w:rPr>
            </w:pPr>
            <w:r w:rsidRPr="00D800F0">
              <w:rPr>
                <w:rFonts w:ascii="Arial" w:hAnsi="Arial" w:cs="Arial"/>
              </w:rPr>
              <w:t>CF Industries</w:t>
            </w:r>
          </w:p>
        </w:tc>
        <w:tc>
          <w:tcPr>
            <w:tcW w:w="3140" w:type="dxa"/>
            <w:tcBorders>
              <w:top w:val="single" w:sz="4" w:space="0" w:color="auto"/>
            </w:tcBorders>
            <w:shd w:val="clear" w:color="auto" w:fill="auto"/>
            <w:noWrap/>
            <w:vAlign w:val="center"/>
            <w:hideMark/>
          </w:tcPr>
          <w:p w14:paraId="41955B72" w14:textId="77777777" w:rsidR="00DA7E40" w:rsidRPr="00D800F0" w:rsidRDefault="00DA7E40" w:rsidP="0000614D">
            <w:pPr>
              <w:spacing w:after="0"/>
              <w:jc w:val="center"/>
              <w:rPr>
                <w:rFonts w:ascii="Arial" w:hAnsi="Arial" w:cs="Arial"/>
              </w:rPr>
            </w:pPr>
            <w:r w:rsidRPr="00D800F0">
              <w:rPr>
                <w:rFonts w:ascii="Arial" w:hAnsi="Arial" w:cs="Arial"/>
              </w:rPr>
              <w:t>Donaldsonville Complex</w:t>
            </w:r>
          </w:p>
        </w:tc>
        <w:tc>
          <w:tcPr>
            <w:tcW w:w="1060" w:type="dxa"/>
            <w:tcBorders>
              <w:top w:val="single" w:sz="4" w:space="0" w:color="auto"/>
            </w:tcBorders>
            <w:shd w:val="clear" w:color="auto" w:fill="auto"/>
            <w:noWrap/>
            <w:vAlign w:val="center"/>
            <w:hideMark/>
          </w:tcPr>
          <w:p w14:paraId="19E1E9A7" w14:textId="77777777" w:rsidR="00DA7E40" w:rsidRPr="00D800F0" w:rsidRDefault="00DA7E40" w:rsidP="0000614D">
            <w:pPr>
              <w:spacing w:after="0"/>
              <w:jc w:val="center"/>
              <w:rPr>
                <w:rFonts w:ascii="Arial" w:hAnsi="Arial" w:cs="Arial"/>
              </w:rPr>
            </w:pPr>
            <w:r w:rsidRPr="00D800F0">
              <w:rPr>
                <w:rFonts w:ascii="Arial" w:hAnsi="Arial" w:cs="Arial"/>
              </w:rPr>
              <w:t>LS</w:t>
            </w:r>
          </w:p>
        </w:tc>
        <w:tc>
          <w:tcPr>
            <w:tcW w:w="1320" w:type="dxa"/>
            <w:tcBorders>
              <w:top w:val="single" w:sz="4" w:space="0" w:color="auto"/>
            </w:tcBorders>
            <w:shd w:val="clear" w:color="auto" w:fill="auto"/>
            <w:noWrap/>
            <w:vAlign w:val="center"/>
            <w:hideMark/>
          </w:tcPr>
          <w:p w14:paraId="0ACD58DA" w14:textId="77777777" w:rsidR="00DA7E40" w:rsidRPr="00D800F0" w:rsidRDefault="00DA7E40" w:rsidP="0000614D">
            <w:pPr>
              <w:spacing w:after="0"/>
              <w:jc w:val="center"/>
              <w:rPr>
                <w:rFonts w:ascii="Arial" w:hAnsi="Arial" w:cs="Arial"/>
              </w:rPr>
            </w:pPr>
            <w:r w:rsidRPr="00D800F0">
              <w:rPr>
                <w:rFonts w:ascii="Arial" w:hAnsi="Arial" w:cs="Arial"/>
              </w:rPr>
              <w:t>30.087397</w:t>
            </w:r>
          </w:p>
        </w:tc>
        <w:tc>
          <w:tcPr>
            <w:tcW w:w="1420" w:type="dxa"/>
            <w:tcBorders>
              <w:top w:val="single" w:sz="4" w:space="0" w:color="auto"/>
            </w:tcBorders>
            <w:shd w:val="clear" w:color="auto" w:fill="auto"/>
            <w:noWrap/>
            <w:vAlign w:val="center"/>
            <w:hideMark/>
          </w:tcPr>
          <w:p w14:paraId="02D66AFB" w14:textId="77777777" w:rsidR="00DA7E40" w:rsidRPr="00D800F0" w:rsidRDefault="00DA7E40" w:rsidP="0000614D">
            <w:pPr>
              <w:spacing w:after="0"/>
              <w:jc w:val="center"/>
              <w:rPr>
                <w:rFonts w:ascii="Arial" w:hAnsi="Arial" w:cs="Arial"/>
              </w:rPr>
            </w:pPr>
            <w:r w:rsidRPr="00D800F0">
              <w:rPr>
                <w:rFonts w:ascii="Arial" w:hAnsi="Arial" w:cs="Arial"/>
              </w:rPr>
              <w:t>-90.955682</w:t>
            </w:r>
          </w:p>
        </w:tc>
      </w:tr>
      <w:tr w:rsidR="00DA7E40" w:rsidRPr="00D800F0" w14:paraId="0B5F94CB" w14:textId="77777777" w:rsidTr="0000614D">
        <w:trPr>
          <w:trHeight w:val="300"/>
        </w:trPr>
        <w:tc>
          <w:tcPr>
            <w:tcW w:w="1620" w:type="dxa"/>
            <w:shd w:val="clear" w:color="auto" w:fill="auto"/>
            <w:noWrap/>
            <w:vAlign w:val="center"/>
            <w:hideMark/>
          </w:tcPr>
          <w:p w14:paraId="10F9AE4C" w14:textId="77777777" w:rsidR="00DA7E40" w:rsidRPr="00D800F0" w:rsidRDefault="00DA7E40" w:rsidP="0000614D">
            <w:pPr>
              <w:spacing w:after="0"/>
              <w:jc w:val="center"/>
              <w:rPr>
                <w:rFonts w:ascii="Arial" w:hAnsi="Arial" w:cs="Arial"/>
              </w:rPr>
            </w:pPr>
            <w:r w:rsidRPr="00D800F0">
              <w:rPr>
                <w:rFonts w:ascii="Arial" w:hAnsi="Arial" w:cs="Arial"/>
              </w:rPr>
              <w:t>CF Industries</w:t>
            </w:r>
          </w:p>
        </w:tc>
        <w:tc>
          <w:tcPr>
            <w:tcW w:w="3140" w:type="dxa"/>
            <w:shd w:val="clear" w:color="auto" w:fill="auto"/>
            <w:vAlign w:val="center"/>
            <w:hideMark/>
          </w:tcPr>
          <w:p w14:paraId="55A04AFC" w14:textId="77777777" w:rsidR="00DA7E40" w:rsidRPr="00D800F0" w:rsidRDefault="00DA7E40" w:rsidP="0000614D">
            <w:pPr>
              <w:spacing w:after="0"/>
              <w:jc w:val="center"/>
              <w:rPr>
                <w:rFonts w:ascii="Arial" w:hAnsi="Arial" w:cs="Arial"/>
              </w:rPr>
            </w:pPr>
            <w:r w:rsidRPr="00D800F0">
              <w:rPr>
                <w:rFonts w:ascii="Arial" w:hAnsi="Arial" w:cs="Arial"/>
              </w:rPr>
              <w:t>Verdigris Complex</w:t>
            </w:r>
          </w:p>
        </w:tc>
        <w:tc>
          <w:tcPr>
            <w:tcW w:w="1060" w:type="dxa"/>
            <w:shd w:val="clear" w:color="auto" w:fill="auto"/>
            <w:noWrap/>
            <w:vAlign w:val="center"/>
            <w:hideMark/>
          </w:tcPr>
          <w:p w14:paraId="01699A4A" w14:textId="77777777" w:rsidR="00DA7E40" w:rsidRPr="00D800F0" w:rsidRDefault="00DA7E40" w:rsidP="0000614D">
            <w:pPr>
              <w:spacing w:after="0"/>
              <w:jc w:val="center"/>
              <w:rPr>
                <w:rFonts w:ascii="Arial" w:hAnsi="Arial" w:cs="Arial"/>
              </w:rPr>
            </w:pPr>
            <w:r w:rsidRPr="00D800F0">
              <w:rPr>
                <w:rFonts w:ascii="Arial" w:hAnsi="Arial" w:cs="Arial"/>
              </w:rPr>
              <w:t>OK</w:t>
            </w:r>
          </w:p>
        </w:tc>
        <w:tc>
          <w:tcPr>
            <w:tcW w:w="1320" w:type="dxa"/>
            <w:shd w:val="clear" w:color="auto" w:fill="auto"/>
            <w:noWrap/>
            <w:vAlign w:val="center"/>
            <w:hideMark/>
          </w:tcPr>
          <w:p w14:paraId="4B50BC35" w14:textId="77777777" w:rsidR="00DA7E40" w:rsidRPr="00D800F0" w:rsidRDefault="00DA7E40" w:rsidP="0000614D">
            <w:pPr>
              <w:spacing w:after="0"/>
              <w:jc w:val="center"/>
              <w:rPr>
                <w:rFonts w:ascii="Arial" w:hAnsi="Arial" w:cs="Arial"/>
              </w:rPr>
            </w:pPr>
            <w:r w:rsidRPr="00D800F0">
              <w:rPr>
                <w:rFonts w:ascii="Arial" w:hAnsi="Arial" w:cs="Arial"/>
              </w:rPr>
              <w:t>36.233335</w:t>
            </w:r>
          </w:p>
        </w:tc>
        <w:tc>
          <w:tcPr>
            <w:tcW w:w="1420" w:type="dxa"/>
            <w:shd w:val="clear" w:color="auto" w:fill="auto"/>
            <w:noWrap/>
            <w:vAlign w:val="center"/>
            <w:hideMark/>
          </w:tcPr>
          <w:p w14:paraId="7351275A" w14:textId="77777777" w:rsidR="00DA7E40" w:rsidRPr="00D800F0" w:rsidRDefault="00DA7E40" w:rsidP="0000614D">
            <w:pPr>
              <w:spacing w:after="0"/>
              <w:jc w:val="center"/>
              <w:rPr>
                <w:rFonts w:ascii="Arial" w:hAnsi="Arial" w:cs="Arial"/>
              </w:rPr>
            </w:pPr>
            <w:r w:rsidRPr="00D800F0">
              <w:rPr>
                <w:rFonts w:ascii="Arial" w:hAnsi="Arial" w:cs="Arial"/>
              </w:rPr>
              <w:t>-95.718833</w:t>
            </w:r>
          </w:p>
        </w:tc>
      </w:tr>
      <w:tr w:rsidR="00DA7E40" w:rsidRPr="00D800F0" w14:paraId="700086B9" w14:textId="77777777" w:rsidTr="0000614D">
        <w:trPr>
          <w:trHeight w:val="300"/>
        </w:trPr>
        <w:tc>
          <w:tcPr>
            <w:tcW w:w="1620" w:type="dxa"/>
            <w:shd w:val="clear" w:color="auto" w:fill="auto"/>
            <w:noWrap/>
            <w:vAlign w:val="center"/>
            <w:hideMark/>
          </w:tcPr>
          <w:p w14:paraId="6CDBF534" w14:textId="77777777" w:rsidR="00DA7E40" w:rsidRPr="00D800F0" w:rsidRDefault="00DA7E40" w:rsidP="0000614D">
            <w:pPr>
              <w:spacing w:after="0"/>
              <w:jc w:val="center"/>
              <w:rPr>
                <w:rFonts w:ascii="Arial" w:hAnsi="Arial" w:cs="Arial"/>
              </w:rPr>
            </w:pPr>
            <w:r w:rsidRPr="00D800F0">
              <w:rPr>
                <w:rFonts w:ascii="Arial" w:hAnsi="Arial" w:cs="Arial"/>
              </w:rPr>
              <w:t>CF Industries</w:t>
            </w:r>
          </w:p>
        </w:tc>
        <w:tc>
          <w:tcPr>
            <w:tcW w:w="3140" w:type="dxa"/>
            <w:shd w:val="clear" w:color="auto" w:fill="auto"/>
            <w:noWrap/>
            <w:vAlign w:val="center"/>
            <w:hideMark/>
          </w:tcPr>
          <w:p w14:paraId="4D5AB457" w14:textId="77777777" w:rsidR="00DA7E40" w:rsidRPr="00D800F0" w:rsidRDefault="00DA7E40" w:rsidP="0000614D">
            <w:pPr>
              <w:spacing w:after="0"/>
              <w:jc w:val="center"/>
              <w:rPr>
                <w:rFonts w:ascii="Arial" w:hAnsi="Arial" w:cs="Arial"/>
              </w:rPr>
            </w:pPr>
            <w:r w:rsidRPr="00D800F0">
              <w:rPr>
                <w:rFonts w:ascii="Arial" w:hAnsi="Arial" w:cs="Arial"/>
              </w:rPr>
              <w:t>Woodward Complex</w:t>
            </w:r>
          </w:p>
        </w:tc>
        <w:tc>
          <w:tcPr>
            <w:tcW w:w="1060" w:type="dxa"/>
            <w:shd w:val="clear" w:color="auto" w:fill="auto"/>
            <w:noWrap/>
            <w:vAlign w:val="center"/>
            <w:hideMark/>
          </w:tcPr>
          <w:p w14:paraId="2BC54F8A" w14:textId="77777777" w:rsidR="00DA7E40" w:rsidRPr="00D800F0" w:rsidRDefault="00DA7E40" w:rsidP="0000614D">
            <w:pPr>
              <w:spacing w:after="0"/>
              <w:jc w:val="center"/>
              <w:rPr>
                <w:rFonts w:ascii="Arial" w:hAnsi="Arial" w:cs="Arial"/>
              </w:rPr>
            </w:pPr>
            <w:r w:rsidRPr="00D800F0">
              <w:rPr>
                <w:rFonts w:ascii="Arial" w:hAnsi="Arial" w:cs="Arial"/>
              </w:rPr>
              <w:t>OK</w:t>
            </w:r>
          </w:p>
        </w:tc>
        <w:tc>
          <w:tcPr>
            <w:tcW w:w="1320" w:type="dxa"/>
            <w:shd w:val="clear" w:color="auto" w:fill="auto"/>
            <w:noWrap/>
            <w:vAlign w:val="center"/>
            <w:hideMark/>
          </w:tcPr>
          <w:p w14:paraId="4B89241E" w14:textId="77777777" w:rsidR="00DA7E40" w:rsidRPr="00D800F0" w:rsidRDefault="00DA7E40" w:rsidP="0000614D">
            <w:pPr>
              <w:spacing w:after="0"/>
              <w:jc w:val="center"/>
              <w:rPr>
                <w:rFonts w:ascii="Arial" w:hAnsi="Arial" w:cs="Arial"/>
              </w:rPr>
            </w:pPr>
            <w:r w:rsidRPr="00D800F0">
              <w:rPr>
                <w:rFonts w:ascii="Arial" w:hAnsi="Arial" w:cs="Arial"/>
              </w:rPr>
              <w:t>36.437942</w:t>
            </w:r>
          </w:p>
        </w:tc>
        <w:tc>
          <w:tcPr>
            <w:tcW w:w="1420" w:type="dxa"/>
            <w:shd w:val="clear" w:color="auto" w:fill="auto"/>
            <w:noWrap/>
            <w:vAlign w:val="center"/>
            <w:hideMark/>
          </w:tcPr>
          <w:p w14:paraId="673B7B92" w14:textId="77777777" w:rsidR="00DA7E40" w:rsidRPr="00D800F0" w:rsidRDefault="00DA7E40" w:rsidP="0000614D">
            <w:pPr>
              <w:spacing w:after="0"/>
              <w:jc w:val="center"/>
              <w:rPr>
                <w:rFonts w:ascii="Arial" w:hAnsi="Arial" w:cs="Arial"/>
              </w:rPr>
            </w:pPr>
            <w:r w:rsidRPr="00D800F0">
              <w:rPr>
                <w:rFonts w:ascii="Arial" w:hAnsi="Arial" w:cs="Arial"/>
              </w:rPr>
              <w:t>-99.472056</w:t>
            </w:r>
          </w:p>
        </w:tc>
      </w:tr>
      <w:tr w:rsidR="00DA7E40" w:rsidRPr="00D800F0" w14:paraId="609F020D" w14:textId="77777777" w:rsidTr="0000614D">
        <w:trPr>
          <w:trHeight w:val="74"/>
        </w:trPr>
        <w:tc>
          <w:tcPr>
            <w:tcW w:w="1620" w:type="dxa"/>
            <w:shd w:val="clear" w:color="auto" w:fill="auto"/>
            <w:noWrap/>
            <w:vAlign w:val="center"/>
            <w:hideMark/>
          </w:tcPr>
          <w:p w14:paraId="5F3D5C9E" w14:textId="77777777" w:rsidR="00DA7E40" w:rsidRPr="00D800F0" w:rsidRDefault="00DA7E40" w:rsidP="0000614D">
            <w:pPr>
              <w:spacing w:after="0"/>
              <w:jc w:val="center"/>
              <w:rPr>
                <w:rFonts w:ascii="Arial" w:hAnsi="Arial" w:cs="Arial"/>
              </w:rPr>
            </w:pPr>
            <w:r w:rsidRPr="00D800F0">
              <w:rPr>
                <w:rFonts w:ascii="Arial" w:hAnsi="Arial" w:cs="Arial"/>
              </w:rPr>
              <w:t>CF Industries</w:t>
            </w:r>
          </w:p>
        </w:tc>
        <w:tc>
          <w:tcPr>
            <w:tcW w:w="3140" w:type="dxa"/>
            <w:shd w:val="clear" w:color="auto" w:fill="auto"/>
            <w:vAlign w:val="center"/>
            <w:hideMark/>
          </w:tcPr>
          <w:p w14:paraId="50170B83" w14:textId="77777777" w:rsidR="00DA7E40" w:rsidRPr="00D800F0" w:rsidRDefault="00DA7E40" w:rsidP="0000614D">
            <w:pPr>
              <w:spacing w:after="0"/>
              <w:jc w:val="center"/>
              <w:rPr>
                <w:rFonts w:ascii="Arial" w:hAnsi="Arial" w:cs="Arial"/>
              </w:rPr>
            </w:pPr>
            <w:r w:rsidRPr="00D800F0">
              <w:rPr>
                <w:rFonts w:ascii="Arial" w:hAnsi="Arial" w:cs="Arial"/>
              </w:rPr>
              <w:t>Port Neal Complex</w:t>
            </w:r>
          </w:p>
        </w:tc>
        <w:tc>
          <w:tcPr>
            <w:tcW w:w="1060" w:type="dxa"/>
            <w:shd w:val="clear" w:color="auto" w:fill="auto"/>
            <w:noWrap/>
            <w:vAlign w:val="center"/>
            <w:hideMark/>
          </w:tcPr>
          <w:p w14:paraId="1F2192EF" w14:textId="77777777" w:rsidR="00DA7E40" w:rsidRPr="00D800F0" w:rsidRDefault="00DA7E40" w:rsidP="0000614D">
            <w:pPr>
              <w:spacing w:after="0"/>
              <w:jc w:val="center"/>
              <w:rPr>
                <w:rFonts w:ascii="Arial" w:hAnsi="Arial" w:cs="Arial"/>
              </w:rPr>
            </w:pPr>
            <w:r w:rsidRPr="00D800F0">
              <w:rPr>
                <w:rFonts w:ascii="Arial" w:hAnsi="Arial" w:cs="Arial"/>
              </w:rPr>
              <w:t>IA</w:t>
            </w:r>
          </w:p>
        </w:tc>
        <w:tc>
          <w:tcPr>
            <w:tcW w:w="1320" w:type="dxa"/>
            <w:shd w:val="clear" w:color="auto" w:fill="auto"/>
            <w:noWrap/>
            <w:vAlign w:val="center"/>
            <w:hideMark/>
          </w:tcPr>
          <w:p w14:paraId="660E9557" w14:textId="77777777" w:rsidR="00DA7E40" w:rsidRPr="00D800F0" w:rsidRDefault="00DA7E40" w:rsidP="0000614D">
            <w:pPr>
              <w:spacing w:after="0"/>
              <w:jc w:val="center"/>
              <w:rPr>
                <w:rFonts w:ascii="Arial" w:hAnsi="Arial" w:cs="Arial"/>
              </w:rPr>
            </w:pPr>
            <w:r w:rsidRPr="00D800F0">
              <w:rPr>
                <w:rFonts w:ascii="Arial" w:hAnsi="Arial" w:cs="Arial"/>
              </w:rPr>
              <w:t>42.332879</w:t>
            </w:r>
          </w:p>
        </w:tc>
        <w:tc>
          <w:tcPr>
            <w:tcW w:w="1420" w:type="dxa"/>
            <w:shd w:val="clear" w:color="auto" w:fill="auto"/>
            <w:noWrap/>
            <w:vAlign w:val="center"/>
            <w:hideMark/>
          </w:tcPr>
          <w:p w14:paraId="5884257D" w14:textId="77777777" w:rsidR="00DA7E40" w:rsidRPr="00D800F0" w:rsidRDefault="00DA7E40" w:rsidP="0000614D">
            <w:pPr>
              <w:spacing w:after="0"/>
              <w:jc w:val="center"/>
              <w:rPr>
                <w:rFonts w:ascii="Arial" w:hAnsi="Arial" w:cs="Arial"/>
              </w:rPr>
            </w:pPr>
            <w:r w:rsidRPr="00D800F0">
              <w:rPr>
                <w:rFonts w:ascii="Arial" w:hAnsi="Arial" w:cs="Arial"/>
              </w:rPr>
              <w:t>-96.377213</w:t>
            </w:r>
          </w:p>
        </w:tc>
      </w:tr>
      <w:tr w:rsidR="00DA7E40" w:rsidRPr="00D800F0" w14:paraId="23249BFF" w14:textId="77777777" w:rsidTr="0000614D">
        <w:trPr>
          <w:trHeight w:val="81"/>
        </w:trPr>
        <w:tc>
          <w:tcPr>
            <w:tcW w:w="1620" w:type="dxa"/>
            <w:shd w:val="clear" w:color="auto" w:fill="auto"/>
            <w:noWrap/>
            <w:vAlign w:val="center"/>
            <w:hideMark/>
          </w:tcPr>
          <w:p w14:paraId="4F1E9E2A" w14:textId="77777777" w:rsidR="00DA7E40" w:rsidRPr="00D800F0" w:rsidRDefault="00DA7E40" w:rsidP="0000614D">
            <w:pPr>
              <w:spacing w:after="0" w:line="240" w:lineRule="auto"/>
              <w:jc w:val="center"/>
              <w:rPr>
                <w:rFonts w:ascii="Arial" w:hAnsi="Arial" w:cs="Arial"/>
              </w:rPr>
            </w:pPr>
            <w:r w:rsidRPr="00D800F0">
              <w:rPr>
                <w:rFonts w:ascii="Arial" w:hAnsi="Arial" w:cs="Arial"/>
              </w:rPr>
              <w:t>Koch Industries</w:t>
            </w:r>
          </w:p>
        </w:tc>
        <w:tc>
          <w:tcPr>
            <w:tcW w:w="3140" w:type="dxa"/>
            <w:shd w:val="clear" w:color="auto" w:fill="auto"/>
            <w:vAlign w:val="center"/>
            <w:hideMark/>
          </w:tcPr>
          <w:p w14:paraId="64A68B3F" w14:textId="77777777" w:rsidR="00DA7E40" w:rsidRPr="00D800F0" w:rsidRDefault="00DA7E40" w:rsidP="0000614D">
            <w:pPr>
              <w:spacing w:after="0"/>
              <w:jc w:val="center"/>
              <w:rPr>
                <w:rFonts w:ascii="Arial" w:hAnsi="Arial" w:cs="Arial"/>
              </w:rPr>
            </w:pPr>
            <w:r w:rsidRPr="00D800F0">
              <w:rPr>
                <w:rFonts w:ascii="Arial" w:hAnsi="Arial" w:cs="Arial"/>
              </w:rPr>
              <w:t>Koch Fertilizer Company Enid</w:t>
            </w:r>
          </w:p>
        </w:tc>
        <w:tc>
          <w:tcPr>
            <w:tcW w:w="1060" w:type="dxa"/>
            <w:shd w:val="clear" w:color="auto" w:fill="auto"/>
            <w:noWrap/>
            <w:vAlign w:val="center"/>
            <w:hideMark/>
          </w:tcPr>
          <w:p w14:paraId="6438CF7E" w14:textId="77777777" w:rsidR="00DA7E40" w:rsidRPr="00D800F0" w:rsidRDefault="00DA7E40" w:rsidP="0000614D">
            <w:pPr>
              <w:spacing w:after="0"/>
              <w:jc w:val="center"/>
              <w:rPr>
                <w:rFonts w:ascii="Arial" w:hAnsi="Arial" w:cs="Arial"/>
              </w:rPr>
            </w:pPr>
            <w:r w:rsidRPr="00D800F0">
              <w:rPr>
                <w:rFonts w:ascii="Arial" w:hAnsi="Arial" w:cs="Arial"/>
              </w:rPr>
              <w:t>OK</w:t>
            </w:r>
          </w:p>
        </w:tc>
        <w:tc>
          <w:tcPr>
            <w:tcW w:w="1320" w:type="dxa"/>
            <w:shd w:val="clear" w:color="auto" w:fill="auto"/>
            <w:noWrap/>
            <w:vAlign w:val="center"/>
            <w:hideMark/>
          </w:tcPr>
          <w:p w14:paraId="727D0C48" w14:textId="77777777" w:rsidR="00DA7E40" w:rsidRPr="00D800F0" w:rsidRDefault="00DA7E40" w:rsidP="0000614D">
            <w:pPr>
              <w:spacing w:after="0"/>
              <w:jc w:val="center"/>
              <w:rPr>
                <w:rFonts w:ascii="Arial" w:hAnsi="Arial" w:cs="Arial"/>
              </w:rPr>
            </w:pPr>
            <w:r w:rsidRPr="00D800F0">
              <w:rPr>
                <w:rFonts w:ascii="Arial" w:hAnsi="Arial" w:cs="Arial"/>
              </w:rPr>
              <w:t>36.380941</w:t>
            </w:r>
          </w:p>
        </w:tc>
        <w:tc>
          <w:tcPr>
            <w:tcW w:w="1420" w:type="dxa"/>
            <w:shd w:val="clear" w:color="auto" w:fill="auto"/>
            <w:noWrap/>
            <w:vAlign w:val="center"/>
            <w:hideMark/>
          </w:tcPr>
          <w:p w14:paraId="424D1B7F" w14:textId="77777777" w:rsidR="00DA7E40" w:rsidRPr="00D800F0" w:rsidRDefault="00DA7E40" w:rsidP="0000614D">
            <w:pPr>
              <w:spacing w:after="0"/>
              <w:jc w:val="center"/>
              <w:rPr>
                <w:rFonts w:ascii="Arial" w:hAnsi="Arial" w:cs="Arial"/>
              </w:rPr>
            </w:pPr>
            <w:r w:rsidRPr="00D800F0">
              <w:rPr>
                <w:rFonts w:ascii="Arial" w:hAnsi="Arial" w:cs="Arial"/>
              </w:rPr>
              <w:t>-97.761921</w:t>
            </w:r>
          </w:p>
        </w:tc>
      </w:tr>
      <w:tr w:rsidR="00DA7E40" w:rsidRPr="00D800F0" w14:paraId="75634569" w14:textId="77777777" w:rsidTr="0000614D">
        <w:trPr>
          <w:trHeight w:val="300"/>
        </w:trPr>
        <w:tc>
          <w:tcPr>
            <w:tcW w:w="1620" w:type="dxa"/>
            <w:shd w:val="clear" w:color="auto" w:fill="auto"/>
            <w:noWrap/>
            <w:vAlign w:val="center"/>
            <w:hideMark/>
          </w:tcPr>
          <w:p w14:paraId="4E815CB4" w14:textId="77777777" w:rsidR="00DA7E40" w:rsidRPr="00D800F0" w:rsidRDefault="00DA7E40" w:rsidP="0000614D">
            <w:pPr>
              <w:spacing w:after="0"/>
              <w:jc w:val="center"/>
              <w:rPr>
                <w:rFonts w:ascii="Arial" w:hAnsi="Arial" w:cs="Arial"/>
              </w:rPr>
            </w:pPr>
            <w:r w:rsidRPr="00D800F0">
              <w:rPr>
                <w:rFonts w:ascii="Arial" w:hAnsi="Arial" w:cs="Arial"/>
              </w:rPr>
              <w:t>Nutrien</w:t>
            </w:r>
          </w:p>
        </w:tc>
        <w:tc>
          <w:tcPr>
            <w:tcW w:w="3140" w:type="dxa"/>
            <w:shd w:val="clear" w:color="auto" w:fill="auto"/>
            <w:noWrap/>
            <w:vAlign w:val="center"/>
            <w:hideMark/>
          </w:tcPr>
          <w:p w14:paraId="53CE41C7" w14:textId="77777777" w:rsidR="00DA7E40" w:rsidRPr="00D800F0" w:rsidRDefault="00DA7E40" w:rsidP="0000614D">
            <w:pPr>
              <w:spacing w:after="0"/>
              <w:jc w:val="center"/>
              <w:rPr>
                <w:rFonts w:ascii="Arial" w:hAnsi="Arial" w:cs="Arial"/>
              </w:rPr>
            </w:pPr>
            <w:r w:rsidRPr="00D800F0">
              <w:rPr>
                <w:rFonts w:ascii="Arial" w:hAnsi="Arial" w:cs="Arial"/>
              </w:rPr>
              <w:t>Nutrien Augusta Nitrogen</w:t>
            </w:r>
          </w:p>
        </w:tc>
        <w:tc>
          <w:tcPr>
            <w:tcW w:w="1060" w:type="dxa"/>
            <w:shd w:val="clear" w:color="auto" w:fill="auto"/>
            <w:noWrap/>
            <w:vAlign w:val="center"/>
            <w:hideMark/>
          </w:tcPr>
          <w:p w14:paraId="2ABE47B6" w14:textId="77777777" w:rsidR="00DA7E40" w:rsidRPr="00D800F0" w:rsidRDefault="00DA7E40" w:rsidP="0000614D">
            <w:pPr>
              <w:spacing w:after="0"/>
              <w:jc w:val="center"/>
              <w:rPr>
                <w:rFonts w:ascii="Arial" w:hAnsi="Arial" w:cs="Arial"/>
              </w:rPr>
            </w:pPr>
            <w:r w:rsidRPr="00D800F0">
              <w:rPr>
                <w:rFonts w:ascii="Arial" w:hAnsi="Arial" w:cs="Arial"/>
              </w:rPr>
              <w:t>GA</w:t>
            </w:r>
          </w:p>
        </w:tc>
        <w:tc>
          <w:tcPr>
            <w:tcW w:w="1320" w:type="dxa"/>
            <w:shd w:val="clear" w:color="auto" w:fill="auto"/>
            <w:noWrap/>
            <w:vAlign w:val="center"/>
            <w:hideMark/>
          </w:tcPr>
          <w:p w14:paraId="60D1D17B" w14:textId="77777777" w:rsidR="00DA7E40" w:rsidRPr="00D800F0" w:rsidRDefault="00DA7E40" w:rsidP="0000614D">
            <w:pPr>
              <w:spacing w:after="0"/>
              <w:jc w:val="center"/>
              <w:rPr>
                <w:rFonts w:ascii="Arial" w:hAnsi="Arial" w:cs="Arial"/>
              </w:rPr>
            </w:pPr>
            <w:r w:rsidRPr="00D800F0">
              <w:rPr>
                <w:rFonts w:ascii="Arial" w:hAnsi="Arial" w:cs="Arial"/>
              </w:rPr>
              <w:t>33.443125</w:t>
            </w:r>
          </w:p>
        </w:tc>
        <w:tc>
          <w:tcPr>
            <w:tcW w:w="1420" w:type="dxa"/>
            <w:shd w:val="clear" w:color="auto" w:fill="auto"/>
            <w:noWrap/>
            <w:vAlign w:val="center"/>
            <w:hideMark/>
          </w:tcPr>
          <w:p w14:paraId="6C5E36A5" w14:textId="77777777" w:rsidR="00DA7E40" w:rsidRPr="00D800F0" w:rsidRDefault="00DA7E40" w:rsidP="0000614D">
            <w:pPr>
              <w:spacing w:after="0"/>
              <w:jc w:val="center"/>
              <w:rPr>
                <w:rFonts w:ascii="Arial" w:hAnsi="Arial" w:cs="Arial"/>
              </w:rPr>
            </w:pPr>
            <w:r w:rsidRPr="00D800F0">
              <w:rPr>
                <w:rFonts w:ascii="Arial" w:hAnsi="Arial" w:cs="Arial"/>
              </w:rPr>
              <w:t>-81.930376</w:t>
            </w:r>
          </w:p>
        </w:tc>
      </w:tr>
      <w:tr w:rsidR="00DA7E40" w:rsidRPr="00D800F0" w14:paraId="416D77CC" w14:textId="77777777" w:rsidTr="0000614D">
        <w:trPr>
          <w:trHeight w:val="300"/>
        </w:trPr>
        <w:tc>
          <w:tcPr>
            <w:tcW w:w="1620" w:type="dxa"/>
            <w:shd w:val="clear" w:color="auto" w:fill="auto"/>
            <w:noWrap/>
            <w:vAlign w:val="center"/>
            <w:hideMark/>
          </w:tcPr>
          <w:p w14:paraId="7C6AB584" w14:textId="77777777" w:rsidR="00DA7E40" w:rsidRPr="00D800F0" w:rsidRDefault="00DA7E40" w:rsidP="0000614D">
            <w:pPr>
              <w:spacing w:after="0"/>
              <w:jc w:val="center"/>
              <w:rPr>
                <w:rFonts w:ascii="Arial" w:hAnsi="Arial" w:cs="Arial"/>
              </w:rPr>
            </w:pPr>
            <w:r w:rsidRPr="00D800F0">
              <w:rPr>
                <w:rFonts w:ascii="Arial" w:hAnsi="Arial" w:cs="Arial"/>
              </w:rPr>
              <w:t>Yara</w:t>
            </w:r>
          </w:p>
        </w:tc>
        <w:tc>
          <w:tcPr>
            <w:tcW w:w="3140" w:type="dxa"/>
            <w:shd w:val="clear" w:color="auto" w:fill="auto"/>
            <w:noWrap/>
            <w:vAlign w:val="center"/>
            <w:hideMark/>
          </w:tcPr>
          <w:p w14:paraId="24C28A35" w14:textId="77777777" w:rsidR="00DA7E40" w:rsidRPr="00D800F0" w:rsidRDefault="00DA7E40" w:rsidP="0000614D">
            <w:pPr>
              <w:spacing w:after="0"/>
              <w:jc w:val="center"/>
              <w:rPr>
                <w:rFonts w:ascii="Arial" w:hAnsi="Arial" w:cs="Arial"/>
              </w:rPr>
            </w:pPr>
            <w:r w:rsidRPr="00D800F0">
              <w:rPr>
                <w:rFonts w:ascii="Arial" w:hAnsi="Arial" w:cs="Arial"/>
              </w:rPr>
              <w:t>BASF Chemicals Division</w:t>
            </w:r>
          </w:p>
        </w:tc>
        <w:tc>
          <w:tcPr>
            <w:tcW w:w="1060" w:type="dxa"/>
            <w:shd w:val="clear" w:color="auto" w:fill="auto"/>
            <w:noWrap/>
            <w:vAlign w:val="center"/>
            <w:hideMark/>
          </w:tcPr>
          <w:p w14:paraId="563CD377" w14:textId="77777777" w:rsidR="00DA7E40" w:rsidRPr="00D800F0" w:rsidRDefault="00DA7E40" w:rsidP="0000614D">
            <w:pPr>
              <w:spacing w:after="0"/>
              <w:jc w:val="center"/>
              <w:rPr>
                <w:rFonts w:ascii="Arial" w:hAnsi="Arial" w:cs="Arial"/>
              </w:rPr>
            </w:pPr>
            <w:r w:rsidRPr="00D800F0">
              <w:rPr>
                <w:rFonts w:ascii="Arial" w:hAnsi="Arial" w:cs="Arial"/>
              </w:rPr>
              <w:t>TX</w:t>
            </w:r>
          </w:p>
        </w:tc>
        <w:tc>
          <w:tcPr>
            <w:tcW w:w="1320" w:type="dxa"/>
            <w:shd w:val="clear" w:color="auto" w:fill="auto"/>
            <w:noWrap/>
            <w:vAlign w:val="center"/>
            <w:hideMark/>
          </w:tcPr>
          <w:p w14:paraId="76896F9E" w14:textId="77777777" w:rsidR="00DA7E40" w:rsidRPr="00D800F0" w:rsidRDefault="00DA7E40" w:rsidP="0000614D">
            <w:pPr>
              <w:spacing w:after="0"/>
              <w:jc w:val="center"/>
              <w:rPr>
                <w:rFonts w:ascii="Arial" w:hAnsi="Arial" w:cs="Arial"/>
              </w:rPr>
            </w:pPr>
            <w:r w:rsidRPr="00D800F0">
              <w:rPr>
                <w:rFonts w:ascii="Arial" w:hAnsi="Arial" w:cs="Arial"/>
              </w:rPr>
              <w:t>29.000639</w:t>
            </w:r>
          </w:p>
        </w:tc>
        <w:tc>
          <w:tcPr>
            <w:tcW w:w="1420" w:type="dxa"/>
            <w:shd w:val="clear" w:color="auto" w:fill="auto"/>
            <w:noWrap/>
            <w:vAlign w:val="center"/>
            <w:hideMark/>
          </w:tcPr>
          <w:p w14:paraId="118BF61D" w14:textId="77777777" w:rsidR="00DA7E40" w:rsidRPr="00D800F0" w:rsidRDefault="00DA7E40" w:rsidP="0000614D">
            <w:pPr>
              <w:spacing w:after="0"/>
              <w:jc w:val="center"/>
              <w:rPr>
                <w:rFonts w:ascii="Arial" w:hAnsi="Arial" w:cs="Arial"/>
              </w:rPr>
            </w:pPr>
            <w:r w:rsidRPr="00D800F0">
              <w:rPr>
                <w:rFonts w:ascii="Arial" w:hAnsi="Arial" w:cs="Arial"/>
              </w:rPr>
              <w:t>-95.393318</w:t>
            </w:r>
          </w:p>
        </w:tc>
      </w:tr>
      <w:tr w:rsidR="00DA7E40" w:rsidRPr="00D800F0" w14:paraId="6420CED4" w14:textId="77777777" w:rsidTr="0000614D">
        <w:trPr>
          <w:trHeight w:val="70"/>
        </w:trPr>
        <w:tc>
          <w:tcPr>
            <w:tcW w:w="1620" w:type="dxa"/>
            <w:tcBorders>
              <w:bottom w:val="single" w:sz="4" w:space="0" w:color="auto"/>
            </w:tcBorders>
            <w:shd w:val="clear" w:color="auto" w:fill="auto"/>
            <w:noWrap/>
            <w:vAlign w:val="center"/>
            <w:hideMark/>
          </w:tcPr>
          <w:p w14:paraId="1F99AEF8" w14:textId="77777777" w:rsidR="00DA7E40" w:rsidRPr="00D800F0" w:rsidRDefault="00DA7E40" w:rsidP="0000614D">
            <w:pPr>
              <w:spacing w:after="0"/>
              <w:jc w:val="center"/>
              <w:rPr>
                <w:rFonts w:ascii="Arial" w:hAnsi="Arial" w:cs="Arial"/>
              </w:rPr>
            </w:pPr>
            <w:r w:rsidRPr="00D800F0">
              <w:rPr>
                <w:rFonts w:ascii="Arial" w:hAnsi="Arial" w:cs="Arial"/>
              </w:rPr>
              <w:t>AdvanSix</w:t>
            </w:r>
          </w:p>
        </w:tc>
        <w:tc>
          <w:tcPr>
            <w:tcW w:w="3140" w:type="dxa"/>
            <w:tcBorders>
              <w:bottom w:val="single" w:sz="4" w:space="0" w:color="auto"/>
            </w:tcBorders>
            <w:shd w:val="clear" w:color="auto" w:fill="auto"/>
            <w:noWrap/>
            <w:vAlign w:val="center"/>
            <w:hideMark/>
          </w:tcPr>
          <w:p w14:paraId="65DA1C1C" w14:textId="77777777" w:rsidR="00DA7E40" w:rsidRPr="00D800F0" w:rsidRDefault="00DA7E40" w:rsidP="0000614D">
            <w:pPr>
              <w:spacing w:after="0"/>
              <w:jc w:val="center"/>
              <w:rPr>
                <w:rFonts w:ascii="Arial" w:hAnsi="Arial" w:cs="Arial"/>
              </w:rPr>
            </w:pPr>
            <w:r w:rsidRPr="00D800F0">
              <w:rPr>
                <w:rFonts w:ascii="Arial" w:hAnsi="Arial" w:cs="Arial"/>
              </w:rPr>
              <w:t>AdvanSix</w:t>
            </w:r>
          </w:p>
        </w:tc>
        <w:tc>
          <w:tcPr>
            <w:tcW w:w="1060" w:type="dxa"/>
            <w:tcBorders>
              <w:bottom w:val="single" w:sz="4" w:space="0" w:color="auto"/>
            </w:tcBorders>
            <w:shd w:val="clear" w:color="auto" w:fill="auto"/>
            <w:noWrap/>
            <w:vAlign w:val="center"/>
            <w:hideMark/>
          </w:tcPr>
          <w:p w14:paraId="7B754AF7" w14:textId="77777777" w:rsidR="00DA7E40" w:rsidRPr="00D800F0" w:rsidRDefault="00DA7E40" w:rsidP="0000614D">
            <w:pPr>
              <w:spacing w:after="0"/>
              <w:jc w:val="center"/>
              <w:rPr>
                <w:rFonts w:ascii="Arial" w:hAnsi="Arial" w:cs="Arial"/>
              </w:rPr>
            </w:pPr>
            <w:r w:rsidRPr="00D800F0">
              <w:rPr>
                <w:rFonts w:ascii="Arial" w:hAnsi="Arial" w:cs="Arial"/>
              </w:rPr>
              <w:t>VA</w:t>
            </w:r>
          </w:p>
        </w:tc>
        <w:tc>
          <w:tcPr>
            <w:tcW w:w="1320" w:type="dxa"/>
            <w:tcBorders>
              <w:bottom w:val="single" w:sz="4" w:space="0" w:color="auto"/>
            </w:tcBorders>
            <w:shd w:val="clear" w:color="auto" w:fill="auto"/>
            <w:noWrap/>
            <w:vAlign w:val="center"/>
            <w:hideMark/>
          </w:tcPr>
          <w:p w14:paraId="5DC9DC0A" w14:textId="77777777" w:rsidR="00DA7E40" w:rsidRPr="00D800F0" w:rsidRDefault="00DA7E40" w:rsidP="0000614D">
            <w:pPr>
              <w:spacing w:after="0"/>
              <w:jc w:val="center"/>
              <w:rPr>
                <w:rFonts w:ascii="Arial" w:hAnsi="Arial" w:cs="Arial"/>
              </w:rPr>
            </w:pPr>
            <w:r w:rsidRPr="00D800F0">
              <w:rPr>
                <w:rFonts w:ascii="Arial" w:hAnsi="Arial" w:cs="Arial"/>
              </w:rPr>
              <w:t>37.300405</w:t>
            </w:r>
          </w:p>
        </w:tc>
        <w:tc>
          <w:tcPr>
            <w:tcW w:w="1420" w:type="dxa"/>
            <w:tcBorders>
              <w:bottom w:val="single" w:sz="4" w:space="0" w:color="auto"/>
            </w:tcBorders>
            <w:shd w:val="clear" w:color="auto" w:fill="auto"/>
            <w:noWrap/>
            <w:vAlign w:val="center"/>
            <w:hideMark/>
          </w:tcPr>
          <w:p w14:paraId="240B64A5" w14:textId="77777777" w:rsidR="00DA7E40" w:rsidRPr="00D800F0" w:rsidRDefault="00DA7E40" w:rsidP="0000614D">
            <w:pPr>
              <w:spacing w:after="0"/>
              <w:jc w:val="center"/>
              <w:rPr>
                <w:rFonts w:ascii="Arial" w:hAnsi="Arial" w:cs="Arial"/>
              </w:rPr>
            </w:pPr>
            <w:r w:rsidRPr="00D800F0">
              <w:rPr>
                <w:rFonts w:ascii="Arial" w:hAnsi="Arial" w:cs="Arial"/>
              </w:rPr>
              <w:t>-77.271941</w:t>
            </w:r>
          </w:p>
        </w:tc>
      </w:tr>
    </w:tbl>
    <w:p w14:paraId="59AB8064" w14:textId="77777777" w:rsidR="00DA7E40" w:rsidRPr="00D800F0" w:rsidRDefault="00DA7E40" w:rsidP="00DA7E40">
      <w:pPr>
        <w:rPr>
          <w:rFonts w:ascii="Arial" w:hAnsi="Arial" w:cs="Arial"/>
        </w:rPr>
      </w:pPr>
    </w:p>
    <w:p w14:paraId="23697351" w14:textId="77777777" w:rsidR="00DA7E40" w:rsidRPr="00D800F0" w:rsidRDefault="00DA7E40" w:rsidP="00DA7E40">
      <w:pPr>
        <w:pStyle w:val="Caption"/>
        <w:rPr>
          <w:rFonts w:ascii="Arial" w:hAnsi="Arial" w:cs="Arial"/>
        </w:rPr>
      </w:pPr>
      <w:bookmarkStart w:id="63" w:name="_Ref146366519"/>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3</w:t>
      </w:r>
      <w:r w:rsidRPr="00D800F0">
        <w:rPr>
          <w:rFonts w:ascii="Arial" w:hAnsi="Arial" w:cs="Arial"/>
          <w:noProof/>
        </w:rPr>
        <w:fldChar w:fldCharType="end"/>
      </w:r>
      <w:bookmarkEnd w:id="63"/>
      <w:r w:rsidRPr="00D800F0">
        <w:rPr>
          <w:rFonts w:ascii="Arial" w:hAnsi="Arial" w:cs="Arial"/>
        </w:rPr>
        <w:t>: Capacity factor data for selected locations.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DA7E40" w:rsidRPr="00D800F0" w14:paraId="1A3ADB1B" w14:textId="77777777" w:rsidTr="0000614D">
        <w:tc>
          <w:tcPr>
            <w:tcW w:w="9350" w:type="dxa"/>
            <w:gridSpan w:val="5"/>
            <w:tcBorders>
              <w:top w:val="single" w:sz="4" w:space="0" w:color="auto"/>
              <w:bottom w:val="single" w:sz="4" w:space="0" w:color="auto"/>
            </w:tcBorders>
          </w:tcPr>
          <w:p w14:paraId="1F79AEFD" w14:textId="77777777" w:rsidR="00DA7E40" w:rsidRPr="00D800F0" w:rsidRDefault="00DA7E40" w:rsidP="0000614D">
            <w:pPr>
              <w:rPr>
                <w:rFonts w:ascii="Arial" w:hAnsi="Arial" w:cs="Arial"/>
                <w:b/>
                <w:bCs/>
              </w:rPr>
            </w:pPr>
            <w:r w:rsidRPr="00D800F0">
              <w:rPr>
                <w:rFonts w:ascii="Arial" w:hAnsi="Arial" w:cs="Arial"/>
                <w:b/>
                <w:bCs/>
              </w:rPr>
              <w:t>2023</w:t>
            </w:r>
          </w:p>
        </w:tc>
      </w:tr>
      <w:tr w:rsidR="00DA7E40" w:rsidRPr="00D800F0" w14:paraId="431A7849" w14:textId="77777777" w:rsidTr="0000614D">
        <w:tc>
          <w:tcPr>
            <w:tcW w:w="1870" w:type="dxa"/>
            <w:tcBorders>
              <w:top w:val="single" w:sz="4" w:space="0" w:color="auto"/>
              <w:bottom w:val="single" w:sz="4" w:space="0" w:color="auto"/>
            </w:tcBorders>
          </w:tcPr>
          <w:p w14:paraId="5EF46151" w14:textId="77777777" w:rsidR="00DA7E40" w:rsidRPr="00D800F0" w:rsidRDefault="00DA7E40" w:rsidP="0000614D">
            <w:pPr>
              <w:rPr>
                <w:rFonts w:ascii="Arial" w:hAnsi="Arial" w:cs="Arial"/>
                <w:i/>
                <w:iCs/>
              </w:rPr>
            </w:pPr>
            <w:r w:rsidRPr="00D800F0">
              <w:rPr>
                <w:rFonts w:ascii="Arial" w:hAnsi="Arial" w:cs="Arial"/>
                <w:i/>
                <w:iCs/>
              </w:rPr>
              <w:t>Location</w:t>
            </w:r>
          </w:p>
        </w:tc>
        <w:tc>
          <w:tcPr>
            <w:tcW w:w="1870" w:type="dxa"/>
            <w:tcBorders>
              <w:top w:val="single" w:sz="4" w:space="0" w:color="auto"/>
              <w:bottom w:val="single" w:sz="4" w:space="0" w:color="auto"/>
            </w:tcBorders>
          </w:tcPr>
          <w:p w14:paraId="60463757" w14:textId="77777777" w:rsidR="00DA7E40" w:rsidRPr="00D800F0" w:rsidRDefault="00DA7E40" w:rsidP="0000614D">
            <w:pPr>
              <w:rPr>
                <w:rFonts w:ascii="Arial" w:hAnsi="Arial" w:cs="Arial"/>
                <w:i/>
                <w:iCs/>
              </w:rPr>
            </w:pPr>
            <w:r w:rsidRPr="00D800F0">
              <w:rPr>
                <w:rFonts w:ascii="Arial" w:hAnsi="Arial" w:cs="Arial"/>
                <w:i/>
                <w:iCs/>
              </w:rPr>
              <w:t xml:space="preserve">Average  </w:t>
            </w:r>
          </w:p>
        </w:tc>
        <w:tc>
          <w:tcPr>
            <w:tcW w:w="1870" w:type="dxa"/>
            <w:tcBorders>
              <w:top w:val="single" w:sz="4" w:space="0" w:color="auto"/>
              <w:bottom w:val="single" w:sz="4" w:space="0" w:color="auto"/>
            </w:tcBorders>
          </w:tcPr>
          <w:p w14:paraId="00C5F96C" w14:textId="77777777" w:rsidR="00DA7E40" w:rsidRPr="00D800F0" w:rsidRDefault="00DA7E40" w:rsidP="0000614D">
            <w:pPr>
              <w:rPr>
                <w:rFonts w:ascii="Arial" w:hAnsi="Arial" w:cs="Arial"/>
                <w:i/>
                <w:iCs/>
              </w:rPr>
            </w:pPr>
            <w:r w:rsidRPr="00D800F0">
              <w:rPr>
                <w:rFonts w:ascii="Arial" w:hAnsi="Arial" w:cs="Arial"/>
                <w:i/>
                <w:iCs/>
              </w:rPr>
              <w:t xml:space="preserve">Minimum  </w:t>
            </w:r>
          </w:p>
        </w:tc>
        <w:tc>
          <w:tcPr>
            <w:tcW w:w="1870" w:type="dxa"/>
            <w:tcBorders>
              <w:top w:val="single" w:sz="4" w:space="0" w:color="auto"/>
              <w:bottom w:val="single" w:sz="4" w:space="0" w:color="auto"/>
            </w:tcBorders>
          </w:tcPr>
          <w:p w14:paraId="45FE5E87" w14:textId="77777777" w:rsidR="00DA7E40" w:rsidRPr="00D800F0" w:rsidRDefault="00DA7E40" w:rsidP="0000614D">
            <w:pPr>
              <w:rPr>
                <w:rFonts w:ascii="Arial" w:hAnsi="Arial" w:cs="Arial"/>
                <w:i/>
                <w:iCs/>
              </w:rPr>
            </w:pPr>
            <w:r w:rsidRPr="00D800F0">
              <w:rPr>
                <w:rFonts w:ascii="Arial" w:hAnsi="Arial" w:cs="Arial"/>
                <w:i/>
                <w:iCs/>
              </w:rPr>
              <w:t xml:space="preserve">Maximum  </w:t>
            </w:r>
          </w:p>
        </w:tc>
        <w:tc>
          <w:tcPr>
            <w:tcW w:w="1870" w:type="dxa"/>
            <w:tcBorders>
              <w:top w:val="single" w:sz="4" w:space="0" w:color="auto"/>
              <w:bottom w:val="single" w:sz="4" w:space="0" w:color="auto"/>
            </w:tcBorders>
          </w:tcPr>
          <w:p w14:paraId="4A7D4705" w14:textId="77777777" w:rsidR="00DA7E40" w:rsidRPr="00D800F0" w:rsidRDefault="00DA7E40" w:rsidP="0000614D">
            <w:pPr>
              <w:rPr>
                <w:rFonts w:ascii="Arial" w:hAnsi="Arial" w:cs="Arial"/>
                <w:i/>
                <w:iCs/>
              </w:rPr>
            </w:pPr>
            <w:r w:rsidRPr="00D800F0">
              <w:rPr>
                <w:rFonts w:ascii="Arial" w:hAnsi="Arial" w:cs="Arial"/>
                <w:i/>
                <w:iCs/>
              </w:rPr>
              <w:t>Std Deviation</w:t>
            </w:r>
          </w:p>
        </w:tc>
      </w:tr>
      <w:tr w:rsidR="00DA7E40" w:rsidRPr="00D800F0" w14:paraId="4DB6E511" w14:textId="77777777" w:rsidTr="0000614D">
        <w:tc>
          <w:tcPr>
            <w:tcW w:w="1870" w:type="dxa"/>
            <w:tcBorders>
              <w:top w:val="single" w:sz="4" w:space="0" w:color="auto"/>
            </w:tcBorders>
          </w:tcPr>
          <w:p w14:paraId="698570D1" w14:textId="77777777" w:rsidR="00DA7E40" w:rsidRPr="00D800F0" w:rsidRDefault="00DA7E40" w:rsidP="0000614D">
            <w:pPr>
              <w:rPr>
                <w:rFonts w:ascii="Arial" w:hAnsi="Arial" w:cs="Arial"/>
              </w:rPr>
            </w:pPr>
            <w:r w:rsidRPr="00D800F0">
              <w:rPr>
                <w:rFonts w:ascii="Arial" w:hAnsi="Arial" w:cs="Arial"/>
              </w:rPr>
              <w:t>Koch</w:t>
            </w:r>
          </w:p>
        </w:tc>
        <w:tc>
          <w:tcPr>
            <w:tcW w:w="1870" w:type="dxa"/>
            <w:tcBorders>
              <w:top w:val="single" w:sz="4" w:space="0" w:color="auto"/>
            </w:tcBorders>
            <w:vAlign w:val="center"/>
          </w:tcPr>
          <w:p w14:paraId="3F45FC22" w14:textId="77777777" w:rsidR="00DA7E40" w:rsidRPr="00D800F0" w:rsidRDefault="00DA7E40" w:rsidP="0000614D">
            <w:pPr>
              <w:rPr>
                <w:rFonts w:ascii="Arial" w:hAnsi="Arial" w:cs="Arial"/>
              </w:rPr>
            </w:pPr>
            <w:r w:rsidRPr="00D800F0">
              <w:rPr>
                <w:rFonts w:ascii="Arial" w:hAnsi="Arial" w:cs="Arial"/>
              </w:rPr>
              <w:t>35.5%</w:t>
            </w:r>
          </w:p>
        </w:tc>
        <w:tc>
          <w:tcPr>
            <w:tcW w:w="1870" w:type="dxa"/>
            <w:tcBorders>
              <w:top w:val="single" w:sz="4" w:space="0" w:color="auto"/>
            </w:tcBorders>
            <w:vAlign w:val="center"/>
          </w:tcPr>
          <w:p w14:paraId="7AE68801" w14:textId="77777777" w:rsidR="00DA7E40" w:rsidRPr="00D800F0" w:rsidRDefault="00DA7E40" w:rsidP="0000614D">
            <w:pPr>
              <w:rPr>
                <w:rFonts w:ascii="Arial" w:hAnsi="Arial" w:cs="Arial"/>
              </w:rPr>
            </w:pPr>
            <w:r w:rsidRPr="00D800F0">
              <w:rPr>
                <w:rFonts w:ascii="Arial" w:hAnsi="Arial" w:cs="Arial"/>
              </w:rPr>
              <w:t>0.0%</w:t>
            </w:r>
          </w:p>
        </w:tc>
        <w:tc>
          <w:tcPr>
            <w:tcW w:w="1870" w:type="dxa"/>
            <w:tcBorders>
              <w:top w:val="single" w:sz="4" w:space="0" w:color="auto"/>
            </w:tcBorders>
            <w:vAlign w:val="center"/>
          </w:tcPr>
          <w:p w14:paraId="78FC7E87" w14:textId="77777777" w:rsidR="00DA7E40" w:rsidRPr="00D800F0" w:rsidRDefault="00DA7E40" w:rsidP="0000614D">
            <w:pPr>
              <w:rPr>
                <w:rFonts w:ascii="Arial" w:hAnsi="Arial" w:cs="Arial"/>
              </w:rPr>
            </w:pPr>
            <w:r w:rsidRPr="00D800F0">
              <w:rPr>
                <w:rFonts w:ascii="Arial" w:hAnsi="Arial" w:cs="Arial"/>
              </w:rPr>
              <w:t>98.2%</w:t>
            </w:r>
          </w:p>
        </w:tc>
        <w:tc>
          <w:tcPr>
            <w:tcW w:w="1870" w:type="dxa"/>
            <w:tcBorders>
              <w:top w:val="single" w:sz="4" w:space="0" w:color="auto"/>
            </w:tcBorders>
            <w:vAlign w:val="center"/>
          </w:tcPr>
          <w:p w14:paraId="098EFE1A" w14:textId="77777777" w:rsidR="00DA7E40" w:rsidRPr="00D800F0" w:rsidRDefault="00DA7E40" w:rsidP="0000614D">
            <w:pPr>
              <w:rPr>
                <w:rFonts w:ascii="Arial" w:hAnsi="Arial" w:cs="Arial"/>
              </w:rPr>
            </w:pPr>
            <w:r w:rsidRPr="00D800F0">
              <w:rPr>
                <w:rFonts w:ascii="Arial" w:hAnsi="Arial" w:cs="Arial"/>
              </w:rPr>
              <w:t>28.1%</w:t>
            </w:r>
          </w:p>
        </w:tc>
      </w:tr>
      <w:tr w:rsidR="00DA7E40" w:rsidRPr="00D800F0" w14:paraId="285C6A2A" w14:textId="77777777" w:rsidTr="0000614D">
        <w:tc>
          <w:tcPr>
            <w:tcW w:w="1870" w:type="dxa"/>
          </w:tcPr>
          <w:p w14:paraId="7C7E8ACC" w14:textId="77777777" w:rsidR="00DA7E40" w:rsidRPr="00D800F0" w:rsidRDefault="00DA7E40" w:rsidP="0000614D">
            <w:pPr>
              <w:rPr>
                <w:rFonts w:ascii="Arial" w:hAnsi="Arial" w:cs="Arial"/>
              </w:rPr>
            </w:pPr>
            <w:r w:rsidRPr="00D800F0">
              <w:rPr>
                <w:rFonts w:ascii="Arial" w:hAnsi="Arial" w:cs="Arial"/>
              </w:rPr>
              <w:t>AdvanSix</w:t>
            </w:r>
          </w:p>
        </w:tc>
        <w:tc>
          <w:tcPr>
            <w:tcW w:w="1870" w:type="dxa"/>
            <w:vAlign w:val="center"/>
          </w:tcPr>
          <w:p w14:paraId="1D9FBB35" w14:textId="77777777" w:rsidR="00DA7E40" w:rsidRPr="00D800F0" w:rsidRDefault="00DA7E40" w:rsidP="0000614D">
            <w:pPr>
              <w:rPr>
                <w:rFonts w:ascii="Arial" w:hAnsi="Arial" w:cs="Arial"/>
              </w:rPr>
            </w:pPr>
            <w:r w:rsidRPr="00D800F0">
              <w:rPr>
                <w:rFonts w:ascii="Arial" w:hAnsi="Arial" w:cs="Arial"/>
              </w:rPr>
              <w:t>17.8%</w:t>
            </w:r>
          </w:p>
        </w:tc>
        <w:tc>
          <w:tcPr>
            <w:tcW w:w="1870" w:type="dxa"/>
            <w:vAlign w:val="center"/>
          </w:tcPr>
          <w:p w14:paraId="13DDA6EA"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39591D80" w14:textId="77777777" w:rsidR="00DA7E40" w:rsidRPr="00D800F0" w:rsidRDefault="00DA7E40" w:rsidP="0000614D">
            <w:pPr>
              <w:rPr>
                <w:rFonts w:ascii="Arial" w:hAnsi="Arial" w:cs="Arial"/>
              </w:rPr>
            </w:pPr>
            <w:r w:rsidRPr="00D800F0">
              <w:rPr>
                <w:rFonts w:ascii="Arial" w:hAnsi="Arial" w:cs="Arial"/>
              </w:rPr>
              <w:t>97.6%</w:t>
            </w:r>
          </w:p>
        </w:tc>
        <w:tc>
          <w:tcPr>
            <w:tcW w:w="1870" w:type="dxa"/>
            <w:vAlign w:val="center"/>
          </w:tcPr>
          <w:p w14:paraId="2ACD7DB6" w14:textId="77777777" w:rsidR="00DA7E40" w:rsidRPr="00D800F0" w:rsidRDefault="00DA7E40" w:rsidP="0000614D">
            <w:pPr>
              <w:rPr>
                <w:rFonts w:ascii="Arial" w:hAnsi="Arial" w:cs="Arial"/>
              </w:rPr>
            </w:pPr>
            <w:r w:rsidRPr="00D800F0">
              <w:rPr>
                <w:rFonts w:ascii="Arial" w:hAnsi="Arial" w:cs="Arial"/>
              </w:rPr>
              <w:t>18.9%</w:t>
            </w:r>
          </w:p>
        </w:tc>
      </w:tr>
      <w:tr w:rsidR="00DA7E40" w:rsidRPr="00D800F0" w14:paraId="1BBA58D7" w14:textId="77777777" w:rsidTr="0000614D">
        <w:tc>
          <w:tcPr>
            <w:tcW w:w="1870" w:type="dxa"/>
          </w:tcPr>
          <w:p w14:paraId="7C6185D3" w14:textId="77777777" w:rsidR="00DA7E40" w:rsidRPr="00D800F0" w:rsidRDefault="00DA7E40" w:rsidP="0000614D">
            <w:pPr>
              <w:rPr>
                <w:rFonts w:ascii="Arial" w:hAnsi="Arial" w:cs="Arial"/>
              </w:rPr>
            </w:pPr>
            <w:r w:rsidRPr="00D800F0">
              <w:rPr>
                <w:rFonts w:ascii="Arial" w:hAnsi="Arial" w:cs="Arial"/>
              </w:rPr>
              <w:t>Port Neal</w:t>
            </w:r>
          </w:p>
        </w:tc>
        <w:tc>
          <w:tcPr>
            <w:tcW w:w="1870" w:type="dxa"/>
            <w:vAlign w:val="center"/>
          </w:tcPr>
          <w:p w14:paraId="4457F52D" w14:textId="77777777" w:rsidR="00DA7E40" w:rsidRPr="00D800F0" w:rsidRDefault="00DA7E40" w:rsidP="0000614D">
            <w:pPr>
              <w:rPr>
                <w:rFonts w:ascii="Arial" w:hAnsi="Arial" w:cs="Arial"/>
              </w:rPr>
            </w:pPr>
            <w:r w:rsidRPr="00D800F0">
              <w:rPr>
                <w:rFonts w:ascii="Arial" w:hAnsi="Arial" w:cs="Arial"/>
              </w:rPr>
              <w:t>34.9%</w:t>
            </w:r>
          </w:p>
        </w:tc>
        <w:tc>
          <w:tcPr>
            <w:tcW w:w="1870" w:type="dxa"/>
            <w:vAlign w:val="center"/>
          </w:tcPr>
          <w:p w14:paraId="7D658D32"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3BE6ACCD" w14:textId="77777777" w:rsidR="00DA7E40" w:rsidRPr="00D800F0" w:rsidRDefault="00DA7E40" w:rsidP="0000614D">
            <w:pPr>
              <w:rPr>
                <w:rFonts w:ascii="Arial" w:hAnsi="Arial" w:cs="Arial"/>
              </w:rPr>
            </w:pPr>
            <w:r w:rsidRPr="00D800F0">
              <w:rPr>
                <w:rFonts w:ascii="Arial" w:hAnsi="Arial" w:cs="Arial"/>
              </w:rPr>
              <w:t>98.2%</w:t>
            </w:r>
          </w:p>
        </w:tc>
        <w:tc>
          <w:tcPr>
            <w:tcW w:w="1870" w:type="dxa"/>
            <w:vAlign w:val="center"/>
          </w:tcPr>
          <w:p w14:paraId="1B801535" w14:textId="77777777" w:rsidR="00DA7E40" w:rsidRPr="00D800F0" w:rsidRDefault="00DA7E40" w:rsidP="0000614D">
            <w:pPr>
              <w:rPr>
                <w:rFonts w:ascii="Arial" w:hAnsi="Arial" w:cs="Arial"/>
              </w:rPr>
            </w:pPr>
            <w:r w:rsidRPr="00D800F0">
              <w:rPr>
                <w:rFonts w:ascii="Arial" w:hAnsi="Arial" w:cs="Arial"/>
              </w:rPr>
              <w:t>27.8%</w:t>
            </w:r>
          </w:p>
        </w:tc>
      </w:tr>
      <w:tr w:rsidR="00DA7E40" w:rsidRPr="00D800F0" w14:paraId="1183EEB7" w14:textId="77777777" w:rsidTr="0000614D">
        <w:tc>
          <w:tcPr>
            <w:tcW w:w="1870" w:type="dxa"/>
          </w:tcPr>
          <w:p w14:paraId="56EEE7A0" w14:textId="77777777" w:rsidR="00DA7E40" w:rsidRPr="00D800F0" w:rsidRDefault="00DA7E40" w:rsidP="0000614D">
            <w:pPr>
              <w:rPr>
                <w:rFonts w:ascii="Arial" w:hAnsi="Arial" w:cs="Arial"/>
              </w:rPr>
            </w:pPr>
            <w:r w:rsidRPr="00D800F0">
              <w:rPr>
                <w:rFonts w:ascii="Arial" w:hAnsi="Arial" w:cs="Arial"/>
              </w:rPr>
              <w:t>Nutrien</w:t>
            </w:r>
          </w:p>
        </w:tc>
        <w:tc>
          <w:tcPr>
            <w:tcW w:w="1870" w:type="dxa"/>
            <w:vAlign w:val="center"/>
          </w:tcPr>
          <w:p w14:paraId="2638D5D2" w14:textId="77777777" w:rsidR="00DA7E40" w:rsidRPr="00D800F0" w:rsidRDefault="00DA7E40" w:rsidP="0000614D">
            <w:pPr>
              <w:rPr>
                <w:rFonts w:ascii="Arial" w:hAnsi="Arial" w:cs="Arial"/>
              </w:rPr>
            </w:pPr>
            <w:r w:rsidRPr="00D800F0">
              <w:rPr>
                <w:rFonts w:ascii="Arial" w:hAnsi="Arial" w:cs="Arial"/>
              </w:rPr>
              <w:t>18.4%</w:t>
            </w:r>
          </w:p>
        </w:tc>
        <w:tc>
          <w:tcPr>
            <w:tcW w:w="1870" w:type="dxa"/>
            <w:vAlign w:val="center"/>
          </w:tcPr>
          <w:p w14:paraId="6D6F93F5"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6C8C0075" w14:textId="77777777" w:rsidR="00DA7E40" w:rsidRPr="00D800F0" w:rsidRDefault="00DA7E40" w:rsidP="0000614D">
            <w:pPr>
              <w:rPr>
                <w:rFonts w:ascii="Arial" w:hAnsi="Arial" w:cs="Arial"/>
              </w:rPr>
            </w:pPr>
            <w:r w:rsidRPr="00D800F0">
              <w:rPr>
                <w:rFonts w:ascii="Arial" w:hAnsi="Arial" w:cs="Arial"/>
              </w:rPr>
              <w:t>98.2%</w:t>
            </w:r>
          </w:p>
        </w:tc>
        <w:tc>
          <w:tcPr>
            <w:tcW w:w="1870" w:type="dxa"/>
            <w:vAlign w:val="center"/>
          </w:tcPr>
          <w:p w14:paraId="51FA7C6B" w14:textId="77777777" w:rsidR="00DA7E40" w:rsidRPr="00D800F0" w:rsidRDefault="00DA7E40" w:rsidP="0000614D">
            <w:pPr>
              <w:rPr>
                <w:rFonts w:ascii="Arial" w:hAnsi="Arial" w:cs="Arial"/>
              </w:rPr>
            </w:pPr>
            <w:r w:rsidRPr="00D800F0">
              <w:rPr>
                <w:rFonts w:ascii="Arial" w:hAnsi="Arial" w:cs="Arial"/>
              </w:rPr>
              <w:t>18.7%</w:t>
            </w:r>
          </w:p>
        </w:tc>
      </w:tr>
      <w:tr w:rsidR="00DA7E40" w:rsidRPr="00D800F0" w14:paraId="20373805" w14:textId="77777777" w:rsidTr="0000614D">
        <w:tc>
          <w:tcPr>
            <w:tcW w:w="1870" w:type="dxa"/>
          </w:tcPr>
          <w:p w14:paraId="0D698DCB" w14:textId="77777777" w:rsidR="00DA7E40" w:rsidRPr="00D800F0" w:rsidRDefault="00DA7E40" w:rsidP="0000614D">
            <w:pPr>
              <w:rPr>
                <w:rFonts w:ascii="Arial" w:hAnsi="Arial" w:cs="Arial"/>
              </w:rPr>
            </w:pPr>
            <w:r w:rsidRPr="00D800F0">
              <w:rPr>
                <w:rFonts w:ascii="Arial" w:hAnsi="Arial" w:cs="Arial"/>
              </w:rPr>
              <w:lastRenderedPageBreak/>
              <w:t>Yara</w:t>
            </w:r>
          </w:p>
        </w:tc>
        <w:tc>
          <w:tcPr>
            <w:tcW w:w="1870" w:type="dxa"/>
            <w:vAlign w:val="center"/>
          </w:tcPr>
          <w:p w14:paraId="257157C6" w14:textId="77777777" w:rsidR="00DA7E40" w:rsidRPr="00D800F0" w:rsidRDefault="00DA7E40" w:rsidP="0000614D">
            <w:pPr>
              <w:rPr>
                <w:rFonts w:ascii="Arial" w:hAnsi="Arial" w:cs="Arial"/>
              </w:rPr>
            </w:pPr>
            <w:r w:rsidRPr="00D800F0">
              <w:rPr>
                <w:rFonts w:ascii="Arial" w:hAnsi="Arial" w:cs="Arial"/>
              </w:rPr>
              <w:t>29.1%</w:t>
            </w:r>
          </w:p>
        </w:tc>
        <w:tc>
          <w:tcPr>
            <w:tcW w:w="1870" w:type="dxa"/>
            <w:vAlign w:val="center"/>
          </w:tcPr>
          <w:p w14:paraId="08411529"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43D56B49" w14:textId="77777777" w:rsidR="00DA7E40" w:rsidRPr="00D800F0" w:rsidRDefault="00DA7E40" w:rsidP="0000614D">
            <w:pPr>
              <w:rPr>
                <w:rFonts w:ascii="Arial" w:hAnsi="Arial" w:cs="Arial"/>
              </w:rPr>
            </w:pPr>
            <w:r w:rsidRPr="00D800F0">
              <w:rPr>
                <w:rFonts w:ascii="Arial" w:hAnsi="Arial" w:cs="Arial"/>
              </w:rPr>
              <w:t>98.1%</w:t>
            </w:r>
          </w:p>
        </w:tc>
        <w:tc>
          <w:tcPr>
            <w:tcW w:w="1870" w:type="dxa"/>
            <w:vAlign w:val="center"/>
          </w:tcPr>
          <w:p w14:paraId="6D819B7F" w14:textId="77777777" w:rsidR="00DA7E40" w:rsidRPr="00D800F0" w:rsidRDefault="00DA7E40" w:rsidP="0000614D">
            <w:pPr>
              <w:rPr>
                <w:rFonts w:ascii="Arial" w:hAnsi="Arial" w:cs="Arial"/>
              </w:rPr>
            </w:pPr>
            <w:r w:rsidRPr="00D800F0">
              <w:rPr>
                <w:rFonts w:ascii="Arial" w:hAnsi="Arial" w:cs="Arial"/>
              </w:rPr>
              <w:t>23.7%</w:t>
            </w:r>
          </w:p>
        </w:tc>
      </w:tr>
      <w:tr w:rsidR="00DA7E40" w:rsidRPr="00D800F0" w14:paraId="34FE0B5C" w14:textId="77777777" w:rsidTr="0000614D">
        <w:tc>
          <w:tcPr>
            <w:tcW w:w="1870" w:type="dxa"/>
          </w:tcPr>
          <w:p w14:paraId="016CEC6A" w14:textId="77777777" w:rsidR="00DA7E40" w:rsidRPr="00D800F0" w:rsidRDefault="00DA7E40" w:rsidP="0000614D">
            <w:pPr>
              <w:rPr>
                <w:rFonts w:ascii="Arial" w:hAnsi="Arial" w:cs="Arial"/>
              </w:rPr>
            </w:pPr>
            <w:r w:rsidRPr="00D800F0">
              <w:rPr>
                <w:rFonts w:ascii="Arial" w:hAnsi="Arial" w:cs="Arial"/>
              </w:rPr>
              <w:t>Woodward</w:t>
            </w:r>
          </w:p>
        </w:tc>
        <w:tc>
          <w:tcPr>
            <w:tcW w:w="1870" w:type="dxa"/>
            <w:vAlign w:val="center"/>
          </w:tcPr>
          <w:p w14:paraId="4AB654C1" w14:textId="77777777" w:rsidR="00DA7E40" w:rsidRPr="00D800F0" w:rsidRDefault="00DA7E40" w:rsidP="0000614D">
            <w:pPr>
              <w:rPr>
                <w:rFonts w:ascii="Arial" w:hAnsi="Arial" w:cs="Arial"/>
              </w:rPr>
            </w:pPr>
            <w:r w:rsidRPr="00D800F0">
              <w:rPr>
                <w:rFonts w:ascii="Arial" w:hAnsi="Arial" w:cs="Arial"/>
              </w:rPr>
              <w:t>39.2%</w:t>
            </w:r>
          </w:p>
        </w:tc>
        <w:tc>
          <w:tcPr>
            <w:tcW w:w="1870" w:type="dxa"/>
            <w:vAlign w:val="center"/>
          </w:tcPr>
          <w:p w14:paraId="4FDE5D6F"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20B35127" w14:textId="77777777" w:rsidR="00DA7E40" w:rsidRPr="00D800F0" w:rsidRDefault="00DA7E40" w:rsidP="0000614D">
            <w:pPr>
              <w:rPr>
                <w:rFonts w:ascii="Arial" w:hAnsi="Arial" w:cs="Arial"/>
              </w:rPr>
            </w:pPr>
            <w:r w:rsidRPr="00D800F0">
              <w:rPr>
                <w:rFonts w:ascii="Arial" w:hAnsi="Arial" w:cs="Arial"/>
              </w:rPr>
              <w:t>98.2%</w:t>
            </w:r>
          </w:p>
        </w:tc>
        <w:tc>
          <w:tcPr>
            <w:tcW w:w="1870" w:type="dxa"/>
            <w:vAlign w:val="center"/>
          </w:tcPr>
          <w:p w14:paraId="1A3D193D" w14:textId="77777777" w:rsidR="00DA7E40" w:rsidRPr="00D800F0" w:rsidRDefault="00DA7E40" w:rsidP="0000614D">
            <w:pPr>
              <w:rPr>
                <w:rFonts w:ascii="Arial" w:hAnsi="Arial" w:cs="Arial"/>
              </w:rPr>
            </w:pPr>
            <w:r w:rsidRPr="00D800F0">
              <w:rPr>
                <w:rFonts w:ascii="Arial" w:hAnsi="Arial" w:cs="Arial"/>
              </w:rPr>
              <w:t>29.6%</w:t>
            </w:r>
          </w:p>
        </w:tc>
      </w:tr>
      <w:tr w:rsidR="00DA7E40" w:rsidRPr="00D800F0" w14:paraId="1CCE537E" w14:textId="77777777" w:rsidTr="0000614D">
        <w:tc>
          <w:tcPr>
            <w:tcW w:w="1870" w:type="dxa"/>
          </w:tcPr>
          <w:p w14:paraId="110685DE" w14:textId="77777777" w:rsidR="00DA7E40" w:rsidRPr="00D800F0" w:rsidRDefault="00DA7E40" w:rsidP="0000614D">
            <w:pPr>
              <w:rPr>
                <w:rFonts w:ascii="Arial" w:hAnsi="Arial" w:cs="Arial"/>
              </w:rPr>
            </w:pPr>
            <w:r w:rsidRPr="00D800F0">
              <w:rPr>
                <w:rFonts w:ascii="Arial" w:hAnsi="Arial" w:cs="Arial"/>
              </w:rPr>
              <w:t>Donaldson</w:t>
            </w:r>
          </w:p>
        </w:tc>
        <w:tc>
          <w:tcPr>
            <w:tcW w:w="1870" w:type="dxa"/>
            <w:vAlign w:val="center"/>
          </w:tcPr>
          <w:p w14:paraId="424A4707" w14:textId="77777777" w:rsidR="00DA7E40" w:rsidRPr="00D800F0" w:rsidRDefault="00DA7E40" w:rsidP="0000614D">
            <w:pPr>
              <w:rPr>
                <w:rFonts w:ascii="Arial" w:hAnsi="Arial" w:cs="Arial"/>
              </w:rPr>
            </w:pPr>
            <w:r w:rsidRPr="00D800F0">
              <w:rPr>
                <w:rFonts w:ascii="Arial" w:hAnsi="Arial" w:cs="Arial"/>
              </w:rPr>
              <w:t>19.4%</w:t>
            </w:r>
          </w:p>
        </w:tc>
        <w:tc>
          <w:tcPr>
            <w:tcW w:w="1870" w:type="dxa"/>
            <w:vAlign w:val="center"/>
          </w:tcPr>
          <w:p w14:paraId="3693A5EB"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5951020F" w14:textId="77777777" w:rsidR="00DA7E40" w:rsidRPr="00D800F0" w:rsidRDefault="00DA7E40" w:rsidP="0000614D">
            <w:pPr>
              <w:rPr>
                <w:rFonts w:ascii="Arial" w:hAnsi="Arial" w:cs="Arial"/>
              </w:rPr>
            </w:pPr>
            <w:r w:rsidRPr="00D800F0">
              <w:rPr>
                <w:rFonts w:ascii="Arial" w:hAnsi="Arial" w:cs="Arial"/>
              </w:rPr>
              <w:t>98.2%</w:t>
            </w:r>
          </w:p>
        </w:tc>
        <w:tc>
          <w:tcPr>
            <w:tcW w:w="1870" w:type="dxa"/>
            <w:vAlign w:val="center"/>
          </w:tcPr>
          <w:p w14:paraId="13C8E38D" w14:textId="77777777" w:rsidR="00DA7E40" w:rsidRPr="00D800F0" w:rsidRDefault="00DA7E40" w:rsidP="0000614D">
            <w:pPr>
              <w:rPr>
                <w:rFonts w:ascii="Arial" w:hAnsi="Arial" w:cs="Arial"/>
              </w:rPr>
            </w:pPr>
            <w:r w:rsidRPr="00D800F0">
              <w:rPr>
                <w:rFonts w:ascii="Arial" w:hAnsi="Arial" w:cs="Arial"/>
              </w:rPr>
              <w:t>20.1%</w:t>
            </w:r>
          </w:p>
        </w:tc>
      </w:tr>
      <w:tr w:rsidR="00DA7E40" w:rsidRPr="00D800F0" w14:paraId="11E6ECF1" w14:textId="77777777" w:rsidTr="0000614D">
        <w:tc>
          <w:tcPr>
            <w:tcW w:w="1870" w:type="dxa"/>
          </w:tcPr>
          <w:p w14:paraId="3265D640" w14:textId="77777777" w:rsidR="00DA7E40" w:rsidRPr="00D800F0" w:rsidRDefault="00DA7E40" w:rsidP="0000614D">
            <w:pPr>
              <w:rPr>
                <w:rFonts w:ascii="Arial" w:hAnsi="Arial" w:cs="Arial"/>
              </w:rPr>
            </w:pPr>
            <w:r w:rsidRPr="00D800F0">
              <w:rPr>
                <w:rFonts w:ascii="Arial" w:hAnsi="Arial" w:cs="Arial"/>
              </w:rPr>
              <w:t>Verdigris</w:t>
            </w:r>
          </w:p>
        </w:tc>
        <w:tc>
          <w:tcPr>
            <w:tcW w:w="1870" w:type="dxa"/>
            <w:vAlign w:val="center"/>
          </w:tcPr>
          <w:p w14:paraId="07D9280D" w14:textId="77777777" w:rsidR="00DA7E40" w:rsidRPr="00D800F0" w:rsidRDefault="00DA7E40" w:rsidP="0000614D">
            <w:pPr>
              <w:rPr>
                <w:rFonts w:ascii="Arial" w:hAnsi="Arial" w:cs="Arial"/>
              </w:rPr>
            </w:pPr>
            <w:r w:rsidRPr="00D800F0">
              <w:rPr>
                <w:rFonts w:ascii="Arial" w:hAnsi="Arial" w:cs="Arial"/>
              </w:rPr>
              <w:t>31.4%</w:t>
            </w:r>
          </w:p>
        </w:tc>
        <w:tc>
          <w:tcPr>
            <w:tcW w:w="1870" w:type="dxa"/>
            <w:vAlign w:val="center"/>
          </w:tcPr>
          <w:p w14:paraId="30E2232F"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6E6C9F35" w14:textId="77777777" w:rsidR="00DA7E40" w:rsidRPr="00D800F0" w:rsidRDefault="00DA7E40" w:rsidP="0000614D">
            <w:pPr>
              <w:rPr>
                <w:rFonts w:ascii="Arial" w:hAnsi="Arial" w:cs="Arial"/>
              </w:rPr>
            </w:pPr>
            <w:r w:rsidRPr="00D800F0">
              <w:rPr>
                <w:rFonts w:ascii="Arial" w:hAnsi="Arial" w:cs="Arial"/>
              </w:rPr>
              <w:t>98.2%</w:t>
            </w:r>
          </w:p>
        </w:tc>
        <w:tc>
          <w:tcPr>
            <w:tcW w:w="1870" w:type="dxa"/>
            <w:vAlign w:val="center"/>
          </w:tcPr>
          <w:p w14:paraId="5824ABFD" w14:textId="77777777" w:rsidR="00DA7E40" w:rsidRPr="00D800F0" w:rsidRDefault="00DA7E40" w:rsidP="0000614D">
            <w:pPr>
              <w:rPr>
                <w:rFonts w:ascii="Arial" w:hAnsi="Arial" w:cs="Arial"/>
              </w:rPr>
            </w:pPr>
            <w:r w:rsidRPr="00D800F0">
              <w:rPr>
                <w:rFonts w:ascii="Arial" w:hAnsi="Arial" w:cs="Arial"/>
              </w:rPr>
              <w:t>26.7%</w:t>
            </w:r>
          </w:p>
        </w:tc>
      </w:tr>
      <w:tr w:rsidR="00DA7E40" w:rsidRPr="00D800F0" w14:paraId="5C2C96C1" w14:textId="77777777" w:rsidTr="0000614D">
        <w:tc>
          <w:tcPr>
            <w:tcW w:w="9350" w:type="dxa"/>
            <w:gridSpan w:val="5"/>
            <w:tcBorders>
              <w:bottom w:val="single" w:sz="4" w:space="0" w:color="auto"/>
            </w:tcBorders>
          </w:tcPr>
          <w:p w14:paraId="631C9FD5" w14:textId="77777777" w:rsidR="00DA7E40" w:rsidRPr="00D800F0" w:rsidRDefault="00DA7E40" w:rsidP="0000614D">
            <w:pPr>
              <w:rPr>
                <w:rFonts w:ascii="Arial" w:hAnsi="Arial" w:cs="Arial"/>
                <w:b/>
                <w:bCs/>
              </w:rPr>
            </w:pPr>
            <w:r w:rsidRPr="00D800F0">
              <w:rPr>
                <w:rFonts w:ascii="Arial" w:hAnsi="Arial" w:cs="Arial"/>
                <w:b/>
                <w:bCs/>
              </w:rPr>
              <w:t>2030</w:t>
            </w:r>
          </w:p>
        </w:tc>
      </w:tr>
      <w:tr w:rsidR="00DA7E40" w:rsidRPr="00D800F0" w14:paraId="05AB73AF" w14:textId="77777777" w:rsidTr="0000614D">
        <w:tc>
          <w:tcPr>
            <w:tcW w:w="1870" w:type="dxa"/>
            <w:tcBorders>
              <w:top w:val="single" w:sz="4" w:space="0" w:color="auto"/>
              <w:bottom w:val="single" w:sz="4" w:space="0" w:color="auto"/>
            </w:tcBorders>
          </w:tcPr>
          <w:p w14:paraId="35A044ED" w14:textId="77777777" w:rsidR="00DA7E40" w:rsidRPr="00D800F0" w:rsidRDefault="00DA7E40" w:rsidP="0000614D">
            <w:pPr>
              <w:rPr>
                <w:rFonts w:ascii="Arial" w:hAnsi="Arial" w:cs="Arial"/>
                <w:i/>
                <w:iCs/>
              </w:rPr>
            </w:pPr>
            <w:r w:rsidRPr="00D800F0">
              <w:rPr>
                <w:rFonts w:ascii="Arial" w:hAnsi="Arial" w:cs="Arial"/>
                <w:i/>
                <w:iCs/>
              </w:rPr>
              <w:t>Location</w:t>
            </w:r>
          </w:p>
        </w:tc>
        <w:tc>
          <w:tcPr>
            <w:tcW w:w="1870" w:type="dxa"/>
            <w:tcBorders>
              <w:top w:val="single" w:sz="4" w:space="0" w:color="auto"/>
              <w:bottom w:val="single" w:sz="4" w:space="0" w:color="auto"/>
            </w:tcBorders>
          </w:tcPr>
          <w:p w14:paraId="608117A1" w14:textId="77777777" w:rsidR="00DA7E40" w:rsidRPr="00D800F0" w:rsidRDefault="00DA7E40" w:rsidP="0000614D">
            <w:pPr>
              <w:rPr>
                <w:rFonts w:ascii="Arial" w:hAnsi="Arial" w:cs="Arial"/>
                <w:i/>
                <w:iCs/>
              </w:rPr>
            </w:pPr>
            <w:r w:rsidRPr="00D800F0">
              <w:rPr>
                <w:rFonts w:ascii="Arial" w:hAnsi="Arial" w:cs="Arial"/>
                <w:i/>
                <w:iCs/>
              </w:rPr>
              <w:t xml:space="preserve">Average  </w:t>
            </w:r>
          </w:p>
        </w:tc>
        <w:tc>
          <w:tcPr>
            <w:tcW w:w="1870" w:type="dxa"/>
            <w:tcBorders>
              <w:top w:val="single" w:sz="4" w:space="0" w:color="auto"/>
              <w:bottom w:val="single" w:sz="4" w:space="0" w:color="auto"/>
            </w:tcBorders>
          </w:tcPr>
          <w:p w14:paraId="53746C08" w14:textId="77777777" w:rsidR="00DA7E40" w:rsidRPr="00D800F0" w:rsidRDefault="00DA7E40" w:rsidP="0000614D">
            <w:pPr>
              <w:rPr>
                <w:rFonts w:ascii="Arial" w:hAnsi="Arial" w:cs="Arial"/>
                <w:i/>
                <w:iCs/>
              </w:rPr>
            </w:pPr>
            <w:r w:rsidRPr="00D800F0">
              <w:rPr>
                <w:rFonts w:ascii="Arial" w:hAnsi="Arial" w:cs="Arial"/>
                <w:i/>
                <w:iCs/>
              </w:rPr>
              <w:t xml:space="preserve">Minimum  </w:t>
            </w:r>
          </w:p>
        </w:tc>
        <w:tc>
          <w:tcPr>
            <w:tcW w:w="1870" w:type="dxa"/>
            <w:tcBorders>
              <w:top w:val="single" w:sz="4" w:space="0" w:color="auto"/>
              <w:bottom w:val="single" w:sz="4" w:space="0" w:color="auto"/>
            </w:tcBorders>
          </w:tcPr>
          <w:p w14:paraId="34614201" w14:textId="77777777" w:rsidR="00DA7E40" w:rsidRPr="00D800F0" w:rsidRDefault="00DA7E40" w:rsidP="0000614D">
            <w:pPr>
              <w:rPr>
                <w:rFonts w:ascii="Arial" w:hAnsi="Arial" w:cs="Arial"/>
                <w:i/>
                <w:iCs/>
              </w:rPr>
            </w:pPr>
            <w:r w:rsidRPr="00D800F0">
              <w:rPr>
                <w:rFonts w:ascii="Arial" w:hAnsi="Arial" w:cs="Arial"/>
                <w:i/>
                <w:iCs/>
              </w:rPr>
              <w:t xml:space="preserve">Maximum  </w:t>
            </w:r>
          </w:p>
        </w:tc>
        <w:tc>
          <w:tcPr>
            <w:tcW w:w="1870" w:type="dxa"/>
            <w:tcBorders>
              <w:top w:val="single" w:sz="4" w:space="0" w:color="auto"/>
              <w:bottom w:val="single" w:sz="4" w:space="0" w:color="auto"/>
            </w:tcBorders>
          </w:tcPr>
          <w:p w14:paraId="122DE4B3" w14:textId="77777777" w:rsidR="00DA7E40" w:rsidRPr="00D800F0" w:rsidRDefault="00DA7E40" w:rsidP="0000614D">
            <w:pPr>
              <w:rPr>
                <w:rFonts w:ascii="Arial" w:hAnsi="Arial" w:cs="Arial"/>
                <w:i/>
                <w:iCs/>
              </w:rPr>
            </w:pPr>
            <w:r w:rsidRPr="00D800F0">
              <w:rPr>
                <w:rFonts w:ascii="Arial" w:hAnsi="Arial" w:cs="Arial"/>
                <w:i/>
                <w:iCs/>
              </w:rPr>
              <w:t>Std Deviation</w:t>
            </w:r>
          </w:p>
        </w:tc>
      </w:tr>
      <w:tr w:rsidR="00DA7E40" w:rsidRPr="00D800F0" w14:paraId="4F58E2BD" w14:textId="77777777" w:rsidTr="0000614D">
        <w:tc>
          <w:tcPr>
            <w:tcW w:w="1870" w:type="dxa"/>
            <w:tcBorders>
              <w:top w:val="single" w:sz="4" w:space="0" w:color="auto"/>
            </w:tcBorders>
          </w:tcPr>
          <w:p w14:paraId="1D81AD16" w14:textId="77777777" w:rsidR="00DA7E40" w:rsidRPr="00D800F0" w:rsidRDefault="00DA7E40" w:rsidP="0000614D">
            <w:pPr>
              <w:rPr>
                <w:rFonts w:ascii="Arial" w:hAnsi="Arial" w:cs="Arial"/>
              </w:rPr>
            </w:pPr>
            <w:r w:rsidRPr="00D800F0">
              <w:rPr>
                <w:rFonts w:ascii="Arial" w:hAnsi="Arial" w:cs="Arial"/>
              </w:rPr>
              <w:t>Koch</w:t>
            </w:r>
          </w:p>
        </w:tc>
        <w:tc>
          <w:tcPr>
            <w:tcW w:w="1870" w:type="dxa"/>
            <w:tcBorders>
              <w:top w:val="single" w:sz="4" w:space="0" w:color="auto"/>
            </w:tcBorders>
            <w:vAlign w:val="center"/>
          </w:tcPr>
          <w:p w14:paraId="12D9D46D" w14:textId="77777777" w:rsidR="00DA7E40" w:rsidRPr="00D800F0" w:rsidRDefault="00DA7E40" w:rsidP="0000614D">
            <w:pPr>
              <w:rPr>
                <w:rFonts w:ascii="Arial" w:hAnsi="Arial" w:cs="Arial"/>
              </w:rPr>
            </w:pPr>
            <w:r w:rsidRPr="00D800F0">
              <w:rPr>
                <w:rFonts w:ascii="Arial" w:hAnsi="Arial" w:cs="Arial"/>
              </w:rPr>
              <w:t>42.7%</w:t>
            </w:r>
          </w:p>
        </w:tc>
        <w:tc>
          <w:tcPr>
            <w:tcW w:w="1870" w:type="dxa"/>
            <w:tcBorders>
              <w:top w:val="single" w:sz="4" w:space="0" w:color="auto"/>
            </w:tcBorders>
            <w:vAlign w:val="center"/>
          </w:tcPr>
          <w:p w14:paraId="49B70C40" w14:textId="77777777" w:rsidR="00DA7E40" w:rsidRPr="00D800F0" w:rsidRDefault="00DA7E40" w:rsidP="0000614D">
            <w:pPr>
              <w:rPr>
                <w:rFonts w:ascii="Arial" w:hAnsi="Arial" w:cs="Arial"/>
              </w:rPr>
            </w:pPr>
            <w:r w:rsidRPr="00D800F0">
              <w:rPr>
                <w:rFonts w:ascii="Arial" w:hAnsi="Arial" w:cs="Arial"/>
              </w:rPr>
              <w:t>0.0%</w:t>
            </w:r>
          </w:p>
        </w:tc>
        <w:tc>
          <w:tcPr>
            <w:tcW w:w="1870" w:type="dxa"/>
            <w:tcBorders>
              <w:top w:val="single" w:sz="4" w:space="0" w:color="auto"/>
            </w:tcBorders>
            <w:vAlign w:val="center"/>
          </w:tcPr>
          <w:p w14:paraId="0E5DC500" w14:textId="77777777" w:rsidR="00DA7E40" w:rsidRPr="00D800F0" w:rsidRDefault="00DA7E40" w:rsidP="0000614D">
            <w:pPr>
              <w:rPr>
                <w:rFonts w:ascii="Arial" w:hAnsi="Arial" w:cs="Arial"/>
              </w:rPr>
            </w:pPr>
            <w:r w:rsidRPr="00D800F0">
              <w:rPr>
                <w:rFonts w:ascii="Arial" w:hAnsi="Arial" w:cs="Arial"/>
              </w:rPr>
              <w:t>96.4%</w:t>
            </w:r>
          </w:p>
        </w:tc>
        <w:tc>
          <w:tcPr>
            <w:tcW w:w="1870" w:type="dxa"/>
            <w:tcBorders>
              <w:top w:val="single" w:sz="4" w:space="0" w:color="auto"/>
            </w:tcBorders>
            <w:vAlign w:val="center"/>
          </w:tcPr>
          <w:p w14:paraId="3E5B4AFF" w14:textId="77777777" w:rsidR="00DA7E40" w:rsidRPr="00D800F0" w:rsidRDefault="00DA7E40" w:rsidP="0000614D">
            <w:pPr>
              <w:rPr>
                <w:rFonts w:ascii="Arial" w:hAnsi="Arial" w:cs="Arial"/>
              </w:rPr>
            </w:pPr>
            <w:r w:rsidRPr="00D800F0">
              <w:rPr>
                <w:rFonts w:ascii="Arial" w:hAnsi="Arial" w:cs="Arial"/>
              </w:rPr>
              <w:t>29.8%</w:t>
            </w:r>
          </w:p>
        </w:tc>
      </w:tr>
      <w:tr w:rsidR="00DA7E40" w:rsidRPr="00D800F0" w14:paraId="6AE235B9" w14:textId="77777777" w:rsidTr="0000614D">
        <w:tc>
          <w:tcPr>
            <w:tcW w:w="1870" w:type="dxa"/>
          </w:tcPr>
          <w:p w14:paraId="1FFF5F27" w14:textId="77777777" w:rsidR="00DA7E40" w:rsidRPr="00D800F0" w:rsidRDefault="00DA7E40" w:rsidP="0000614D">
            <w:pPr>
              <w:rPr>
                <w:rFonts w:ascii="Arial" w:hAnsi="Arial" w:cs="Arial"/>
              </w:rPr>
            </w:pPr>
            <w:r w:rsidRPr="00D800F0">
              <w:rPr>
                <w:rFonts w:ascii="Arial" w:hAnsi="Arial" w:cs="Arial"/>
              </w:rPr>
              <w:t>AdvanSix</w:t>
            </w:r>
          </w:p>
        </w:tc>
        <w:tc>
          <w:tcPr>
            <w:tcW w:w="1870" w:type="dxa"/>
            <w:vAlign w:val="center"/>
          </w:tcPr>
          <w:p w14:paraId="22F223A0" w14:textId="77777777" w:rsidR="00DA7E40" w:rsidRPr="00D800F0" w:rsidRDefault="00DA7E40" w:rsidP="0000614D">
            <w:pPr>
              <w:rPr>
                <w:rFonts w:ascii="Arial" w:hAnsi="Arial" w:cs="Arial"/>
              </w:rPr>
            </w:pPr>
            <w:r w:rsidRPr="00D800F0">
              <w:rPr>
                <w:rFonts w:ascii="Arial" w:hAnsi="Arial" w:cs="Arial"/>
              </w:rPr>
              <w:t>26.7%</w:t>
            </w:r>
          </w:p>
        </w:tc>
        <w:tc>
          <w:tcPr>
            <w:tcW w:w="1870" w:type="dxa"/>
            <w:vAlign w:val="center"/>
          </w:tcPr>
          <w:p w14:paraId="3E4D7D67"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3DD0AED0" w14:textId="77777777" w:rsidR="00DA7E40" w:rsidRPr="00D800F0" w:rsidRDefault="00DA7E40" w:rsidP="0000614D">
            <w:pPr>
              <w:rPr>
                <w:rFonts w:ascii="Arial" w:hAnsi="Arial" w:cs="Arial"/>
              </w:rPr>
            </w:pPr>
            <w:r w:rsidRPr="00D800F0">
              <w:rPr>
                <w:rFonts w:ascii="Arial" w:hAnsi="Arial" w:cs="Arial"/>
              </w:rPr>
              <w:t>96.4%</w:t>
            </w:r>
          </w:p>
        </w:tc>
        <w:tc>
          <w:tcPr>
            <w:tcW w:w="1870" w:type="dxa"/>
            <w:vAlign w:val="center"/>
          </w:tcPr>
          <w:p w14:paraId="09CF259A" w14:textId="77777777" w:rsidR="00DA7E40" w:rsidRPr="00D800F0" w:rsidRDefault="00DA7E40" w:rsidP="0000614D">
            <w:pPr>
              <w:rPr>
                <w:rFonts w:ascii="Arial" w:hAnsi="Arial" w:cs="Arial"/>
              </w:rPr>
            </w:pPr>
            <w:r w:rsidRPr="00D800F0">
              <w:rPr>
                <w:rFonts w:ascii="Arial" w:hAnsi="Arial" w:cs="Arial"/>
              </w:rPr>
              <w:t>23.5%</w:t>
            </w:r>
          </w:p>
        </w:tc>
      </w:tr>
      <w:tr w:rsidR="00DA7E40" w:rsidRPr="00D800F0" w14:paraId="34EC5A4C" w14:textId="77777777" w:rsidTr="0000614D">
        <w:tc>
          <w:tcPr>
            <w:tcW w:w="1870" w:type="dxa"/>
          </w:tcPr>
          <w:p w14:paraId="0333DD91" w14:textId="77777777" w:rsidR="00DA7E40" w:rsidRPr="00D800F0" w:rsidRDefault="00DA7E40" w:rsidP="0000614D">
            <w:pPr>
              <w:rPr>
                <w:rFonts w:ascii="Arial" w:hAnsi="Arial" w:cs="Arial"/>
              </w:rPr>
            </w:pPr>
            <w:r w:rsidRPr="00D800F0">
              <w:rPr>
                <w:rFonts w:ascii="Arial" w:hAnsi="Arial" w:cs="Arial"/>
              </w:rPr>
              <w:t>Port Neal</w:t>
            </w:r>
          </w:p>
        </w:tc>
        <w:tc>
          <w:tcPr>
            <w:tcW w:w="1870" w:type="dxa"/>
            <w:vAlign w:val="center"/>
          </w:tcPr>
          <w:p w14:paraId="77C7B1C1" w14:textId="77777777" w:rsidR="00DA7E40" w:rsidRPr="00D800F0" w:rsidRDefault="00DA7E40" w:rsidP="0000614D">
            <w:pPr>
              <w:rPr>
                <w:rFonts w:ascii="Arial" w:hAnsi="Arial" w:cs="Arial"/>
              </w:rPr>
            </w:pPr>
            <w:r w:rsidRPr="00D800F0">
              <w:rPr>
                <w:rFonts w:ascii="Arial" w:hAnsi="Arial" w:cs="Arial"/>
              </w:rPr>
              <w:t>41.9%</w:t>
            </w:r>
          </w:p>
        </w:tc>
        <w:tc>
          <w:tcPr>
            <w:tcW w:w="1870" w:type="dxa"/>
            <w:vAlign w:val="center"/>
          </w:tcPr>
          <w:p w14:paraId="42FB2E27"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39267472" w14:textId="77777777" w:rsidR="00DA7E40" w:rsidRPr="00D800F0" w:rsidRDefault="00DA7E40" w:rsidP="0000614D">
            <w:pPr>
              <w:rPr>
                <w:rFonts w:ascii="Arial" w:hAnsi="Arial" w:cs="Arial"/>
              </w:rPr>
            </w:pPr>
            <w:r w:rsidRPr="00D800F0">
              <w:rPr>
                <w:rFonts w:ascii="Arial" w:hAnsi="Arial" w:cs="Arial"/>
              </w:rPr>
              <w:t>96.4%</w:t>
            </w:r>
          </w:p>
        </w:tc>
        <w:tc>
          <w:tcPr>
            <w:tcW w:w="1870" w:type="dxa"/>
            <w:vAlign w:val="center"/>
          </w:tcPr>
          <w:p w14:paraId="134E10EF" w14:textId="77777777" w:rsidR="00DA7E40" w:rsidRPr="00D800F0" w:rsidRDefault="00DA7E40" w:rsidP="0000614D">
            <w:pPr>
              <w:rPr>
                <w:rFonts w:ascii="Arial" w:hAnsi="Arial" w:cs="Arial"/>
              </w:rPr>
            </w:pPr>
            <w:r w:rsidRPr="00D800F0">
              <w:rPr>
                <w:rFonts w:ascii="Arial" w:hAnsi="Arial" w:cs="Arial"/>
              </w:rPr>
              <w:t>29.3%</w:t>
            </w:r>
          </w:p>
        </w:tc>
      </w:tr>
      <w:tr w:rsidR="00DA7E40" w:rsidRPr="00D800F0" w14:paraId="79E2E01E" w14:textId="77777777" w:rsidTr="0000614D">
        <w:tc>
          <w:tcPr>
            <w:tcW w:w="1870" w:type="dxa"/>
          </w:tcPr>
          <w:p w14:paraId="6A50D54C" w14:textId="77777777" w:rsidR="00DA7E40" w:rsidRPr="00D800F0" w:rsidRDefault="00DA7E40" w:rsidP="0000614D">
            <w:pPr>
              <w:rPr>
                <w:rFonts w:ascii="Arial" w:hAnsi="Arial" w:cs="Arial"/>
              </w:rPr>
            </w:pPr>
            <w:r w:rsidRPr="00D800F0">
              <w:rPr>
                <w:rFonts w:ascii="Arial" w:hAnsi="Arial" w:cs="Arial"/>
              </w:rPr>
              <w:t>Nutrien</w:t>
            </w:r>
          </w:p>
        </w:tc>
        <w:tc>
          <w:tcPr>
            <w:tcW w:w="1870" w:type="dxa"/>
            <w:vAlign w:val="center"/>
          </w:tcPr>
          <w:p w14:paraId="3A13AD96" w14:textId="77777777" w:rsidR="00DA7E40" w:rsidRPr="00D800F0" w:rsidRDefault="00DA7E40" w:rsidP="0000614D">
            <w:pPr>
              <w:rPr>
                <w:rFonts w:ascii="Arial" w:hAnsi="Arial" w:cs="Arial"/>
              </w:rPr>
            </w:pPr>
            <w:r w:rsidRPr="00D800F0">
              <w:rPr>
                <w:rFonts w:ascii="Arial" w:hAnsi="Arial" w:cs="Arial"/>
              </w:rPr>
              <w:t>25.4%</w:t>
            </w:r>
          </w:p>
        </w:tc>
        <w:tc>
          <w:tcPr>
            <w:tcW w:w="1870" w:type="dxa"/>
            <w:vAlign w:val="center"/>
          </w:tcPr>
          <w:p w14:paraId="1FF71954"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65936A14" w14:textId="77777777" w:rsidR="00DA7E40" w:rsidRPr="00D800F0" w:rsidRDefault="00DA7E40" w:rsidP="0000614D">
            <w:pPr>
              <w:rPr>
                <w:rFonts w:ascii="Arial" w:hAnsi="Arial" w:cs="Arial"/>
              </w:rPr>
            </w:pPr>
            <w:r w:rsidRPr="00D800F0">
              <w:rPr>
                <w:rFonts w:ascii="Arial" w:hAnsi="Arial" w:cs="Arial"/>
              </w:rPr>
              <w:t>96.4%</w:t>
            </w:r>
          </w:p>
        </w:tc>
        <w:tc>
          <w:tcPr>
            <w:tcW w:w="1870" w:type="dxa"/>
            <w:vAlign w:val="center"/>
          </w:tcPr>
          <w:p w14:paraId="635974CE" w14:textId="77777777" w:rsidR="00DA7E40" w:rsidRPr="00D800F0" w:rsidRDefault="00DA7E40" w:rsidP="0000614D">
            <w:pPr>
              <w:rPr>
                <w:rFonts w:ascii="Arial" w:hAnsi="Arial" w:cs="Arial"/>
              </w:rPr>
            </w:pPr>
            <w:r w:rsidRPr="00D800F0">
              <w:rPr>
                <w:rFonts w:ascii="Arial" w:hAnsi="Arial" w:cs="Arial"/>
              </w:rPr>
              <w:t>22.5%</w:t>
            </w:r>
          </w:p>
        </w:tc>
      </w:tr>
      <w:tr w:rsidR="00DA7E40" w:rsidRPr="00D800F0" w14:paraId="05E2AC40" w14:textId="77777777" w:rsidTr="0000614D">
        <w:tc>
          <w:tcPr>
            <w:tcW w:w="1870" w:type="dxa"/>
          </w:tcPr>
          <w:p w14:paraId="0FBCE493" w14:textId="77777777" w:rsidR="00DA7E40" w:rsidRPr="00D800F0" w:rsidRDefault="00DA7E40" w:rsidP="0000614D">
            <w:pPr>
              <w:rPr>
                <w:rFonts w:ascii="Arial" w:hAnsi="Arial" w:cs="Arial"/>
              </w:rPr>
            </w:pPr>
            <w:r w:rsidRPr="00D800F0">
              <w:rPr>
                <w:rFonts w:ascii="Arial" w:hAnsi="Arial" w:cs="Arial"/>
              </w:rPr>
              <w:t>Yara</w:t>
            </w:r>
          </w:p>
        </w:tc>
        <w:tc>
          <w:tcPr>
            <w:tcW w:w="1870" w:type="dxa"/>
            <w:vAlign w:val="center"/>
          </w:tcPr>
          <w:p w14:paraId="5C9990AD" w14:textId="77777777" w:rsidR="00DA7E40" w:rsidRPr="00D800F0" w:rsidRDefault="00DA7E40" w:rsidP="0000614D">
            <w:pPr>
              <w:rPr>
                <w:rFonts w:ascii="Arial" w:hAnsi="Arial" w:cs="Arial"/>
              </w:rPr>
            </w:pPr>
            <w:r w:rsidRPr="00D800F0">
              <w:rPr>
                <w:rFonts w:ascii="Arial" w:hAnsi="Arial" w:cs="Arial"/>
              </w:rPr>
              <w:t>35.7%</w:t>
            </w:r>
          </w:p>
        </w:tc>
        <w:tc>
          <w:tcPr>
            <w:tcW w:w="1870" w:type="dxa"/>
            <w:vAlign w:val="center"/>
          </w:tcPr>
          <w:p w14:paraId="0A501C4F"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3E5AC5E9" w14:textId="77777777" w:rsidR="00DA7E40" w:rsidRPr="00D800F0" w:rsidRDefault="00DA7E40" w:rsidP="0000614D">
            <w:pPr>
              <w:rPr>
                <w:rFonts w:ascii="Arial" w:hAnsi="Arial" w:cs="Arial"/>
              </w:rPr>
            </w:pPr>
            <w:r w:rsidRPr="00D800F0">
              <w:rPr>
                <w:rFonts w:ascii="Arial" w:hAnsi="Arial" w:cs="Arial"/>
              </w:rPr>
              <w:t>96.4%</w:t>
            </w:r>
          </w:p>
        </w:tc>
        <w:tc>
          <w:tcPr>
            <w:tcW w:w="1870" w:type="dxa"/>
            <w:vAlign w:val="center"/>
          </w:tcPr>
          <w:p w14:paraId="3B6752DD" w14:textId="77777777" w:rsidR="00DA7E40" w:rsidRPr="00D800F0" w:rsidRDefault="00DA7E40" w:rsidP="0000614D">
            <w:pPr>
              <w:rPr>
                <w:rFonts w:ascii="Arial" w:hAnsi="Arial" w:cs="Arial"/>
              </w:rPr>
            </w:pPr>
            <w:r w:rsidRPr="00D800F0">
              <w:rPr>
                <w:rFonts w:ascii="Arial" w:hAnsi="Arial" w:cs="Arial"/>
              </w:rPr>
              <w:t>26.0%</w:t>
            </w:r>
          </w:p>
        </w:tc>
      </w:tr>
      <w:tr w:rsidR="00DA7E40" w:rsidRPr="00D800F0" w14:paraId="73A6D06B" w14:textId="77777777" w:rsidTr="0000614D">
        <w:tc>
          <w:tcPr>
            <w:tcW w:w="1870" w:type="dxa"/>
          </w:tcPr>
          <w:p w14:paraId="63F6BD0F" w14:textId="77777777" w:rsidR="00DA7E40" w:rsidRPr="00D800F0" w:rsidRDefault="00DA7E40" w:rsidP="0000614D">
            <w:pPr>
              <w:rPr>
                <w:rFonts w:ascii="Arial" w:hAnsi="Arial" w:cs="Arial"/>
              </w:rPr>
            </w:pPr>
            <w:r w:rsidRPr="00D800F0">
              <w:rPr>
                <w:rFonts w:ascii="Arial" w:hAnsi="Arial" w:cs="Arial"/>
              </w:rPr>
              <w:t>Woodward</w:t>
            </w:r>
          </w:p>
        </w:tc>
        <w:tc>
          <w:tcPr>
            <w:tcW w:w="1870" w:type="dxa"/>
            <w:vAlign w:val="center"/>
          </w:tcPr>
          <w:p w14:paraId="0BBFCFEE" w14:textId="77777777" w:rsidR="00DA7E40" w:rsidRPr="00D800F0" w:rsidRDefault="00DA7E40" w:rsidP="0000614D">
            <w:pPr>
              <w:rPr>
                <w:rFonts w:ascii="Arial" w:hAnsi="Arial" w:cs="Arial"/>
              </w:rPr>
            </w:pPr>
            <w:r w:rsidRPr="00D800F0">
              <w:rPr>
                <w:rFonts w:ascii="Arial" w:hAnsi="Arial" w:cs="Arial"/>
              </w:rPr>
              <w:t>46.1%</w:t>
            </w:r>
          </w:p>
        </w:tc>
        <w:tc>
          <w:tcPr>
            <w:tcW w:w="1870" w:type="dxa"/>
            <w:vAlign w:val="center"/>
          </w:tcPr>
          <w:p w14:paraId="58988B04"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6F1A0313" w14:textId="77777777" w:rsidR="00DA7E40" w:rsidRPr="00D800F0" w:rsidRDefault="00DA7E40" w:rsidP="0000614D">
            <w:pPr>
              <w:rPr>
                <w:rFonts w:ascii="Arial" w:hAnsi="Arial" w:cs="Arial"/>
              </w:rPr>
            </w:pPr>
            <w:r w:rsidRPr="00D800F0">
              <w:rPr>
                <w:rFonts w:ascii="Arial" w:hAnsi="Arial" w:cs="Arial"/>
              </w:rPr>
              <w:t>96.4%</w:t>
            </w:r>
          </w:p>
        </w:tc>
        <w:tc>
          <w:tcPr>
            <w:tcW w:w="1870" w:type="dxa"/>
            <w:vAlign w:val="center"/>
          </w:tcPr>
          <w:p w14:paraId="53F4DBF3" w14:textId="77777777" w:rsidR="00DA7E40" w:rsidRPr="00D800F0" w:rsidRDefault="00DA7E40" w:rsidP="0000614D">
            <w:pPr>
              <w:rPr>
                <w:rFonts w:ascii="Arial" w:hAnsi="Arial" w:cs="Arial"/>
              </w:rPr>
            </w:pPr>
            <w:r w:rsidRPr="00D800F0">
              <w:rPr>
                <w:rFonts w:ascii="Arial" w:hAnsi="Arial" w:cs="Arial"/>
              </w:rPr>
              <w:t>30.9%</w:t>
            </w:r>
          </w:p>
        </w:tc>
      </w:tr>
      <w:tr w:rsidR="00DA7E40" w:rsidRPr="00D800F0" w14:paraId="5792AF5A" w14:textId="77777777" w:rsidTr="0000614D">
        <w:tc>
          <w:tcPr>
            <w:tcW w:w="1870" w:type="dxa"/>
          </w:tcPr>
          <w:p w14:paraId="61967C39" w14:textId="77777777" w:rsidR="00DA7E40" w:rsidRPr="00D800F0" w:rsidRDefault="00DA7E40" w:rsidP="0000614D">
            <w:pPr>
              <w:rPr>
                <w:rFonts w:ascii="Arial" w:hAnsi="Arial" w:cs="Arial"/>
              </w:rPr>
            </w:pPr>
            <w:r w:rsidRPr="00D800F0">
              <w:rPr>
                <w:rFonts w:ascii="Arial" w:hAnsi="Arial" w:cs="Arial"/>
              </w:rPr>
              <w:t>Donaldson</w:t>
            </w:r>
          </w:p>
        </w:tc>
        <w:tc>
          <w:tcPr>
            <w:tcW w:w="1870" w:type="dxa"/>
            <w:vAlign w:val="center"/>
          </w:tcPr>
          <w:p w14:paraId="65289183" w14:textId="77777777" w:rsidR="00DA7E40" w:rsidRPr="00D800F0" w:rsidRDefault="00DA7E40" w:rsidP="0000614D">
            <w:pPr>
              <w:rPr>
                <w:rFonts w:ascii="Arial" w:hAnsi="Arial" w:cs="Arial"/>
              </w:rPr>
            </w:pPr>
            <w:r w:rsidRPr="00D800F0">
              <w:rPr>
                <w:rFonts w:ascii="Arial" w:hAnsi="Arial" w:cs="Arial"/>
              </w:rPr>
              <w:t>25.8%</w:t>
            </w:r>
          </w:p>
        </w:tc>
        <w:tc>
          <w:tcPr>
            <w:tcW w:w="1870" w:type="dxa"/>
            <w:vAlign w:val="center"/>
          </w:tcPr>
          <w:p w14:paraId="606343A0" w14:textId="77777777" w:rsidR="00DA7E40" w:rsidRPr="00D800F0" w:rsidRDefault="00DA7E40" w:rsidP="0000614D">
            <w:pPr>
              <w:rPr>
                <w:rFonts w:ascii="Arial" w:hAnsi="Arial" w:cs="Arial"/>
              </w:rPr>
            </w:pPr>
            <w:r w:rsidRPr="00D800F0">
              <w:rPr>
                <w:rFonts w:ascii="Arial" w:hAnsi="Arial" w:cs="Arial"/>
              </w:rPr>
              <w:t>0.0%</w:t>
            </w:r>
          </w:p>
        </w:tc>
        <w:tc>
          <w:tcPr>
            <w:tcW w:w="1870" w:type="dxa"/>
            <w:vAlign w:val="center"/>
          </w:tcPr>
          <w:p w14:paraId="5B2646B0" w14:textId="77777777" w:rsidR="00DA7E40" w:rsidRPr="00D800F0" w:rsidRDefault="00DA7E40" w:rsidP="0000614D">
            <w:pPr>
              <w:rPr>
                <w:rFonts w:ascii="Arial" w:hAnsi="Arial" w:cs="Arial"/>
              </w:rPr>
            </w:pPr>
            <w:r w:rsidRPr="00D800F0">
              <w:rPr>
                <w:rFonts w:ascii="Arial" w:hAnsi="Arial" w:cs="Arial"/>
              </w:rPr>
              <w:t>96.4%</w:t>
            </w:r>
          </w:p>
        </w:tc>
        <w:tc>
          <w:tcPr>
            <w:tcW w:w="1870" w:type="dxa"/>
            <w:vAlign w:val="center"/>
          </w:tcPr>
          <w:p w14:paraId="6672A78D" w14:textId="77777777" w:rsidR="00DA7E40" w:rsidRPr="00D800F0" w:rsidRDefault="00DA7E40" w:rsidP="0000614D">
            <w:pPr>
              <w:rPr>
                <w:rFonts w:ascii="Arial" w:hAnsi="Arial" w:cs="Arial"/>
              </w:rPr>
            </w:pPr>
            <w:r w:rsidRPr="00D800F0">
              <w:rPr>
                <w:rFonts w:ascii="Arial" w:hAnsi="Arial" w:cs="Arial"/>
              </w:rPr>
              <w:t>23.2%</w:t>
            </w:r>
          </w:p>
        </w:tc>
      </w:tr>
      <w:tr w:rsidR="00DA7E40" w:rsidRPr="00D800F0" w14:paraId="046F52F7" w14:textId="77777777" w:rsidTr="0000614D">
        <w:tc>
          <w:tcPr>
            <w:tcW w:w="1870" w:type="dxa"/>
            <w:tcBorders>
              <w:bottom w:val="single" w:sz="4" w:space="0" w:color="auto"/>
            </w:tcBorders>
          </w:tcPr>
          <w:p w14:paraId="315DF573" w14:textId="77777777" w:rsidR="00DA7E40" w:rsidRPr="00D800F0" w:rsidRDefault="00DA7E40" w:rsidP="0000614D">
            <w:pPr>
              <w:rPr>
                <w:rFonts w:ascii="Arial" w:hAnsi="Arial" w:cs="Arial"/>
              </w:rPr>
            </w:pPr>
            <w:r w:rsidRPr="00D800F0">
              <w:rPr>
                <w:rFonts w:ascii="Arial" w:hAnsi="Arial" w:cs="Arial"/>
              </w:rPr>
              <w:t>Verdigris</w:t>
            </w:r>
          </w:p>
        </w:tc>
        <w:tc>
          <w:tcPr>
            <w:tcW w:w="1870" w:type="dxa"/>
            <w:tcBorders>
              <w:bottom w:val="single" w:sz="4" w:space="0" w:color="auto"/>
            </w:tcBorders>
            <w:vAlign w:val="center"/>
          </w:tcPr>
          <w:p w14:paraId="7C9E09E0" w14:textId="77777777" w:rsidR="00DA7E40" w:rsidRPr="00D800F0" w:rsidRDefault="00DA7E40" w:rsidP="0000614D">
            <w:pPr>
              <w:rPr>
                <w:rFonts w:ascii="Arial" w:hAnsi="Arial" w:cs="Arial"/>
              </w:rPr>
            </w:pPr>
            <w:r w:rsidRPr="00D800F0">
              <w:rPr>
                <w:rFonts w:ascii="Arial" w:hAnsi="Arial" w:cs="Arial"/>
              </w:rPr>
              <w:t>38.7%</w:t>
            </w:r>
          </w:p>
        </w:tc>
        <w:tc>
          <w:tcPr>
            <w:tcW w:w="1870" w:type="dxa"/>
            <w:tcBorders>
              <w:bottom w:val="single" w:sz="4" w:space="0" w:color="auto"/>
            </w:tcBorders>
            <w:vAlign w:val="center"/>
          </w:tcPr>
          <w:p w14:paraId="55EDD30E" w14:textId="77777777" w:rsidR="00DA7E40" w:rsidRPr="00D800F0" w:rsidRDefault="00DA7E40" w:rsidP="0000614D">
            <w:pPr>
              <w:rPr>
                <w:rFonts w:ascii="Arial" w:hAnsi="Arial" w:cs="Arial"/>
              </w:rPr>
            </w:pPr>
            <w:r w:rsidRPr="00D800F0">
              <w:rPr>
                <w:rFonts w:ascii="Arial" w:hAnsi="Arial" w:cs="Arial"/>
              </w:rPr>
              <w:t>0.0%</w:t>
            </w:r>
          </w:p>
        </w:tc>
        <w:tc>
          <w:tcPr>
            <w:tcW w:w="1870" w:type="dxa"/>
            <w:tcBorders>
              <w:bottom w:val="single" w:sz="4" w:space="0" w:color="auto"/>
            </w:tcBorders>
            <w:vAlign w:val="center"/>
          </w:tcPr>
          <w:p w14:paraId="1FC6A385" w14:textId="77777777" w:rsidR="00DA7E40" w:rsidRPr="00D800F0" w:rsidRDefault="00DA7E40" w:rsidP="0000614D">
            <w:pPr>
              <w:rPr>
                <w:rFonts w:ascii="Arial" w:hAnsi="Arial" w:cs="Arial"/>
              </w:rPr>
            </w:pPr>
            <w:r w:rsidRPr="00D800F0">
              <w:rPr>
                <w:rFonts w:ascii="Arial" w:hAnsi="Arial" w:cs="Arial"/>
              </w:rPr>
              <w:t>96.4%</w:t>
            </w:r>
          </w:p>
        </w:tc>
        <w:tc>
          <w:tcPr>
            <w:tcW w:w="1870" w:type="dxa"/>
            <w:tcBorders>
              <w:bottom w:val="single" w:sz="4" w:space="0" w:color="auto"/>
            </w:tcBorders>
            <w:vAlign w:val="center"/>
          </w:tcPr>
          <w:p w14:paraId="227BDA38" w14:textId="77777777" w:rsidR="00DA7E40" w:rsidRPr="00D800F0" w:rsidRDefault="00DA7E40" w:rsidP="0000614D">
            <w:pPr>
              <w:rPr>
                <w:rFonts w:ascii="Arial" w:hAnsi="Arial" w:cs="Arial"/>
              </w:rPr>
            </w:pPr>
            <w:r w:rsidRPr="00D800F0">
              <w:rPr>
                <w:rFonts w:ascii="Arial" w:hAnsi="Arial" w:cs="Arial"/>
              </w:rPr>
              <w:t>28.8%</w:t>
            </w:r>
          </w:p>
        </w:tc>
      </w:tr>
    </w:tbl>
    <w:p w14:paraId="3DCE7F2F" w14:textId="77777777" w:rsidR="00DA7E40" w:rsidRPr="00D800F0" w:rsidRDefault="00DA7E40" w:rsidP="00DA7E40">
      <w:pPr>
        <w:rPr>
          <w:rFonts w:ascii="Arial" w:hAnsi="Arial" w:cs="Arial"/>
        </w:rPr>
      </w:pPr>
    </w:p>
    <w:p w14:paraId="35F2036B" w14:textId="63B9C68C" w:rsidR="00DA7E40" w:rsidRPr="00D800F0" w:rsidRDefault="00DA7E40" w:rsidP="00DA7E40">
      <w:pPr>
        <w:ind w:firstLine="720"/>
        <w:rPr>
          <w:rFonts w:ascii="Arial" w:hAnsi="Arial" w:cs="Arial"/>
        </w:rPr>
      </w:pPr>
      <w:r w:rsidRPr="00D800F0">
        <w:rPr>
          <w:rFonts w:ascii="Arial" w:hAnsi="Arial" w:cs="Arial"/>
        </w:rPr>
        <w:t xml:space="preserve">Constant electricity demand, </w:t>
      </w:r>
      <m:oMath>
        <m:r>
          <m:rPr>
            <m:sty m:val="bi"/>
          </m:rPr>
          <w:rPr>
            <w:rFonts w:ascii="Cambria Math" w:hAnsi="Cambria Math" w:cs="Arial"/>
          </w:rPr>
          <m:t>D</m:t>
        </m:r>
      </m:oMath>
      <w:r w:rsidRPr="00D800F0">
        <w:rPr>
          <w:rFonts w:ascii="Arial" w:hAnsi="Arial" w:cs="Arial"/>
        </w:rPr>
        <w:t xml:space="preserve">, is outlined below in </w:t>
      </w:r>
      <w:r w:rsidRPr="00D800F0">
        <w:rPr>
          <w:rFonts w:ascii="Arial" w:hAnsi="Arial" w:cs="Arial"/>
        </w:rPr>
        <w:fldChar w:fldCharType="begin"/>
      </w:r>
      <w:r w:rsidRPr="00D800F0">
        <w:rPr>
          <w:rFonts w:ascii="Arial" w:hAnsi="Arial" w:cs="Arial"/>
        </w:rPr>
        <w:instrText xml:space="preserve"> REF _Ref146354213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Table </w:t>
      </w:r>
      <w:r w:rsidRPr="00D800F0">
        <w:rPr>
          <w:rFonts w:ascii="Arial" w:hAnsi="Arial" w:cs="Arial"/>
          <w:noProof/>
        </w:rPr>
        <w:t>D</w:t>
      </w:r>
      <w:r w:rsidRPr="00D800F0">
        <w:rPr>
          <w:rFonts w:ascii="Arial" w:hAnsi="Arial" w:cs="Arial"/>
        </w:rPr>
        <w:noBreakHyphen/>
      </w:r>
      <w:r w:rsidRPr="00D800F0">
        <w:rPr>
          <w:rFonts w:ascii="Arial" w:hAnsi="Arial" w:cs="Arial"/>
          <w:noProof/>
        </w:rPr>
        <w:t>4</w:t>
      </w:r>
      <w:r w:rsidRPr="00D800F0">
        <w:rPr>
          <w:rFonts w:ascii="Arial" w:hAnsi="Arial" w:cs="Arial"/>
        </w:rPr>
        <w:fldChar w:fldCharType="end"/>
      </w:r>
      <w:r w:rsidRPr="00D800F0">
        <w:rPr>
          <w:rFonts w:ascii="Arial" w:hAnsi="Arial" w:cs="Arial"/>
        </w:rPr>
        <w:t>.</w:t>
      </w:r>
    </w:p>
    <w:p w14:paraId="2079F571" w14:textId="77777777" w:rsidR="00DA7E40" w:rsidRPr="00D800F0" w:rsidRDefault="00DA7E40" w:rsidP="00DA7E40">
      <w:pPr>
        <w:pStyle w:val="Caption"/>
        <w:rPr>
          <w:rFonts w:ascii="Arial" w:hAnsi="Arial" w:cs="Arial"/>
        </w:rPr>
      </w:pPr>
      <w:bookmarkStart w:id="64" w:name="_Ref146354213"/>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4</w:t>
      </w:r>
      <w:r w:rsidRPr="00D800F0">
        <w:rPr>
          <w:rFonts w:ascii="Arial" w:hAnsi="Arial" w:cs="Arial"/>
          <w:noProof/>
        </w:rPr>
        <w:fldChar w:fldCharType="end"/>
      </w:r>
      <w:bookmarkEnd w:id="64"/>
      <w:r w:rsidRPr="00D800F0">
        <w:rPr>
          <w:rFonts w:ascii="Arial" w:hAnsi="Arial" w:cs="Arial"/>
        </w:rPr>
        <w:t xml:space="preserve">: Constant electricity demand of each technology. </w:t>
      </w:r>
    </w:p>
    <w:tbl>
      <w:tblPr>
        <w:tblW w:w="5000" w:type="pct"/>
        <w:tblLook w:val="04A0" w:firstRow="1" w:lastRow="0" w:firstColumn="1" w:lastColumn="0" w:noHBand="0" w:noVBand="1"/>
      </w:tblPr>
      <w:tblGrid>
        <w:gridCol w:w="1450"/>
        <w:gridCol w:w="1199"/>
        <w:gridCol w:w="1198"/>
        <w:gridCol w:w="1198"/>
        <w:gridCol w:w="1245"/>
        <w:gridCol w:w="1572"/>
        <w:gridCol w:w="1498"/>
      </w:tblGrid>
      <w:tr w:rsidR="00DA7E40" w:rsidRPr="00D800F0" w14:paraId="55F507B9" w14:textId="77777777" w:rsidTr="0000614D">
        <w:trPr>
          <w:trHeight w:val="300"/>
        </w:trPr>
        <w:tc>
          <w:tcPr>
            <w:tcW w:w="774" w:type="pct"/>
            <w:tcBorders>
              <w:top w:val="single" w:sz="4" w:space="0" w:color="auto"/>
              <w:left w:val="nil"/>
              <w:bottom w:val="single" w:sz="4" w:space="0" w:color="auto"/>
              <w:right w:val="nil"/>
            </w:tcBorders>
            <w:shd w:val="clear" w:color="auto" w:fill="auto"/>
            <w:noWrap/>
            <w:vAlign w:val="bottom"/>
            <w:hideMark/>
          </w:tcPr>
          <w:p w14:paraId="01C9B42A" w14:textId="77777777" w:rsidR="00DA7E40" w:rsidRPr="00D800F0" w:rsidRDefault="00DA7E40" w:rsidP="0000614D">
            <w:pPr>
              <w:spacing w:after="0" w:line="240" w:lineRule="auto"/>
              <w:rPr>
                <w:rFonts w:ascii="Arial" w:eastAsia="Times New Roman" w:hAnsi="Arial" w:cs="Arial"/>
                <w:sz w:val="24"/>
                <w:szCs w:val="24"/>
              </w:rPr>
            </w:pPr>
          </w:p>
          <w:p w14:paraId="32116701" w14:textId="77777777" w:rsidR="00DA7E40" w:rsidRPr="00D800F0" w:rsidRDefault="00DA7E40" w:rsidP="0000614D">
            <w:pPr>
              <w:spacing w:after="0" w:line="240" w:lineRule="auto"/>
              <w:rPr>
                <w:rFonts w:ascii="Arial" w:eastAsia="Times New Roman" w:hAnsi="Arial" w:cs="Arial"/>
                <w:sz w:val="24"/>
                <w:szCs w:val="24"/>
              </w:rPr>
            </w:pPr>
          </w:p>
        </w:tc>
        <w:tc>
          <w:tcPr>
            <w:tcW w:w="640" w:type="pct"/>
            <w:tcBorders>
              <w:top w:val="single" w:sz="4" w:space="0" w:color="auto"/>
              <w:left w:val="nil"/>
              <w:bottom w:val="single" w:sz="4" w:space="0" w:color="auto"/>
              <w:right w:val="nil"/>
            </w:tcBorders>
            <w:shd w:val="clear" w:color="auto" w:fill="auto"/>
            <w:noWrap/>
            <w:vAlign w:val="bottom"/>
            <w:hideMark/>
          </w:tcPr>
          <w:p w14:paraId="60A97099" w14:textId="77777777" w:rsidR="00DA7E40" w:rsidRPr="00D800F0" w:rsidRDefault="00DA7E40" w:rsidP="0000614D">
            <w:pPr>
              <w:spacing w:after="0" w:line="240" w:lineRule="auto"/>
              <w:rPr>
                <w:rFonts w:ascii="Arial" w:eastAsia="Times New Roman" w:hAnsi="Arial" w:cs="Arial"/>
                <w:i/>
                <w:iCs/>
                <w:color w:val="000000"/>
              </w:rPr>
            </w:pPr>
            <w:r w:rsidRPr="00D800F0">
              <w:rPr>
                <w:rFonts w:ascii="Arial" w:eastAsia="Times New Roman" w:hAnsi="Arial" w:cs="Arial"/>
                <w:i/>
                <w:iCs/>
                <w:color w:val="000000"/>
              </w:rPr>
              <w:t>Low</w:t>
            </w:r>
          </w:p>
        </w:tc>
        <w:tc>
          <w:tcPr>
            <w:tcW w:w="640" w:type="pct"/>
            <w:tcBorders>
              <w:top w:val="single" w:sz="4" w:space="0" w:color="auto"/>
              <w:left w:val="nil"/>
              <w:bottom w:val="single" w:sz="4" w:space="0" w:color="auto"/>
              <w:right w:val="nil"/>
            </w:tcBorders>
            <w:shd w:val="clear" w:color="auto" w:fill="auto"/>
            <w:noWrap/>
            <w:vAlign w:val="bottom"/>
            <w:hideMark/>
          </w:tcPr>
          <w:p w14:paraId="5F518941" w14:textId="77777777" w:rsidR="00DA7E40" w:rsidRPr="00D800F0" w:rsidRDefault="00DA7E40" w:rsidP="0000614D">
            <w:pPr>
              <w:spacing w:after="0" w:line="240" w:lineRule="auto"/>
              <w:rPr>
                <w:rFonts w:ascii="Arial" w:eastAsia="Times New Roman" w:hAnsi="Arial" w:cs="Arial"/>
                <w:i/>
                <w:iCs/>
                <w:color w:val="000000"/>
              </w:rPr>
            </w:pPr>
            <w:r w:rsidRPr="00D800F0">
              <w:rPr>
                <w:rFonts w:ascii="Arial" w:eastAsia="Times New Roman" w:hAnsi="Arial" w:cs="Arial"/>
                <w:i/>
                <w:iCs/>
                <w:color w:val="000000"/>
              </w:rPr>
              <w:t>High</w:t>
            </w:r>
          </w:p>
        </w:tc>
        <w:tc>
          <w:tcPr>
            <w:tcW w:w="640" w:type="pct"/>
            <w:tcBorders>
              <w:top w:val="single" w:sz="4" w:space="0" w:color="auto"/>
              <w:left w:val="nil"/>
              <w:bottom w:val="single" w:sz="4" w:space="0" w:color="auto"/>
              <w:right w:val="nil"/>
            </w:tcBorders>
            <w:shd w:val="clear" w:color="auto" w:fill="auto"/>
            <w:noWrap/>
            <w:vAlign w:val="bottom"/>
            <w:hideMark/>
          </w:tcPr>
          <w:p w14:paraId="560B5D20" w14:textId="77777777" w:rsidR="00DA7E40" w:rsidRPr="00D800F0" w:rsidRDefault="00DA7E40" w:rsidP="0000614D">
            <w:pPr>
              <w:spacing w:after="0" w:line="240" w:lineRule="auto"/>
              <w:rPr>
                <w:rFonts w:ascii="Arial" w:eastAsia="Times New Roman" w:hAnsi="Arial" w:cs="Arial"/>
                <w:i/>
                <w:iCs/>
                <w:color w:val="000000"/>
              </w:rPr>
            </w:pPr>
            <w:r w:rsidRPr="00D800F0">
              <w:rPr>
                <w:rFonts w:ascii="Arial" w:eastAsia="Times New Roman" w:hAnsi="Arial" w:cs="Arial"/>
                <w:i/>
                <w:iCs/>
                <w:color w:val="000000"/>
              </w:rPr>
              <w:t>Units</w:t>
            </w:r>
          </w:p>
        </w:tc>
        <w:tc>
          <w:tcPr>
            <w:tcW w:w="665" w:type="pct"/>
            <w:tcBorders>
              <w:top w:val="single" w:sz="4" w:space="0" w:color="auto"/>
              <w:left w:val="nil"/>
              <w:bottom w:val="single" w:sz="4" w:space="0" w:color="auto"/>
              <w:right w:val="nil"/>
            </w:tcBorders>
            <w:shd w:val="clear" w:color="auto" w:fill="auto"/>
            <w:noWrap/>
            <w:vAlign w:val="bottom"/>
            <w:hideMark/>
          </w:tcPr>
          <w:p w14:paraId="0D007EA7" w14:textId="77777777" w:rsidR="00DA7E40" w:rsidRPr="00D800F0" w:rsidRDefault="00DA7E40" w:rsidP="0000614D">
            <w:pPr>
              <w:spacing w:after="0" w:line="240" w:lineRule="auto"/>
              <w:rPr>
                <w:rFonts w:ascii="Arial" w:eastAsia="Times New Roman" w:hAnsi="Arial" w:cs="Arial"/>
                <w:i/>
                <w:iCs/>
                <w:color w:val="000000"/>
              </w:rPr>
            </w:pPr>
            <w:r w:rsidRPr="00D800F0">
              <w:rPr>
                <w:rFonts w:ascii="Arial" w:eastAsia="Times New Roman" w:hAnsi="Arial" w:cs="Arial"/>
                <w:i/>
                <w:iCs/>
                <w:color w:val="000000"/>
              </w:rPr>
              <w:t>Low</w:t>
            </w:r>
          </w:p>
        </w:tc>
        <w:tc>
          <w:tcPr>
            <w:tcW w:w="840" w:type="pct"/>
            <w:tcBorders>
              <w:top w:val="single" w:sz="4" w:space="0" w:color="auto"/>
              <w:left w:val="nil"/>
              <w:bottom w:val="single" w:sz="4" w:space="0" w:color="auto"/>
              <w:right w:val="nil"/>
            </w:tcBorders>
            <w:shd w:val="clear" w:color="auto" w:fill="auto"/>
            <w:noWrap/>
            <w:vAlign w:val="bottom"/>
            <w:hideMark/>
          </w:tcPr>
          <w:p w14:paraId="670780F7" w14:textId="77777777" w:rsidR="00DA7E40" w:rsidRPr="00D800F0" w:rsidRDefault="00DA7E40" w:rsidP="0000614D">
            <w:pPr>
              <w:spacing w:after="0" w:line="240" w:lineRule="auto"/>
              <w:rPr>
                <w:rFonts w:ascii="Arial" w:eastAsia="Times New Roman" w:hAnsi="Arial" w:cs="Arial"/>
                <w:i/>
                <w:iCs/>
                <w:color w:val="000000"/>
              </w:rPr>
            </w:pPr>
            <w:r w:rsidRPr="00D800F0">
              <w:rPr>
                <w:rFonts w:ascii="Arial" w:eastAsia="Times New Roman" w:hAnsi="Arial" w:cs="Arial"/>
                <w:i/>
                <w:iCs/>
                <w:color w:val="000000"/>
              </w:rPr>
              <w:t>High</w:t>
            </w:r>
          </w:p>
        </w:tc>
        <w:tc>
          <w:tcPr>
            <w:tcW w:w="800" w:type="pct"/>
            <w:tcBorders>
              <w:top w:val="single" w:sz="4" w:space="0" w:color="auto"/>
              <w:left w:val="nil"/>
              <w:bottom w:val="single" w:sz="4" w:space="0" w:color="auto"/>
              <w:right w:val="nil"/>
            </w:tcBorders>
            <w:shd w:val="clear" w:color="auto" w:fill="auto"/>
            <w:noWrap/>
            <w:vAlign w:val="bottom"/>
            <w:hideMark/>
          </w:tcPr>
          <w:p w14:paraId="25EB7BB1" w14:textId="77777777" w:rsidR="00DA7E40" w:rsidRPr="00D800F0" w:rsidRDefault="00DA7E40" w:rsidP="0000614D">
            <w:pPr>
              <w:spacing w:after="0" w:line="240" w:lineRule="auto"/>
              <w:rPr>
                <w:rFonts w:ascii="Arial" w:eastAsia="Times New Roman" w:hAnsi="Arial" w:cs="Arial"/>
                <w:i/>
                <w:iCs/>
                <w:color w:val="000000"/>
              </w:rPr>
            </w:pPr>
            <w:r w:rsidRPr="00D800F0">
              <w:rPr>
                <w:rFonts w:ascii="Arial" w:eastAsia="Times New Roman" w:hAnsi="Arial" w:cs="Arial"/>
                <w:i/>
                <w:iCs/>
                <w:color w:val="000000"/>
              </w:rPr>
              <w:t>Units</w:t>
            </w:r>
          </w:p>
        </w:tc>
      </w:tr>
      <w:tr w:rsidR="00DA7E40" w:rsidRPr="00D800F0" w14:paraId="7586CC14" w14:textId="77777777" w:rsidTr="0000614D">
        <w:trPr>
          <w:trHeight w:val="300"/>
        </w:trPr>
        <w:tc>
          <w:tcPr>
            <w:tcW w:w="774" w:type="pct"/>
            <w:tcBorders>
              <w:top w:val="single" w:sz="4" w:space="0" w:color="auto"/>
              <w:left w:val="nil"/>
              <w:bottom w:val="nil"/>
              <w:right w:val="nil"/>
            </w:tcBorders>
            <w:shd w:val="clear" w:color="auto" w:fill="auto"/>
            <w:noWrap/>
            <w:vAlign w:val="bottom"/>
            <w:hideMark/>
          </w:tcPr>
          <w:p w14:paraId="3436168E"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 xml:space="preserve">AP CCS, </w:t>
            </w:r>
            <m:oMath>
              <m:r>
                <m:rPr>
                  <m:sty m:val="bi"/>
                </m:rPr>
                <w:rPr>
                  <w:rFonts w:ascii="Cambria Math" w:hAnsi="Cambria Math" w:cs="Arial"/>
                </w:rPr>
                <m:t>D</m:t>
              </m:r>
            </m:oMath>
          </w:p>
        </w:tc>
        <w:tc>
          <w:tcPr>
            <w:tcW w:w="640" w:type="pct"/>
            <w:tcBorders>
              <w:top w:val="single" w:sz="4" w:space="0" w:color="auto"/>
              <w:left w:val="nil"/>
              <w:bottom w:val="nil"/>
              <w:right w:val="nil"/>
            </w:tcBorders>
            <w:shd w:val="clear" w:color="auto" w:fill="auto"/>
            <w:noWrap/>
            <w:vAlign w:val="bottom"/>
            <w:hideMark/>
          </w:tcPr>
          <w:p w14:paraId="1A0C10F7"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117</w:t>
            </w:r>
          </w:p>
        </w:tc>
        <w:tc>
          <w:tcPr>
            <w:tcW w:w="640" w:type="pct"/>
            <w:tcBorders>
              <w:top w:val="single" w:sz="4" w:space="0" w:color="auto"/>
              <w:left w:val="nil"/>
              <w:bottom w:val="nil"/>
              <w:right w:val="nil"/>
            </w:tcBorders>
            <w:shd w:val="clear" w:color="auto" w:fill="auto"/>
            <w:noWrap/>
            <w:vAlign w:val="bottom"/>
            <w:hideMark/>
          </w:tcPr>
          <w:p w14:paraId="5BF3A33A" w14:textId="77777777" w:rsidR="00DA7E40" w:rsidRPr="00D800F0" w:rsidRDefault="00DA7E40" w:rsidP="0000614D">
            <w:pPr>
              <w:spacing w:after="0" w:line="240" w:lineRule="auto"/>
              <w:rPr>
                <w:rFonts w:ascii="Arial" w:eastAsia="Times New Roman" w:hAnsi="Arial" w:cs="Arial"/>
                <w:color w:val="000000"/>
              </w:rPr>
            </w:pPr>
          </w:p>
        </w:tc>
        <w:tc>
          <w:tcPr>
            <w:tcW w:w="640" w:type="pct"/>
            <w:tcBorders>
              <w:top w:val="single" w:sz="4" w:space="0" w:color="auto"/>
              <w:left w:val="nil"/>
              <w:bottom w:val="nil"/>
              <w:right w:val="nil"/>
            </w:tcBorders>
            <w:shd w:val="clear" w:color="auto" w:fill="auto"/>
            <w:noWrap/>
            <w:vAlign w:val="bottom"/>
            <w:hideMark/>
          </w:tcPr>
          <w:p w14:paraId="2CC9DD8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MW</w:t>
            </w:r>
          </w:p>
        </w:tc>
        <w:tc>
          <w:tcPr>
            <w:tcW w:w="665" w:type="pct"/>
            <w:tcBorders>
              <w:top w:val="single" w:sz="4" w:space="0" w:color="auto"/>
              <w:left w:val="nil"/>
              <w:bottom w:val="nil"/>
              <w:right w:val="nil"/>
            </w:tcBorders>
            <w:shd w:val="clear" w:color="auto" w:fill="auto"/>
            <w:noWrap/>
            <w:vAlign w:val="bottom"/>
            <w:hideMark/>
          </w:tcPr>
          <w:p w14:paraId="57458998"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922428</w:t>
            </w:r>
          </w:p>
        </w:tc>
        <w:tc>
          <w:tcPr>
            <w:tcW w:w="840" w:type="pct"/>
            <w:tcBorders>
              <w:top w:val="single" w:sz="4" w:space="0" w:color="auto"/>
              <w:left w:val="nil"/>
              <w:bottom w:val="nil"/>
              <w:right w:val="nil"/>
            </w:tcBorders>
            <w:shd w:val="clear" w:color="auto" w:fill="auto"/>
            <w:noWrap/>
            <w:vAlign w:val="bottom"/>
            <w:hideMark/>
          </w:tcPr>
          <w:p w14:paraId="21BC7379" w14:textId="77777777" w:rsidR="00DA7E40" w:rsidRPr="00D800F0" w:rsidRDefault="00DA7E40" w:rsidP="0000614D">
            <w:pPr>
              <w:spacing w:after="0" w:line="240" w:lineRule="auto"/>
              <w:rPr>
                <w:rFonts w:ascii="Arial" w:eastAsia="Times New Roman" w:hAnsi="Arial" w:cs="Arial"/>
                <w:color w:val="000000"/>
              </w:rPr>
            </w:pPr>
          </w:p>
        </w:tc>
        <w:tc>
          <w:tcPr>
            <w:tcW w:w="800" w:type="pct"/>
            <w:tcBorders>
              <w:top w:val="single" w:sz="4" w:space="0" w:color="auto"/>
              <w:left w:val="nil"/>
              <w:bottom w:val="nil"/>
              <w:right w:val="nil"/>
            </w:tcBorders>
            <w:shd w:val="clear" w:color="auto" w:fill="auto"/>
            <w:noWrap/>
            <w:vAlign w:val="bottom"/>
            <w:hideMark/>
          </w:tcPr>
          <w:p w14:paraId="55A6A7F9"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MWh/year</w:t>
            </w:r>
          </w:p>
        </w:tc>
      </w:tr>
      <w:tr w:rsidR="00DA7E40" w:rsidRPr="00D800F0" w14:paraId="411FD89D" w14:textId="77777777" w:rsidTr="0000614D">
        <w:trPr>
          <w:trHeight w:val="300"/>
        </w:trPr>
        <w:tc>
          <w:tcPr>
            <w:tcW w:w="774" w:type="pct"/>
            <w:tcBorders>
              <w:top w:val="nil"/>
              <w:left w:val="nil"/>
              <w:bottom w:val="nil"/>
              <w:right w:val="nil"/>
            </w:tcBorders>
            <w:shd w:val="clear" w:color="auto" w:fill="auto"/>
            <w:noWrap/>
            <w:vAlign w:val="bottom"/>
            <w:hideMark/>
          </w:tcPr>
          <w:p w14:paraId="4F500630"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 xml:space="preserve">AP BH2S, </w:t>
            </w:r>
            <m:oMath>
              <m:r>
                <m:rPr>
                  <m:sty m:val="bi"/>
                </m:rPr>
                <w:rPr>
                  <w:rFonts w:ascii="Cambria Math" w:hAnsi="Cambria Math" w:cs="Arial"/>
                </w:rPr>
                <m:t>D</m:t>
              </m:r>
            </m:oMath>
          </w:p>
        </w:tc>
        <w:tc>
          <w:tcPr>
            <w:tcW w:w="640" w:type="pct"/>
            <w:tcBorders>
              <w:top w:val="nil"/>
              <w:left w:val="nil"/>
              <w:bottom w:val="nil"/>
              <w:right w:val="nil"/>
            </w:tcBorders>
            <w:shd w:val="clear" w:color="auto" w:fill="auto"/>
            <w:noWrap/>
            <w:vAlign w:val="bottom"/>
            <w:hideMark/>
          </w:tcPr>
          <w:p w14:paraId="4C0A4112"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127</w:t>
            </w:r>
          </w:p>
        </w:tc>
        <w:tc>
          <w:tcPr>
            <w:tcW w:w="640" w:type="pct"/>
            <w:tcBorders>
              <w:top w:val="nil"/>
              <w:left w:val="nil"/>
              <w:bottom w:val="nil"/>
              <w:right w:val="nil"/>
            </w:tcBorders>
            <w:shd w:val="clear" w:color="auto" w:fill="auto"/>
            <w:noWrap/>
            <w:vAlign w:val="bottom"/>
            <w:hideMark/>
          </w:tcPr>
          <w:p w14:paraId="406F1D04" w14:textId="77777777" w:rsidR="00DA7E40" w:rsidRPr="00D800F0" w:rsidRDefault="00DA7E40" w:rsidP="0000614D">
            <w:pPr>
              <w:spacing w:after="0" w:line="240" w:lineRule="auto"/>
              <w:rPr>
                <w:rFonts w:ascii="Arial" w:eastAsia="Times New Roman" w:hAnsi="Arial" w:cs="Arial"/>
                <w:color w:val="000000"/>
              </w:rPr>
            </w:pPr>
          </w:p>
        </w:tc>
        <w:tc>
          <w:tcPr>
            <w:tcW w:w="640" w:type="pct"/>
            <w:tcBorders>
              <w:top w:val="nil"/>
              <w:left w:val="nil"/>
              <w:bottom w:val="nil"/>
              <w:right w:val="nil"/>
            </w:tcBorders>
            <w:shd w:val="clear" w:color="auto" w:fill="auto"/>
            <w:noWrap/>
            <w:vAlign w:val="bottom"/>
            <w:hideMark/>
          </w:tcPr>
          <w:p w14:paraId="01B8F54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MW</w:t>
            </w:r>
          </w:p>
        </w:tc>
        <w:tc>
          <w:tcPr>
            <w:tcW w:w="665" w:type="pct"/>
            <w:tcBorders>
              <w:top w:val="nil"/>
              <w:left w:val="nil"/>
              <w:bottom w:val="nil"/>
              <w:right w:val="nil"/>
            </w:tcBorders>
            <w:shd w:val="clear" w:color="auto" w:fill="auto"/>
            <w:noWrap/>
            <w:vAlign w:val="bottom"/>
            <w:hideMark/>
          </w:tcPr>
          <w:p w14:paraId="2FA5671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1001268</w:t>
            </w:r>
          </w:p>
        </w:tc>
        <w:tc>
          <w:tcPr>
            <w:tcW w:w="840" w:type="pct"/>
            <w:tcBorders>
              <w:top w:val="nil"/>
              <w:left w:val="nil"/>
              <w:bottom w:val="nil"/>
              <w:right w:val="nil"/>
            </w:tcBorders>
            <w:shd w:val="clear" w:color="auto" w:fill="auto"/>
            <w:noWrap/>
            <w:vAlign w:val="bottom"/>
            <w:hideMark/>
          </w:tcPr>
          <w:p w14:paraId="7770210A" w14:textId="77777777" w:rsidR="00DA7E40" w:rsidRPr="00D800F0" w:rsidRDefault="00DA7E40" w:rsidP="0000614D">
            <w:pPr>
              <w:spacing w:after="0" w:line="240" w:lineRule="auto"/>
              <w:rPr>
                <w:rFonts w:ascii="Arial" w:eastAsia="Times New Roman" w:hAnsi="Arial" w:cs="Arial"/>
                <w:color w:val="000000"/>
              </w:rPr>
            </w:pPr>
          </w:p>
        </w:tc>
        <w:tc>
          <w:tcPr>
            <w:tcW w:w="800" w:type="pct"/>
            <w:tcBorders>
              <w:top w:val="nil"/>
              <w:left w:val="nil"/>
              <w:bottom w:val="nil"/>
              <w:right w:val="nil"/>
            </w:tcBorders>
            <w:shd w:val="clear" w:color="auto" w:fill="auto"/>
            <w:noWrap/>
            <w:vAlign w:val="bottom"/>
            <w:hideMark/>
          </w:tcPr>
          <w:p w14:paraId="23B0650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MWh/year</w:t>
            </w:r>
          </w:p>
        </w:tc>
      </w:tr>
      <w:tr w:rsidR="00DA7E40" w:rsidRPr="00D800F0" w14:paraId="5ED782B1" w14:textId="77777777" w:rsidTr="0000614D">
        <w:trPr>
          <w:trHeight w:val="300"/>
        </w:trPr>
        <w:tc>
          <w:tcPr>
            <w:tcW w:w="774" w:type="pct"/>
            <w:tcBorders>
              <w:top w:val="nil"/>
              <w:left w:val="nil"/>
              <w:bottom w:val="single" w:sz="4" w:space="0" w:color="auto"/>
              <w:right w:val="nil"/>
            </w:tcBorders>
            <w:shd w:val="clear" w:color="auto" w:fill="auto"/>
            <w:noWrap/>
            <w:vAlign w:val="bottom"/>
            <w:hideMark/>
          </w:tcPr>
          <w:p w14:paraId="7DC5E589"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 xml:space="preserve">AP AEC, </w:t>
            </w:r>
            <m:oMath>
              <m:r>
                <m:rPr>
                  <m:sty m:val="bi"/>
                </m:rPr>
                <w:rPr>
                  <w:rFonts w:ascii="Cambria Math" w:hAnsi="Cambria Math" w:cs="Arial"/>
                </w:rPr>
                <m:t>D</m:t>
              </m:r>
            </m:oMath>
          </w:p>
        </w:tc>
        <w:tc>
          <w:tcPr>
            <w:tcW w:w="640" w:type="pct"/>
            <w:tcBorders>
              <w:top w:val="nil"/>
              <w:left w:val="nil"/>
              <w:bottom w:val="single" w:sz="4" w:space="0" w:color="auto"/>
              <w:right w:val="nil"/>
            </w:tcBorders>
            <w:shd w:val="clear" w:color="auto" w:fill="auto"/>
            <w:noWrap/>
            <w:vAlign w:val="bottom"/>
            <w:hideMark/>
          </w:tcPr>
          <w:p w14:paraId="2C03A53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1007</w:t>
            </w:r>
          </w:p>
        </w:tc>
        <w:tc>
          <w:tcPr>
            <w:tcW w:w="640" w:type="pct"/>
            <w:tcBorders>
              <w:top w:val="nil"/>
              <w:left w:val="nil"/>
              <w:bottom w:val="single" w:sz="4" w:space="0" w:color="auto"/>
              <w:right w:val="nil"/>
            </w:tcBorders>
            <w:shd w:val="clear" w:color="auto" w:fill="auto"/>
            <w:noWrap/>
            <w:vAlign w:val="bottom"/>
            <w:hideMark/>
          </w:tcPr>
          <w:p w14:paraId="22E51C59"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913</w:t>
            </w:r>
          </w:p>
        </w:tc>
        <w:tc>
          <w:tcPr>
            <w:tcW w:w="640" w:type="pct"/>
            <w:tcBorders>
              <w:top w:val="nil"/>
              <w:left w:val="nil"/>
              <w:bottom w:val="single" w:sz="4" w:space="0" w:color="auto"/>
              <w:right w:val="nil"/>
            </w:tcBorders>
            <w:shd w:val="clear" w:color="auto" w:fill="auto"/>
            <w:noWrap/>
            <w:vAlign w:val="bottom"/>
            <w:hideMark/>
          </w:tcPr>
          <w:p w14:paraId="4A7D4A1D"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MW</w:t>
            </w:r>
          </w:p>
        </w:tc>
        <w:tc>
          <w:tcPr>
            <w:tcW w:w="665" w:type="pct"/>
            <w:tcBorders>
              <w:top w:val="nil"/>
              <w:left w:val="nil"/>
              <w:bottom w:val="single" w:sz="4" w:space="0" w:color="auto"/>
              <w:right w:val="nil"/>
            </w:tcBorders>
            <w:shd w:val="clear" w:color="auto" w:fill="auto"/>
            <w:noWrap/>
            <w:vAlign w:val="bottom"/>
            <w:hideMark/>
          </w:tcPr>
          <w:p w14:paraId="439114D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7939188</w:t>
            </w:r>
          </w:p>
        </w:tc>
        <w:tc>
          <w:tcPr>
            <w:tcW w:w="840" w:type="pct"/>
            <w:tcBorders>
              <w:top w:val="nil"/>
              <w:left w:val="nil"/>
              <w:bottom w:val="single" w:sz="4" w:space="0" w:color="auto"/>
              <w:right w:val="nil"/>
            </w:tcBorders>
            <w:shd w:val="clear" w:color="auto" w:fill="auto"/>
            <w:noWrap/>
            <w:vAlign w:val="bottom"/>
            <w:hideMark/>
          </w:tcPr>
          <w:p w14:paraId="2FD8B7C6"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7198092</w:t>
            </w:r>
          </w:p>
        </w:tc>
        <w:tc>
          <w:tcPr>
            <w:tcW w:w="800" w:type="pct"/>
            <w:tcBorders>
              <w:top w:val="nil"/>
              <w:left w:val="nil"/>
              <w:bottom w:val="single" w:sz="4" w:space="0" w:color="auto"/>
              <w:right w:val="nil"/>
            </w:tcBorders>
            <w:shd w:val="clear" w:color="auto" w:fill="auto"/>
            <w:noWrap/>
            <w:vAlign w:val="bottom"/>
            <w:hideMark/>
          </w:tcPr>
          <w:p w14:paraId="280EE798"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MWh/year</w:t>
            </w:r>
          </w:p>
        </w:tc>
      </w:tr>
    </w:tbl>
    <w:p w14:paraId="0CBD9D4A" w14:textId="77777777" w:rsidR="00DA7E40" w:rsidRPr="00D800F0" w:rsidRDefault="00DA7E40" w:rsidP="00DA7E40">
      <w:pPr>
        <w:rPr>
          <w:rFonts w:ascii="Arial" w:hAnsi="Arial" w:cs="Arial"/>
          <w:sz w:val="16"/>
          <w:szCs w:val="16"/>
        </w:rPr>
      </w:pPr>
      <w:r w:rsidRPr="00D800F0">
        <w:rPr>
          <w:rFonts w:ascii="Arial" w:hAnsi="Arial" w:cs="Arial"/>
          <w:sz w:val="16"/>
          <w:szCs w:val="16"/>
        </w:rPr>
        <w:t>Notes: AP AEC has a demand range because we assume an uncertain electrolyzer efficiency.</w:t>
      </w:r>
    </w:p>
    <w:p w14:paraId="6147E351" w14:textId="6902C5C5" w:rsidR="00DA7E40" w:rsidRPr="00D800F0" w:rsidRDefault="00DA7E40" w:rsidP="00DA7E40">
      <w:pPr>
        <w:ind w:firstLine="720"/>
        <w:rPr>
          <w:rFonts w:ascii="Arial" w:hAnsi="Arial" w:cs="Arial"/>
        </w:rPr>
      </w:pPr>
      <w:r w:rsidRPr="00D800F0">
        <w:rPr>
          <w:rFonts w:ascii="Arial" w:hAnsi="Arial" w:cs="Arial"/>
        </w:rPr>
        <w:t xml:space="preserve">The capital cost of wind and battery is based on values from Bistline et al. (2023). See below in </w:t>
      </w:r>
      <w:r w:rsidRPr="00D800F0">
        <w:rPr>
          <w:rFonts w:ascii="Arial" w:hAnsi="Arial" w:cs="Arial"/>
        </w:rPr>
        <w:fldChar w:fldCharType="begin"/>
      </w:r>
      <w:r w:rsidRPr="00D800F0">
        <w:rPr>
          <w:rFonts w:ascii="Arial" w:hAnsi="Arial" w:cs="Arial"/>
        </w:rPr>
        <w:instrText xml:space="preserve"> REF _Ref146354227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Table </w:t>
      </w:r>
      <w:r w:rsidRPr="00D800F0">
        <w:rPr>
          <w:rFonts w:ascii="Arial" w:hAnsi="Arial" w:cs="Arial"/>
          <w:noProof/>
        </w:rPr>
        <w:t>D</w:t>
      </w:r>
      <w:r w:rsidRPr="00D800F0">
        <w:rPr>
          <w:rFonts w:ascii="Arial" w:hAnsi="Arial" w:cs="Arial"/>
        </w:rPr>
        <w:noBreakHyphen/>
      </w:r>
      <w:r w:rsidRPr="00D800F0">
        <w:rPr>
          <w:rFonts w:ascii="Arial" w:hAnsi="Arial" w:cs="Arial"/>
          <w:noProof/>
        </w:rPr>
        <w:t>5</w:t>
      </w:r>
      <w:r w:rsidRPr="00D800F0">
        <w:rPr>
          <w:rFonts w:ascii="Arial" w:hAnsi="Arial" w:cs="Arial"/>
        </w:rPr>
        <w:fldChar w:fldCharType="end"/>
      </w:r>
      <w:r w:rsidRPr="00D800F0">
        <w:rPr>
          <w:rFonts w:ascii="Arial" w:hAnsi="Arial" w:cs="Arial"/>
        </w:rPr>
        <w:t>.</w:t>
      </w:r>
    </w:p>
    <w:p w14:paraId="1DE8868D" w14:textId="77777777" w:rsidR="00DA7E40" w:rsidRPr="00D800F0" w:rsidRDefault="00DA7E40" w:rsidP="00DA7E40">
      <w:pPr>
        <w:pStyle w:val="Caption"/>
        <w:rPr>
          <w:rFonts w:ascii="Arial" w:hAnsi="Arial" w:cs="Arial"/>
        </w:rPr>
      </w:pPr>
      <w:bookmarkStart w:id="65" w:name="_Ref146354227"/>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D</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5</w:t>
      </w:r>
      <w:r w:rsidRPr="00D800F0">
        <w:rPr>
          <w:rFonts w:ascii="Arial" w:hAnsi="Arial" w:cs="Arial"/>
          <w:noProof/>
        </w:rPr>
        <w:fldChar w:fldCharType="end"/>
      </w:r>
      <w:bookmarkEnd w:id="65"/>
      <w:r w:rsidRPr="00D800F0">
        <w:rPr>
          <w:rFonts w:ascii="Arial" w:hAnsi="Arial" w:cs="Arial"/>
        </w:rPr>
        <w:t>: CAPEX of wind and battery systems.</w:t>
      </w:r>
    </w:p>
    <w:tbl>
      <w:tblPr>
        <w:tblW w:w="5000" w:type="pct"/>
        <w:tblLook w:val="04A0" w:firstRow="1" w:lastRow="0" w:firstColumn="1" w:lastColumn="0" w:noHBand="0" w:noVBand="1"/>
      </w:tblPr>
      <w:tblGrid>
        <w:gridCol w:w="3206"/>
        <w:gridCol w:w="1503"/>
        <w:gridCol w:w="2011"/>
        <w:gridCol w:w="2640"/>
      </w:tblGrid>
      <w:tr w:rsidR="00DA7E40" w:rsidRPr="00D800F0" w14:paraId="7CE7B704" w14:textId="77777777" w:rsidTr="0000614D">
        <w:trPr>
          <w:trHeight w:val="300"/>
        </w:trPr>
        <w:tc>
          <w:tcPr>
            <w:tcW w:w="1713" w:type="pct"/>
            <w:tcBorders>
              <w:top w:val="single" w:sz="4" w:space="0" w:color="auto"/>
              <w:left w:val="nil"/>
              <w:bottom w:val="single" w:sz="4" w:space="0" w:color="auto"/>
              <w:right w:val="nil"/>
            </w:tcBorders>
            <w:shd w:val="clear" w:color="auto" w:fill="auto"/>
            <w:noWrap/>
            <w:vAlign w:val="bottom"/>
            <w:hideMark/>
          </w:tcPr>
          <w:p w14:paraId="7C7E86D1" w14:textId="77777777" w:rsidR="00DA7E40" w:rsidRPr="00D800F0" w:rsidRDefault="00DA7E40" w:rsidP="0000614D">
            <w:pPr>
              <w:spacing w:after="0" w:line="240" w:lineRule="auto"/>
              <w:rPr>
                <w:rFonts w:ascii="Arial" w:eastAsia="Times New Roman" w:hAnsi="Arial" w:cs="Arial"/>
                <w:b/>
                <w:bCs/>
                <w:color w:val="000000"/>
              </w:rPr>
            </w:pPr>
            <w:r w:rsidRPr="00D800F0">
              <w:rPr>
                <w:rFonts w:ascii="Arial" w:eastAsia="Times New Roman" w:hAnsi="Arial" w:cs="Arial"/>
                <w:b/>
                <w:bCs/>
                <w:color w:val="000000"/>
              </w:rPr>
              <w:t>Battery</w:t>
            </w:r>
          </w:p>
        </w:tc>
        <w:tc>
          <w:tcPr>
            <w:tcW w:w="803" w:type="pct"/>
            <w:tcBorders>
              <w:top w:val="single" w:sz="4" w:space="0" w:color="auto"/>
              <w:left w:val="nil"/>
              <w:bottom w:val="single" w:sz="4" w:space="0" w:color="auto"/>
              <w:right w:val="nil"/>
            </w:tcBorders>
            <w:shd w:val="clear" w:color="auto" w:fill="auto"/>
            <w:noWrap/>
            <w:vAlign w:val="bottom"/>
            <w:hideMark/>
          </w:tcPr>
          <w:p w14:paraId="1D06F797" w14:textId="77777777" w:rsidR="00DA7E40" w:rsidRPr="00D800F0" w:rsidRDefault="00DA7E40" w:rsidP="0000614D">
            <w:pPr>
              <w:spacing w:after="0" w:line="240" w:lineRule="auto"/>
              <w:rPr>
                <w:rFonts w:ascii="Arial" w:eastAsia="Times New Roman" w:hAnsi="Arial" w:cs="Arial"/>
                <w:i/>
                <w:iCs/>
                <w:color w:val="000000"/>
              </w:rPr>
            </w:pPr>
            <w:r w:rsidRPr="00D800F0">
              <w:rPr>
                <w:rFonts w:ascii="Arial" w:eastAsia="Times New Roman" w:hAnsi="Arial" w:cs="Arial"/>
                <w:i/>
                <w:iCs/>
                <w:color w:val="000000"/>
              </w:rPr>
              <w:t xml:space="preserve">Low </w:t>
            </w:r>
          </w:p>
        </w:tc>
        <w:tc>
          <w:tcPr>
            <w:tcW w:w="1074" w:type="pct"/>
            <w:tcBorders>
              <w:top w:val="single" w:sz="4" w:space="0" w:color="auto"/>
              <w:left w:val="nil"/>
              <w:bottom w:val="single" w:sz="4" w:space="0" w:color="auto"/>
              <w:right w:val="nil"/>
            </w:tcBorders>
            <w:shd w:val="clear" w:color="auto" w:fill="auto"/>
            <w:noWrap/>
            <w:vAlign w:val="bottom"/>
            <w:hideMark/>
          </w:tcPr>
          <w:p w14:paraId="2F55127B" w14:textId="77777777" w:rsidR="00DA7E40" w:rsidRPr="00D800F0" w:rsidRDefault="00DA7E40" w:rsidP="0000614D">
            <w:pPr>
              <w:spacing w:after="0" w:line="240" w:lineRule="auto"/>
              <w:rPr>
                <w:rFonts w:ascii="Arial" w:eastAsia="Times New Roman" w:hAnsi="Arial" w:cs="Arial"/>
                <w:i/>
                <w:iCs/>
                <w:color w:val="000000"/>
              </w:rPr>
            </w:pPr>
            <w:r w:rsidRPr="00D800F0">
              <w:rPr>
                <w:rFonts w:ascii="Arial" w:eastAsia="Times New Roman" w:hAnsi="Arial" w:cs="Arial"/>
                <w:i/>
                <w:iCs/>
                <w:color w:val="000000"/>
              </w:rPr>
              <w:t>High</w:t>
            </w:r>
          </w:p>
        </w:tc>
        <w:tc>
          <w:tcPr>
            <w:tcW w:w="1410" w:type="pct"/>
            <w:tcBorders>
              <w:top w:val="single" w:sz="4" w:space="0" w:color="auto"/>
              <w:left w:val="nil"/>
              <w:bottom w:val="single" w:sz="4" w:space="0" w:color="auto"/>
              <w:right w:val="nil"/>
            </w:tcBorders>
            <w:shd w:val="clear" w:color="auto" w:fill="auto"/>
            <w:noWrap/>
            <w:vAlign w:val="bottom"/>
            <w:hideMark/>
          </w:tcPr>
          <w:p w14:paraId="6DB2BC1E" w14:textId="77777777" w:rsidR="00DA7E40" w:rsidRPr="00D800F0" w:rsidRDefault="00DA7E40" w:rsidP="0000614D">
            <w:pPr>
              <w:spacing w:after="0" w:line="240" w:lineRule="auto"/>
              <w:rPr>
                <w:rFonts w:ascii="Arial" w:eastAsia="Times New Roman" w:hAnsi="Arial" w:cs="Arial"/>
                <w:i/>
                <w:iCs/>
                <w:color w:val="000000"/>
              </w:rPr>
            </w:pPr>
            <w:r w:rsidRPr="00D800F0">
              <w:rPr>
                <w:rFonts w:ascii="Arial" w:eastAsia="Times New Roman" w:hAnsi="Arial" w:cs="Arial"/>
                <w:i/>
                <w:iCs/>
                <w:color w:val="000000"/>
              </w:rPr>
              <w:t>Units</w:t>
            </w:r>
          </w:p>
        </w:tc>
      </w:tr>
      <w:tr w:rsidR="00DA7E40" w:rsidRPr="00D800F0" w14:paraId="1DA530CC" w14:textId="77777777" w:rsidTr="0000614D">
        <w:trPr>
          <w:trHeight w:val="300"/>
        </w:trPr>
        <w:tc>
          <w:tcPr>
            <w:tcW w:w="1713" w:type="pct"/>
            <w:tcBorders>
              <w:top w:val="nil"/>
              <w:left w:val="nil"/>
              <w:bottom w:val="nil"/>
              <w:right w:val="nil"/>
            </w:tcBorders>
            <w:shd w:val="clear" w:color="auto" w:fill="auto"/>
            <w:noWrap/>
            <w:vAlign w:val="bottom"/>
            <w:hideMark/>
          </w:tcPr>
          <w:p w14:paraId="606518DA"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 xml:space="preserve">2023, </w:t>
            </w:r>
            <m:oMath>
              <m:sSub>
                <m:sSubPr>
                  <m:ctrlPr>
                    <w:rPr>
                      <w:rFonts w:ascii="Cambria Math" w:hAnsi="Cambria Math" w:cs="Arial"/>
                      <w:bCs/>
                    </w:rPr>
                  </m:ctrlPr>
                </m:sSubPr>
                <m:e>
                  <m:r>
                    <m:rPr>
                      <m:sty m:val="bi"/>
                    </m:rPr>
                    <w:rPr>
                      <w:rFonts w:ascii="Cambria Math" w:hAnsi="Cambria Math" w:cs="Arial"/>
                    </w:rPr>
                    <m:t>COST</m:t>
                  </m:r>
                </m:e>
                <m:sub>
                  <m:r>
                    <m:rPr>
                      <m:sty m:val="bi"/>
                    </m:rPr>
                    <w:rPr>
                      <w:rFonts w:ascii="Cambria Math" w:hAnsi="Cambria Math" w:cs="Arial"/>
                    </w:rPr>
                    <m:t>battery</m:t>
                  </m:r>
                </m:sub>
              </m:sSub>
            </m:oMath>
          </w:p>
        </w:tc>
        <w:tc>
          <w:tcPr>
            <w:tcW w:w="803" w:type="pct"/>
            <w:tcBorders>
              <w:top w:val="nil"/>
              <w:left w:val="nil"/>
              <w:bottom w:val="nil"/>
              <w:right w:val="nil"/>
            </w:tcBorders>
            <w:shd w:val="clear" w:color="auto" w:fill="auto"/>
            <w:noWrap/>
            <w:vAlign w:val="bottom"/>
            <w:hideMark/>
          </w:tcPr>
          <w:p w14:paraId="21773B8A"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800</w:t>
            </w:r>
          </w:p>
        </w:tc>
        <w:tc>
          <w:tcPr>
            <w:tcW w:w="1074" w:type="pct"/>
            <w:tcBorders>
              <w:top w:val="nil"/>
              <w:left w:val="nil"/>
              <w:bottom w:val="nil"/>
              <w:right w:val="nil"/>
            </w:tcBorders>
            <w:shd w:val="clear" w:color="auto" w:fill="auto"/>
            <w:noWrap/>
            <w:vAlign w:val="bottom"/>
            <w:hideMark/>
          </w:tcPr>
          <w:p w14:paraId="7633D686"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1500</w:t>
            </w:r>
          </w:p>
        </w:tc>
        <w:tc>
          <w:tcPr>
            <w:tcW w:w="1410" w:type="pct"/>
            <w:tcBorders>
              <w:top w:val="nil"/>
              <w:left w:val="nil"/>
              <w:bottom w:val="nil"/>
              <w:right w:val="nil"/>
            </w:tcBorders>
            <w:shd w:val="clear" w:color="auto" w:fill="auto"/>
            <w:noWrap/>
            <w:vAlign w:val="bottom"/>
            <w:hideMark/>
          </w:tcPr>
          <w:p w14:paraId="3DB9D82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$/kW</w:t>
            </w:r>
          </w:p>
        </w:tc>
      </w:tr>
      <w:tr w:rsidR="00DA7E40" w:rsidRPr="00D800F0" w14:paraId="45D2CDC7" w14:textId="77777777" w:rsidTr="0000614D">
        <w:trPr>
          <w:trHeight w:val="300"/>
        </w:trPr>
        <w:tc>
          <w:tcPr>
            <w:tcW w:w="1713" w:type="pct"/>
            <w:tcBorders>
              <w:top w:val="nil"/>
              <w:left w:val="nil"/>
              <w:bottom w:val="single" w:sz="4" w:space="0" w:color="auto"/>
              <w:right w:val="nil"/>
            </w:tcBorders>
            <w:shd w:val="clear" w:color="auto" w:fill="auto"/>
            <w:noWrap/>
            <w:vAlign w:val="bottom"/>
            <w:hideMark/>
          </w:tcPr>
          <w:p w14:paraId="654DCE89"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 xml:space="preserve">2030, </w:t>
            </w:r>
            <m:oMath>
              <m:sSub>
                <m:sSubPr>
                  <m:ctrlPr>
                    <w:rPr>
                      <w:rFonts w:ascii="Cambria Math" w:hAnsi="Cambria Math" w:cs="Arial"/>
                      <w:bCs/>
                    </w:rPr>
                  </m:ctrlPr>
                </m:sSubPr>
                <m:e>
                  <m:r>
                    <m:rPr>
                      <m:sty m:val="bi"/>
                    </m:rPr>
                    <w:rPr>
                      <w:rFonts w:ascii="Cambria Math" w:hAnsi="Cambria Math" w:cs="Arial"/>
                    </w:rPr>
                    <m:t>COST</m:t>
                  </m:r>
                </m:e>
                <m:sub>
                  <m:r>
                    <m:rPr>
                      <m:sty m:val="bi"/>
                    </m:rPr>
                    <w:rPr>
                      <w:rFonts w:ascii="Cambria Math" w:hAnsi="Cambria Math" w:cs="Arial"/>
                    </w:rPr>
                    <m:t>battery</m:t>
                  </m:r>
                </m:sub>
              </m:sSub>
            </m:oMath>
          </w:p>
        </w:tc>
        <w:tc>
          <w:tcPr>
            <w:tcW w:w="803" w:type="pct"/>
            <w:tcBorders>
              <w:top w:val="nil"/>
              <w:left w:val="nil"/>
              <w:bottom w:val="single" w:sz="4" w:space="0" w:color="auto"/>
              <w:right w:val="nil"/>
            </w:tcBorders>
            <w:shd w:val="clear" w:color="auto" w:fill="auto"/>
            <w:noWrap/>
            <w:vAlign w:val="bottom"/>
            <w:hideMark/>
          </w:tcPr>
          <w:p w14:paraId="74F94218"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450</w:t>
            </w:r>
          </w:p>
        </w:tc>
        <w:tc>
          <w:tcPr>
            <w:tcW w:w="1074" w:type="pct"/>
            <w:tcBorders>
              <w:top w:val="nil"/>
              <w:left w:val="nil"/>
              <w:bottom w:val="single" w:sz="4" w:space="0" w:color="auto"/>
              <w:right w:val="nil"/>
            </w:tcBorders>
            <w:shd w:val="clear" w:color="auto" w:fill="auto"/>
            <w:noWrap/>
            <w:vAlign w:val="bottom"/>
            <w:hideMark/>
          </w:tcPr>
          <w:p w14:paraId="19699B3E"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1200</w:t>
            </w:r>
          </w:p>
        </w:tc>
        <w:tc>
          <w:tcPr>
            <w:tcW w:w="1410" w:type="pct"/>
            <w:tcBorders>
              <w:top w:val="nil"/>
              <w:left w:val="nil"/>
              <w:bottom w:val="single" w:sz="4" w:space="0" w:color="auto"/>
              <w:right w:val="nil"/>
            </w:tcBorders>
            <w:shd w:val="clear" w:color="auto" w:fill="auto"/>
            <w:noWrap/>
            <w:vAlign w:val="bottom"/>
            <w:hideMark/>
          </w:tcPr>
          <w:p w14:paraId="03754B34"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$/kW</w:t>
            </w:r>
          </w:p>
        </w:tc>
      </w:tr>
      <w:tr w:rsidR="00DA7E40" w:rsidRPr="00D800F0" w14:paraId="47E5898A" w14:textId="77777777" w:rsidTr="0000614D">
        <w:trPr>
          <w:trHeight w:val="300"/>
        </w:trPr>
        <w:tc>
          <w:tcPr>
            <w:tcW w:w="1713" w:type="pct"/>
            <w:tcBorders>
              <w:top w:val="single" w:sz="4" w:space="0" w:color="auto"/>
              <w:left w:val="nil"/>
              <w:bottom w:val="single" w:sz="4" w:space="0" w:color="auto"/>
              <w:right w:val="nil"/>
            </w:tcBorders>
            <w:shd w:val="clear" w:color="auto" w:fill="auto"/>
            <w:noWrap/>
            <w:vAlign w:val="bottom"/>
            <w:hideMark/>
          </w:tcPr>
          <w:p w14:paraId="432D147F" w14:textId="77777777" w:rsidR="00DA7E40" w:rsidRPr="00D800F0" w:rsidRDefault="00DA7E40" w:rsidP="0000614D">
            <w:pPr>
              <w:spacing w:after="0" w:line="240" w:lineRule="auto"/>
              <w:rPr>
                <w:rFonts w:ascii="Arial" w:eastAsia="Times New Roman" w:hAnsi="Arial" w:cs="Arial"/>
                <w:b/>
                <w:bCs/>
                <w:color w:val="000000"/>
              </w:rPr>
            </w:pPr>
            <w:r w:rsidRPr="00D800F0">
              <w:rPr>
                <w:rFonts w:ascii="Arial" w:eastAsia="Times New Roman" w:hAnsi="Arial" w:cs="Arial"/>
                <w:b/>
                <w:bCs/>
                <w:color w:val="000000"/>
              </w:rPr>
              <w:t>Wind</w:t>
            </w:r>
          </w:p>
        </w:tc>
        <w:tc>
          <w:tcPr>
            <w:tcW w:w="803" w:type="pct"/>
            <w:tcBorders>
              <w:top w:val="single" w:sz="4" w:space="0" w:color="auto"/>
              <w:left w:val="nil"/>
              <w:bottom w:val="single" w:sz="4" w:space="0" w:color="auto"/>
              <w:right w:val="nil"/>
            </w:tcBorders>
            <w:shd w:val="clear" w:color="auto" w:fill="auto"/>
            <w:noWrap/>
            <w:vAlign w:val="bottom"/>
            <w:hideMark/>
          </w:tcPr>
          <w:p w14:paraId="337837BC" w14:textId="77777777" w:rsidR="00DA7E40" w:rsidRPr="00D800F0" w:rsidRDefault="00DA7E40" w:rsidP="0000614D">
            <w:pPr>
              <w:spacing w:after="0" w:line="240" w:lineRule="auto"/>
              <w:rPr>
                <w:rFonts w:ascii="Arial" w:eastAsia="Times New Roman" w:hAnsi="Arial" w:cs="Arial"/>
                <w:b/>
                <w:bCs/>
                <w:color w:val="000000"/>
              </w:rPr>
            </w:pPr>
          </w:p>
        </w:tc>
        <w:tc>
          <w:tcPr>
            <w:tcW w:w="1074" w:type="pct"/>
            <w:tcBorders>
              <w:top w:val="single" w:sz="4" w:space="0" w:color="auto"/>
              <w:left w:val="nil"/>
              <w:bottom w:val="single" w:sz="4" w:space="0" w:color="auto"/>
              <w:right w:val="nil"/>
            </w:tcBorders>
            <w:shd w:val="clear" w:color="auto" w:fill="auto"/>
            <w:noWrap/>
            <w:vAlign w:val="bottom"/>
            <w:hideMark/>
          </w:tcPr>
          <w:p w14:paraId="25FEFAD8" w14:textId="77777777" w:rsidR="00DA7E40" w:rsidRPr="00D800F0" w:rsidRDefault="00DA7E40" w:rsidP="0000614D">
            <w:pPr>
              <w:spacing w:after="0" w:line="240" w:lineRule="auto"/>
              <w:rPr>
                <w:rFonts w:ascii="Arial" w:eastAsia="Times New Roman" w:hAnsi="Arial" w:cs="Arial"/>
                <w:sz w:val="20"/>
                <w:szCs w:val="20"/>
              </w:rPr>
            </w:pPr>
          </w:p>
        </w:tc>
        <w:tc>
          <w:tcPr>
            <w:tcW w:w="1410" w:type="pct"/>
            <w:tcBorders>
              <w:top w:val="single" w:sz="4" w:space="0" w:color="auto"/>
              <w:left w:val="nil"/>
              <w:bottom w:val="single" w:sz="4" w:space="0" w:color="auto"/>
              <w:right w:val="nil"/>
            </w:tcBorders>
            <w:shd w:val="clear" w:color="auto" w:fill="auto"/>
            <w:noWrap/>
            <w:vAlign w:val="bottom"/>
            <w:hideMark/>
          </w:tcPr>
          <w:p w14:paraId="41E9F840" w14:textId="77777777" w:rsidR="00DA7E40" w:rsidRPr="00D800F0" w:rsidRDefault="00DA7E40" w:rsidP="0000614D">
            <w:pPr>
              <w:spacing w:after="0" w:line="240" w:lineRule="auto"/>
              <w:rPr>
                <w:rFonts w:ascii="Arial" w:eastAsia="Times New Roman" w:hAnsi="Arial" w:cs="Arial"/>
                <w:sz w:val="20"/>
                <w:szCs w:val="20"/>
              </w:rPr>
            </w:pPr>
          </w:p>
        </w:tc>
      </w:tr>
      <w:tr w:rsidR="00DA7E40" w:rsidRPr="00D800F0" w14:paraId="349054BD" w14:textId="77777777" w:rsidTr="0000614D">
        <w:trPr>
          <w:trHeight w:val="300"/>
        </w:trPr>
        <w:tc>
          <w:tcPr>
            <w:tcW w:w="1713" w:type="pct"/>
            <w:tcBorders>
              <w:top w:val="single" w:sz="4" w:space="0" w:color="auto"/>
              <w:left w:val="nil"/>
              <w:bottom w:val="nil"/>
              <w:right w:val="nil"/>
            </w:tcBorders>
            <w:shd w:val="clear" w:color="auto" w:fill="auto"/>
            <w:noWrap/>
            <w:vAlign w:val="bottom"/>
            <w:hideMark/>
          </w:tcPr>
          <w:p w14:paraId="4BDA4840"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 xml:space="preserve">2023, </w:t>
            </w:r>
            <m:oMath>
              <m:sSub>
                <m:sSubPr>
                  <m:ctrlPr>
                    <w:rPr>
                      <w:rFonts w:ascii="Cambria Math" w:hAnsi="Cambria Math" w:cs="Arial"/>
                      <w:bCs/>
                    </w:rPr>
                  </m:ctrlPr>
                </m:sSubPr>
                <m:e>
                  <m:r>
                    <m:rPr>
                      <m:sty m:val="bi"/>
                    </m:rPr>
                    <w:rPr>
                      <w:rFonts w:ascii="Cambria Math" w:hAnsi="Cambria Math" w:cs="Arial"/>
                    </w:rPr>
                    <m:t>COST</m:t>
                  </m:r>
                </m:e>
                <m:sub>
                  <m:r>
                    <m:rPr>
                      <m:sty m:val="bi"/>
                    </m:rPr>
                    <w:rPr>
                      <w:rFonts w:ascii="Cambria Math" w:hAnsi="Cambria Math" w:cs="Arial"/>
                    </w:rPr>
                    <m:t>wind</m:t>
                  </m:r>
                </m:sub>
              </m:sSub>
            </m:oMath>
          </w:p>
        </w:tc>
        <w:tc>
          <w:tcPr>
            <w:tcW w:w="803" w:type="pct"/>
            <w:tcBorders>
              <w:top w:val="single" w:sz="4" w:space="0" w:color="auto"/>
              <w:left w:val="nil"/>
              <w:bottom w:val="nil"/>
              <w:right w:val="nil"/>
            </w:tcBorders>
            <w:shd w:val="clear" w:color="auto" w:fill="auto"/>
            <w:noWrap/>
            <w:vAlign w:val="bottom"/>
            <w:hideMark/>
          </w:tcPr>
          <w:p w14:paraId="1012A648"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1200</w:t>
            </w:r>
          </w:p>
        </w:tc>
        <w:tc>
          <w:tcPr>
            <w:tcW w:w="1074" w:type="pct"/>
            <w:tcBorders>
              <w:top w:val="single" w:sz="4" w:space="0" w:color="auto"/>
              <w:left w:val="nil"/>
              <w:bottom w:val="nil"/>
              <w:right w:val="nil"/>
            </w:tcBorders>
            <w:shd w:val="clear" w:color="auto" w:fill="auto"/>
            <w:noWrap/>
            <w:vAlign w:val="bottom"/>
            <w:hideMark/>
          </w:tcPr>
          <w:p w14:paraId="3681C244"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1400</w:t>
            </w:r>
          </w:p>
        </w:tc>
        <w:tc>
          <w:tcPr>
            <w:tcW w:w="1410" w:type="pct"/>
            <w:tcBorders>
              <w:top w:val="single" w:sz="4" w:space="0" w:color="auto"/>
              <w:left w:val="nil"/>
              <w:bottom w:val="nil"/>
              <w:right w:val="nil"/>
            </w:tcBorders>
            <w:shd w:val="clear" w:color="auto" w:fill="auto"/>
            <w:noWrap/>
            <w:vAlign w:val="bottom"/>
            <w:hideMark/>
          </w:tcPr>
          <w:p w14:paraId="2B0687B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$/kW</w:t>
            </w:r>
          </w:p>
        </w:tc>
      </w:tr>
      <w:tr w:rsidR="00DA7E40" w:rsidRPr="00D800F0" w14:paraId="7CC5704E" w14:textId="77777777" w:rsidTr="0000614D">
        <w:trPr>
          <w:trHeight w:val="300"/>
        </w:trPr>
        <w:tc>
          <w:tcPr>
            <w:tcW w:w="1713" w:type="pct"/>
            <w:tcBorders>
              <w:top w:val="nil"/>
              <w:left w:val="nil"/>
              <w:bottom w:val="single" w:sz="4" w:space="0" w:color="auto"/>
              <w:right w:val="nil"/>
            </w:tcBorders>
            <w:shd w:val="clear" w:color="auto" w:fill="auto"/>
            <w:noWrap/>
            <w:vAlign w:val="bottom"/>
            <w:hideMark/>
          </w:tcPr>
          <w:p w14:paraId="200F9C6C"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 xml:space="preserve">2030, </w:t>
            </w:r>
            <m:oMath>
              <m:sSub>
                <m:sSubPr>
                  <m:ctrlPr>
                    <w:rPr>
                      <w:rFonts w:ascii="Cambria Math" w:hAnsi="Cambria Math" w:cs="Arial"/>
                      <w:bCs/>
                    </w:rPr>
                  </m:ctrlPr>
                </m:sSubPr>
                <m:e>
                  <m:r>
                    <m:rPr>
                      <m:sty m:val="bi"/>
                    </m:rPr>
                    <w:rPr>
                      <w:rFonts w:ascii="Cambria Math" w:hAnsi="Cambria Math" w:cs="Arial"/>
                    </w:rPr>
                    <m:t>COST</m:t>
                  </m:r>
                </m:e>
                <m:sub>
                  <m:r>
                    <m:rPr>
                      <m:sty m:val="bi"/>
                    </m:rPr>
                    <w:rPr>
                      <w:rFonts w:ascii="Cambria Math" w:hAnsi="Cambria Math" w:cs="Arial"/>
                    </w:rPr>
                    <m:t>wind</m:t>
                  </m:r>
                </m:sub>
              </m:sSub>
            </m:oMath>
          </w:p>
        </w:tc>
        <w:tc>
          <w:tcPr>
            <w:tcW w:w="803" w:type="pct"/>
            <w:tcBorders>
              <w:top w:val="nil"/>
              <w:left w:val="nil"/>
              <w:bottom w:val="single" w:sz="4" w:space="0" w:color="auto"/>
              <w:right w:val="nil"/>
            </w:tcBorders>
            <w:shd w:val="clear" w:color="auto" w:fill="auto"/>
            <w:noWrap/>
            <w:vAlign w:val="bottom"/>
            <w:hideMark/>
          </w:tcPr>
          <w:p w14:paraId="11F092D6"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750</w:t>
            </w:r>
          </w:p>
        </w:tc>
        <w:tc>
          <w:tcPr>
            <w:tcW w:w="1074" w:type="pct"/>
            <w:tcBorders>
              <w:top w:val="nil"/>
              <w:left w:val="nil"/>
              <w:bottom w:val="single" w:sz="4" w:space="0" w:color="auto"/>
              <w:right w:val="nil"/>
            </w:tcBorders>
            <w:shd w:val="clear" w:color="auto" w:fill="auto"/>
            <w:noWrap/>
            <w:vAlign w:val="bottom"/>
            <w:hideMark/>
          </w:tcPr>
          <w:p w14:paraId="553DC6AD"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1200</w:t>
            </w:r>
          </w:p>
        </w:tc>
        <w:tc>
          <w:tcPr>
            <w:tcW w:w="1410" w:type="pct"/>
            <w:tcBorders>
              <w:top w:val="nil"/>
              <w:left w:val="nil"/>
              <w:bottom w:val="single" w:sz="4" w:space="0" w:color="auto"/>
              <w:right w:val="nil"/>
            </w:tcBorders>
            <w:shd w:val="clear" w:color="auto" w:fill="auto"/>
            <w:noWrap/>
            <w:vAlign w:val="bottom"/>
            <w:hideMark/>
          </w:tcPr>
          <w:p w14:paraId="3DFBB7C2"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$/kW</w:t>
            </w:r>
          </w:p>
        </w:tc>
      </w:tr>
    </w:tbl>
    <w:p w14:paraId="3D725094" w14:textId="77777777" w:rsidR="00DA7E40" w:rsidRPr="00D800F0" w:rsidRDefault="00DA7E40" w:rsidP="00DA7E40">
      <w:pPr>
        <w:rPr>
          <w:rFonts w:ascii="Arial" w:hAnsi="Arial" w:cs="Arial"/>
        </w:rPr>
      </w:pPr>
    </w:p>
    <w:p w14:paraId="658A1B80" w14:textId="77777777" w:rsidR="00DA7E40" w:rsidRPr="00D800F0" w:rsidRDefault="00DA7E40" w:rsidP="006864F3">
      <w:pPr>
        <w:pStyle w:val="Heading3"/>
        <w:rPr>
          <w:rFonts w:ascii="Arial" w:hAnsi="Arial" w:cs="Arial"/>
        </w:rPr>
      </w:pPr>
      <w:bookmarkStart w:id="66" w:name="_Toc148296632"/>
      <w:r w:rsidRPr="00D800F0">
        <w:rPr>
          <w:rFonts w:ascii="Arial" w:hAnsi="Arial" w:cs="Arial"/>
        </w:rPr>
        <w:t>Model implementation</w:t>
      </w:r>
      <w:bookmarkEnd w:id="66"/>
    </w:p>
    <w:p w14:paraId="7E4DE041" w14:textId="77777777" w:rsidR="00DA7E40" w:rsidRPr="00D800F0" w:rsidRDefault="00DA7E40" w:rsidP="00DA7E40">
      <w:pPr>
        <w:rPr>
          <w:rFonts w:ascii="Arial" w:hAnsi="Arial" w:cs="Arial"/>
        </w:rPr>
      </w:pPr>
      <w:r w:rsidRPr="00D800F0">
        <w:rPr>
          <w:rFonts w:ascii="Arial" w:hAnsi="Arial" w:cs="Arial"/>
        </w:rPr>
        <w:t xml:space="preserve">The optimization problem is formulated in Python and solved using the pulp library, a popular open-source linear programming (LP) modeling package that can seamlessly handle mixed-integer linear programming (MILP) scenarios </w:t>
      </w:r>
      <w:sdt>
        <w:sdtPr>
          <w:rPr>
            <w:rFonts w:ascii="Arial" w:hAnsi="Arial" w:cs="Arial"/>
            <w:color w:val="000000"/>
          </w:rPr>
          <w:tag w:val="MENDELEY_CITATION_v3_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"/>
          <w:id w:val="1603296213"/>
          <w:placeholder>
            <w:docPart w:val="7FAFCE14F4D54603972ADE86E7756A57"/>
          </w:placeholder>
        </w:sdtPr>
        <w:sdtContent>
          <w:r w:rsidRPr="00D800F0">
            <w:rPr>
              <w:rFonts w:ascii="Arial" w:hAnsi="Arial" w:cs="Arial"/>
              <w:color w:val="000000"/>
            </w:rPr>
            <w:t>(Dunning et al., 2011)</w:t>
          </w:r>
        </w:sdtContent>
      </w:sdt>
      <w:r w:rsidRPr="00D800F0">
        <w:rPr>
          <w:rFonts w:ascii="Arial" w:hAnsi="Arial" w:cs="Arial"/>
        </w:rPr>
        <w:t xml:space="preserve">. </w:t>
      </w:r>
    </w:p>
    <w:p w14:paraId="0CA106E4" w14:textId="77777777" w:rsidR="00DA7E40" w:rsidRPr="00D800F0" w:rsidRDefault="00DA7E40" w:rsidP="00DA7E40">
      <w:pPr>
        <w:ind w:firstLine="720"/>
        <w:rPr>
          <w:rFonts w:ascii="Arial" w:hAnsi="Arial" w:cs="Arial"/>
        </w:rPr>
      </w:pPr>
      <w:r w:rsidRPr="00D800F0">
        <w:rPr>
          <w:rFonts w:ascii="Arial" w:hAnsi="Arial" w:cs="Arial"/>
        </w:rPr>
        <w:t xml:space="preserve">PuLP offers a simple and intuitive syntax for defining optimization problems using Python, such as intuitive syntax for defining decision variables, objective functions, and constraints. Thus, the model can be formulated to </w:t>
      </w:r>
      <w:bookmarkStart w:id="67" w:name="_Hlk146463660"/>
      <w:r w:rsidRPr="00D800F0">
        <w:rPr>
          <w:rFonts w:ascii="Arial" w:hAnsi="Arial" w:cs="Arial"/>
        </w:rPr>
        <w:t>resemble the mathematical notation that describes optimization problems closely</w:t>
      </w:r>
      <w:bookmarkEnd w:id="67"/>
      <w:r w:rsidRPr="00D800F0">
        <w:rPr>
          <w:rFonts w:ascii="Arial" w:hAnsi="Arial" w:cs="Arial"/>
        </w:rPr>
        <w:t>. It provides a high-level abstraction that makes it easier to express mathematical programming concepts.</w:t>
      </w:r>
    </w:p>
    <w:p w14:paraId="18921440" w14:textId="77777777" w:rsidR="00DA7E40" w:rsidRPr="00D800F0" w:rsidRDefault="00DA7E40" w:rsidP="006864F3">
      <w:pPr>
        <w:pStyle w:val="Heading3"/>
        <w:rPr>
          <w:rFonts w:ascii="Arial" w:hAnsi="Arial" w:cs="Arial"/>
        </w:rPr>
      </w:pPr>
      <w:bookmarkStart w:id="68" w:name="_Toc148296633"/>
      <w:r w:rsidRPr="00D800F0">
        <w:rPr>
          <w:rFonts w:ascii="Arial" w:hAnsi="Arial" w:cs="Arial"/>
        </w:rPr>
        <w:lastRenderedPageBreak/>
        <w:t>Results</w:t>
      </w:r>
      <w:bookmarkEnd w:id="68"/>
    </w:p>
    <w:p w14:paraId="371F904D" w14:textId="77777777" w:rsidR="00DA7E40" w:rsidRPr="00D800F0" w:rsidRDefault="00DA7E40" w:rsidP="00DA7E40">
      <w:pPr>
        <w:rPr>
          <w:rFonts w:ascii="Arial" w:hAnsi="Arial" w:cs="Arial"/>
        </w:rPr>
      </w:pPr>
      <w:r w:rsidRPr="00D800F0">
        <w:rPr>
          <w:rFonts w:ascii="Arial" w:hAnsi="Arial" w:cs="Arial"/>
        </w:rPr>
        <w:t xml:space="preserve">The optimal results are computed for installed wind capacity, battery capacity, wind generation, battery charging, battery discharging, battery state of charge, storage duration, and wind supply curtailment. These results collectively provide insights into how the optimization model has determined the optimal configuration for wind capacity, battery capacity, and their operational behavior to minimize costs while ensuring supply-demand balance and considering various constraints. We report and publish all results from this optimization in an Excel file – named </w:t>
      </w:r>
      <w:r w:rsidRPr="00D800F0">
        <w:rPr>
          <w:rFonts w:ascii="Arial" w:hAnsi="Arial" w:cs="Arial"/>
          <w:b/>
          <w:bCs/>
          <w:i/>
          <w:iCs/>
        </w:rPr>
        <w:t>AP_NE_Optimization_Results.xlsx</w:t>
      </w:r>
      <w:r w:rsidRPr="00D800F0">
        <w:rPr>
          <w:rFonts w:ascii="Arial" w:hAnsi="Arial" w:cs="Arial"/>
        </w:rPr>
        <w:t>.</w:t>
      </w:r>
    </w:p>
    <w:p w14:paraId="50EFA487" w14:textId="77777777" w:rsidR="00DA7E40" w:rsidRPr="00D800F0" w:rsidRDefault="00DA7E40" w:rsidP="00DA7E40">
      <w:pPr>
        <w:rPr>
          <w:rFonts w:ascii="Arial" w:hAnsi="Arial" w:cs="Arial"/>
        </w:rPr>
      </w:pPr>
      <w:r w:rsidRPr="00D800F0">
        <w:rPr>
          <w:rFonts w:ascii="Arial" w:hAnsi="Arial" w:cs="Arial"/>
        </w:rPr>
        <w:br w:type="page"/>
      </w:r>
    </w:p>
    <w:p w14:paraId="14879E9F" w14:textId="77777777" w:rsidR="00DA7E40" w:rsidRPr="00D800F0" w:rsidRDefault="00DA7E40" w:rsidP="006864F3">
      <w:pPr>
        <w:pStyle w:val="Heading2"/>
        <w:rPr>
          <w:rFonts w:ascii="Arial" w:hAnsi="Arial" w:cs="Arial"/>
        </w:rPr>
      </w:pPr>
      <w:bookmarkStart w:id="69" w:name="_Ref146525754"/>
      <w:bookmarkStart w:id="70" w:name="_Toc148296634"/>
      <w:r w:rsidRPr="00D800F0">
        <w:rPr>
          <w:rFonts w:ascii="Arial" w:hAnsi="Arial" w:cs="Arial"/>
        </w:rPr>
        <w:lastRenderedPageBreak/>
        <w:t>Scenario Specific Changes and Assumptions</w:t>
      </w:r>
      <w:bookmarkStart w:id="71" w:name="_Ref146386382"/>
      <w:bookmarkEnd w:id="69"/>
      <w:bookmarkEnd w:id="70"/>
    </w:p>
    <w:p w14:paraId="31DCE97E" w14:textId="77777777" w:rsidR="00DA7E40" w:rsidRPr="00D800F0" w:rsidRDefault="00DA7E40" w:rsidP="00DA7E40">
      <w:pPr>
        <w:rPr>
          <w:rFonts w:ascii="Arial" w:hAnsi="Arial" w:cs="Arial"/>
          <w:lang w:eastAsia="en-GB"/>
        </w:rPr>
      </w:pPr>
      <w:r w:rsidRPr="00D800F0">
        <w:rPr>
          <w:rFonts w:ascii="Arial" w:hAnsi="Arial" w:cs="Arial"/>
          <w:lang w:eastAsia="en-GB"/>
        </w:rPr>
        <w:t>The previous SI modules describe the model methodology for scenario A in its entirety. This section contains a set of case studies of this model. There are three dimensions to the case studies:</w:t>
      </w:r>
    </w:p>
    <w:p w14:paraId="02F6554D" w14:textId="77777777" w:rsidR="00DA7E40" w:rsidRPr="00D800F0" w:rsidRDefault="00DA7E40" w:rsidP="00DA7E40">
      <w:pPr>
        <w:pStyle w:val="ListParagraph"/>
        <w:numPr>
          <w:ilvl w:val="0"/>
          <w:numId w:val="23"/>
        </w:numPr>
        <w:rPr>
          <w:rFonts w:ascii="Arial" w:hAnsi="Arial" w:cs="Arial"/>
          <w:lang w:eastAsia="en-GB"/>
        </w:rPr>
      </w:pPr>
      <w:r w:rsidRPr="00D800F0">
        <w:rPr>
          <w:rFonts w:ascii="Arial" w:hAnsi="Arial" w:cs="Arial"/>
          <w:lang w:eastAsia="en-GB"/>
        </w:rPr>
        <w:t>Business models: choice between scenarios A, B, and C. Scenario A is the baseline, not discussed in this section.</w:t>
      </w:r>
    </w:p>
    <w:p w14:paraId="3F332C3C" w14:textId="77777777" w:rsidR="00DA7E40" w:rsidRPr="00D800F0" w:rsidRDefault="00DA7E40" w:rsidP="00DA7E40">
      <w:pPr>
        <w:pStyle w:val="ListParagraph"/>
        <w:numPr>
          <w:ilvl w:val="0"/>
          <w:numId w:val="23"/>
        </w:numPr>
        <w:rPr>
          <w:rFonts w:ascii="Arial" w:hAnsi="Arial" w:cs="Arial"/>
          <w:lang w:eastAsia="en-GB"/>
        </w:rPr>
      </w:pPr>
      <w:r w:rsidRPr="00D800F0">
        <w:rPr>
          <w:rFonts w:ascii="Arial" w:hAnsi="Arial" w:cs="Arial"/>
          <w:lang w:eastAsia="en-GB"/>
        </w:rPr>
        <w:t>CBAM: a choice on whether to enforce CBAM or not.</w:t>
      </w:r>
    </w:p>
    <w:p w14:paraId="2934DBA8" w14:textId="77777777" w:rsidR="00DA7E40" w:rsidRPr="00D800F0" w:rsidRDefault="00DA7E40" w:rsidP="00DA7E40">
      <w:pPr>
        <w:pStyle w:val="ListParagraph"/>
        <w:numPr>
          <w:ilvl w:val="0"/>
          <w:numId w:val="23"/>
        </w:numPr>
        <w:rPr>
          <w:rFonts w:ascii="Arial" w:hAnsi="Arial" w:cs="Arial"/>
          <w:lang w:eastAsia="en-GB"/>
        </w:rPr>
      </w:pPr>
      <w:r w:rsidRPr="00D800F0">
        <w:rPr>
          <w:rFonts w:ascii="Arial" w:hAnsi="Arial" w:cs="Arial"/>
          <w:lang w:eastAsia="en-GB"/>
        </w:rPr>
        <w:t>Electricity matching constraints: a choice to enforce yearly, monthly, or hourly constraints.</w:t>
      </w:r>
    </w:p>
    <w:p w14:paraId="6BDB8F0D" w14:textId="2A69F966" w:rsidR="00DA7E40" w:rsidRPr="00D800F0" w:rsidRDefault="00DA7E40" w:rsidP="00DA7E40">
      <w:pPr>
        <w:ind w:firstLine="720"/>
        <w:rPr>
          <w:rFonts w:ascii="Arial" w:hAnsi="Arial" w:cs="Arial"/>
          <w:lang w:eastAsia="en-GB"/>
        </w:rPr>
      </w:pPr>
      <w:r w:rsidRPr="00D800F0">
        <w:rPr>
          <w:rFonts w:ascii="Arial" w:hAnsi="Arial" w:cs="Arial"/>
          <w:lang w:eastAsia="en-GB"/>
        </w:rPr>
        <w:t xml:space="preserve">This section describes the differences between scenarios B and C from the baseline. We also describe the implementation of CBAM. Finally, we do not discuss matching constraints because the constraints are integrated into the optimization model (see section </w:t>
      </w:r>
      <w:r w:rsidRPr="00D800F0">
        <w:rPr>
          <w:rFonts w:ascii="Arial" w:hAnsi="Arial" w:cs="Arial"/>
          <w:lang w:eastAsia="en-GB"/>
        </w:rPr>
        <w:fldChar w:fldCharType="begin"/>
      </w:r>
      <w:r w:rsidRPr="00D800F0">
        <w:rPr>
          <w:rFonts w:ascii="Arial" w:hAnsi="Arial" w:cs="Arial"/>
          <w:lang w:eastAsia="en-GB"/>
        </w:rPr>
        <w:instrText xml:space="preserve"> REF _Ref146464408 \r \h </w:instrText>
      </w:r>
      <w:r w:rsidR="00D800F0">
        <w:rPr>
          <w:rFonts w:ascii="Arial" w:hAnsi="Arial" w:cs="Arial"/>
          <w:lang w:eastAsia="en-GB"/>
        </w:rPr>
        <w:instrText xml:space="preserve"> \* MERGEFORMAT </w:instrText>
      </w:r>
      <w:r w:rsidRPr="00D800F0">
        <w:rPr>
          <w:rFonts w:ascii="Arial" w:hAnsi="Arial" w:cs="Arial"/>
          <w:lang w:eastAsia="en-GB"/>
        </w:rPr>
      </w:r>
      <w:r w:rsidRPr="00D800F0">
        <w:rPr>
          <w:rFonts w:ascii="Arial" w:hAnsi="Arial" w:cs="Arial"/>
          <w:lang w:eastAsia="en-GB"/>
        </w:rPr>
        <w:fldChar w:fldCharType="separate"/>
      </w:r>
      <w:r w:rsidRPr="00D800F0">
        <w:rPr>
          <w:rFonts w:ascii="Arial" w:hAnsi="Arial" w:cs="Arial"/>
          <w:lang w:eastAsia="en-GB"/>
        </w:rPr>
        <w:t>D</w:t>
      </w:r>
      <w:r w:rsidRPr="00D800F0">
        <w:rPr>
          <w:rFonts w:ascii="Arial" w:hAnsi="Arial" w:cs="Arial"/>
          <w:lang w:eastAsia="en-GB"/>
        </w:rPr>
        <w:fldChar w:fldCharType="end"/>
      </w:r>
      <w:r w:rsidRPr="00D800F0">
        <w:rPr>
          <w:rFonts w:ascii="Arial" w:hAnsi="Arial" w:cs="Arial"/>
          <w:lang w:eastAsia="en-GB"/>
        </w:rPr>
        <w:t>)</w:t>
      </w:r>
      <w:r w:rsidRPr="00D800F0">
        <w:rPr>
          <w:rStyle w:val="FootnoteReference"/>
          <w:rFonts w:ascii="Arial" w:hAnsi="Arial" w:cs="Arial"/>
          <w:lang w:eastAsia="en-GB"/>
        </w:rPr>
        <w:footnoteReference w:id="5"/>
      </w:r>
      <w:r w:rsidRPr="00D800F0">
        <w:rPr>
          <w:rFonts w:ascii="Arial" w:hAnsi="Arial" w:cs="Arial"/>
          <w:lang w:eastAsia="en-GB"/>
        </w:rPr>
        <w:t xml:space="preserve">. </w:t>
      </w:r>
    </w:p>
    <w:p w14:paraId="610BC973" w14:textId="77777777" w:rsidR="00DA7E40" w:rsidRPr="00D800F0" w:rsidRDefault="00DA7E40" w:rsidP="00DA7E40">
      <w:pPr>
        <w:pStyle w:val="Caption"/>
        <w:rPr>
          <w:rFonts w:ascii="Arial" w:hAnsi="Arial" w:cs="Arial"/>
        </w:rPr>
      </w:pPr>
      <w:bookmarkStart w:id="72" w:name="_Ref148200044"/>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E</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1</w:t>
      </w:r>
      <w:r w:rsidRPr="00D800F0">
        <w:rPr>
          <w:rFonts w:ascii="Arial" w:hAnsi="Arial" w:cs="Arial"/>
          <w:noProof/>
        </w:rPr>
        <w:fldChar w:fldCharType="end"/>
      </w:r>
      <w:bookmarkEnd w:id="71"/>
      <w:bookmarkEnd w:id="72"/>
      <w:r w:rsidRPr="00D800F0">
        <w:rPr>
          <w:rFonts w:ascii="Arial" w:hAnsi="Arial" w:cs="Arial"/>
        </w:rPr>
        <w:t>: Nomenclature.</w:t>
      </w:r>
    </w:p>
    <w:tbl>
      <w:tblPr>
        <w:tblStyle w:val="TableGrid"/>
        <w:tblW w:w="100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5"/>
        <w:gridCol w:w="5415"/>
        <w:gridCol w:w="1899"/>
      </w:tblGrid>
      <w:tr w:rsidR="00DA7E40" w:rsidRPr="00D800F0" w14:paraId="3D3A002C" w14:textId="77777777" w:rsidTr="0000614D">
        <w:tc>
          <w:tcPr>
            <w:tcW w:w="2775" w:type="dxa"/>
            <w:tcBorders>
              <w:top w:val="single" w:sz="4" w:space="0" w:color="auto"/>
              <w:bottom w:val="single" w:sz="4" w:space="0" w:color="auto"/>
            </w:tcBorders>
          </w:tcPr>
          <w:p w14:paraId="1C3C37FE" w14:textId="77777777" w:rsidR="00DA7E40" w:rsidRPr="00D800F0" w:rsidRDefault="00DA7E40" w:rsidP="0000614D">
            <w:pPr>
              <w:rPr>
                <w:rFonts w:ascii="Arial" w:hAnsi="Arial" w:cs="Arial"/>
                <w:i/>
                <w:iCs/>
              </w:rPr>
            </w:pPr>
            <w:r w:rsidRPr="00D800F0">
              <w:rPr>
                <w:rFonts w:ascii="Arial" w:hAnsi="Arial" w:cs="Arial"/>
                <w:i/>
                <w:iCs/>
              </w:rPr>
              <w:t>Variables/Parameters</w:t>
            </w:r>
          </w:p>
        </w:tc>
        <w:tc>
          <w:tcPr>
            <w:tcW w:w="5415" w:type="dxa"/>
            <w:tcBorders>
              <w:top w:val="single" w:sz="4" w:space="0" w:color="auto"/>
              <w:bottom w:val="single" w:sz="4" w:space="0" w:color="auto"/>
            </w:tcBorders>
          </w:tcPr>
          <w:p w14:paraId="4D3CBE60" w14:textId="77777777" w:rsidR="00DA7E40" w:rsidRPr="00D800F0" w:rsidRDefault="00DA7E40" w:rsidP="0000614D">
            <w:pPr>
              <w:rPr>
                <w:rFonts w:ascii="Arial" w:hAnsi="Arial" w:cs="Arial"/>
                <w:i/>
                <w:iCs/>
              </w:rPr>
            </w:pPr>
            <w:r w:rsidRPr="00D800F0">
              <w:rPr>
                <w:rFonts w:ascii="Arial" w:hAnsi="Arial" w:cs="Arial"/>
                <w:i/>
                <w:iCs/>
              </w:rPr>
              <w:t>Description</w:t>
            </w:r>
          </w:p>
        </w:tc>
        <w:tc>
          <w:tcPr>
            <w:tcW w:w="1899" w:type="dxa"/>
            <w:tcBorders>
              <w:top w:val="single" w:sz="4" w:space="0" w:color="auto"/>
              <w:bottom w:val="single" w:sz="4" w:space="0" w:color="auto"/>
            </w:tcBorders>
          </w:tcPr>
          <w:p w14:paraId="2E603E12" w14:textId="77777777" w:rsidR="00DA7E40" w:rsidRPr="00D800F0" w:rsidRDefault="00DA7E40" w:rsidP="0000614D">
            <w:pPr>
              <w:rPr>
                <w:rFonts w:ascii="Arial" w:hAnsi="Arial" w:cs="Arial"/>
                <w:i/>
                <w:iCs/>
              </w:rPr>
            </w:pPr>
            <w:r w:rsidRPr="00D800F0">
              <w:rPr>
                <w:rFonts w:ascii="Arial" w:hAnsi="Arial" w:cs="Arial"/>
                <w:i/>
                <w:iCs/>
              </w:rPr>
              <w:t>Units</w:t>
            </w:r>
          </w:p>
        </w:tc>
      </w:tr>
      <w:tr w:rsidR="00DA7E40" w:rsidRPr="00D800F0" w14:paraId="441BA7F7" w14:textId="77777777" w:rsidTr="0000614D">
        <w:trPr>
          <w:trHeight w:val="432"/>
        </w:trPr>
        <w:tc>
          <w:tcPr>
            <w:tcW w:w="2775" w:type="dxa"/>
            <w:tcBorders>
              <w:top w:val="single" w:sz="4" w:space="0" w:color="auto"/>
            </w:tcBorders>
          </w:tcPr>
          <w:p w14:paraId="75256455" w14:textId="77777777" w:rsidR="00DA7E40" w:rsidRPr="00D800F0" w:rsidRDefault="00DA7E40" w:rsidP="0000614D">
            <w:pPr>
              <w:rPr>
                <w:rFonts w:ascii="Arial" w:hAnsi="Arial" w:cs="Arial"/>
              </w:rPr>
            </w:pPr>
            <m:oMathPara>
              <m:oMathParaPr>
                <m:jc m:val="left"/>
              </m:oMathParaPr>
              <m:oMath>
                <m:r>
                  <m:rPr>
                    <m:sty m:val="bi"/>
                  </m:rPr>
                  <w:rPr>
                    <w:rFonts w:ascii="Cambria Math" w:hAnsi="Cambria Math" w:cs="Arial"/>
                  </w:rPr>
                  <m:t>MIOPE</m:t>
                </m:r>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el</m:t>
                    </m:r>
                  </m:sub>
                </m:sSub>
                <m:d>
                  <m:dPr>
                    <m:ctrlPr>
                      <w:rPr>
                        <w:rFonts w:ascii="Cambria Math" w:hAnsi="Cambria Math" w:cs="Arial"/>
                        <w:b/>
                        <w:bCs/>
                        <w:i/>
                      </w:rPr>
                    </m:ctrlPr>
                  </m:dPr>
                  <m:e>
                    <m:r>
                      <m:rPr>
                        <m:sty m:val="b"/>
                      </m:rPr>
                      <w:rPr>
                        <w:rFonts w:ascii="Cambria Math" w:hAnsi="Cambria Math" w:cs="Arial"/>
                      </w:rPr>
                      <m:t>Γ</m:t>
                    </m:r>
                  </m:e>
                </m:d>
              </m:oMath>
            </m:oMathPara>
          </w:p>
        </w:tc>
        <w:tc>
          <w:tcPr>
            <w:tcW w:w="5415" w:type="dxa"/>
            <w:tcBorders>
              <w:top w:val="single" w:sz="4" w:space="0" w:color="auto"/>
            </w:tcBorders>
          </w:tcPr>
          <w:p w14:paraId="3687149B" w14:textId="77777777" w:rsidR="00DA7E40" w:rsidRPr="00D800F0" w:rsidRDefault="00DA7E40" w:rsidP="0000614D">
            <w:pPr>
              <w:rPr>
                <w:rFonts w:ascii="Arial" w:hAnsi="Arial" w:cs="Arial"/>
                <w:b/>
                <w:bCs/>
              </w:rPr>
            </w:pPr>
            <w:r w:rsidRPr="00D800F0">
              <w:rPr>
                <w:rFonts w:ascii="Arial" w:hAnsi="Arial" w:cs="Arial"/>
              </w:rPr>
              <w:t>Additional market-independent OPEX as a function of the remainder of the AP plant time attributed to the wind and battery O&amp;M.</w:t>
            </w:r>
          </w:p>
        </w:tc>
        <w:tc>
          <w:tcPr>
            <w:tcW w:w="1899" w:type="dxa"/>
            <w:tcBorders>
              <w:top w:val="single" w:sz="4" w:space="0" w:color="auto"/>
            </w:tcBorders>
          </w:tcPr>
          <w:p w14:paraId="772E3E5F" w14:textId="77777777" w:rsidR="00DA7E40" w:rsidRPr="00D800F0" w:rsidRDefault="00DA7E40" w:rsidP="0000614D">
            <w:pPr>
              <w:rPr>
                <w:rFonts w:ascii="Arial" w:hAnsi="Arial" w:cs="Arial"/>
              </w:rPr>
            </w:pPr>
            <w:r w:rsidRPr="00D800F0">
              <w:rPr>
                <w:rFonts w:ascii="Arial" w:hAnsi="Arial" w:cs="Arial"/>
              </w:rPr>
              <w:t>$/month</w:t>
            </w:r>
          </w:p>
        </w:tc>
      </w:tr>
      <w:tr w:rsidR="00DA7E40" w:rsidRPr="00D800F0" w14:paraId="0907F085" w14:textId="77777777" w:rsidTr="0000614D">
        <w:trPr>
          <w:trHeight w:val="432"/>
        </w:trPr>
        <w:tc>
          <w:tcPr>
            <w:tcW w:w="2775" w:type="dxa"/>
          </w:tcPr>
          <w:p w14:paraId="74078678" w14:textId="77777777" w:rsidR="00DA7E40" w:rsidRPr="00D800F0" w:rsidRDefault="00000000" w:rsidP="0000614D">
            <w:pPr>
              <w:rPr>
                <w:rFonts w:ascii="Arial" w:hAnsi="Arial" w:cs="Arial"/>
                <w:b/>
              </w:rPr>
            </w:pPr>
            <m:oMathPara>
              <m:oMathParaPr>
                <m:jc m:val="left"/>
              </m:oMathParaPr>
              <m:oMath>
                <m:sSub>
                  <m:sSubPr>
                    <m:ctrlPr>
                      <w:rPr>
                        <w:rFonts w:ascii="Cambria Math" w:hAnsi="Cambria Math" w:cs="Arial"/>
                        <w:b/>
                        <w:bCs/>
                        <w:i/>
                      </w:rPr>
                    </m:ctrlPr>
                  </m:sSubPr>
                  <m:e>
                    <m:r>
                      <m:rPr>
                        <m:sty m:val="bi"/>
                      </m:rPr>
                      <w:rPr>
                        <w:rFonts w:ascii="Cambria Math" w:hAnsi="Cambria Math" w:cs="Arial"/>
                      </w:rPr>
                      <m:t>d</m:t>
                    </m:r>
                  </m:e>
                  <m:sub>
                    <m:r>
                      <m:rPr>
                        <m:sty m:val="bi"/>
                      </m:rPr>
                      <w:rPr>
                        <w:rFonts w:ascii="Cambria Math" w:hAnsi="Cambria Math" w:cs="Arial"/>
                      </w:rPr>
                      <m:t>monthly</m:t>
                    </m:r>
                  </m:sub>
                </m:sSub>
                <m:d>
                  <m:dPr>
                    <m:ctrlPr>
                      <w:rPr>
                        <w:rFonts w:ascii="Cambria Math" w:hAnsi="Cambria Math" w:cs="Arial"/>
                        <w:b/>
                        <w:bCs/>
                      </w:rPr>
                    </m:ctrlPr>
                  </m:dPr>
                  <m:e>
                    <m:r>
                      <m:rPr>
                        <m:sty m:val="b"/>
                      </m:rPr>
                      <w:rPr>
                        <w:rFonts w:ascii="Cambria Math" w:hAnsi="Cambria Math" w:cs="Arial"/>
                      </w:rPr>
                      <m:t>Γ</m:t>
                    </m:r>
                  </m:e>
                </m:d>
              </m:oMath>
            </m:oMathPara>
          </w:p>
        </w:tc>
        <w:tc>
          <w:tcPr>
            <w:tcW w:w="5415" w:type="dxa"/>
          </w:tcPr>
          <w:p w14:paraId="5FBE9E55" w14:textId="77777777" w:rsidR="00DA7E40" w:rsidRPr="00D800F0" w:rsidRDefault="00DA7E40" w:rsidP="0000614D">
            <w:pPr>
              <w:rPr>
                <w:rFonts w:ascii="Arial" w:hAnsi="Arial" w:cs="Arial"/>
              </w:rPr>
            </w:pPr>
            <w:r w:rsidRPr="00D800F0">
              <w:rPr>
                <w:rFonts w:ascii="Arial" w:hAnsi="Arial" w:cs="Arial"/>
              </w:rPr>
              <w:t>Monthly aggregated sum of the battery discharge</w:t>
            </w:r>
          </w:p>
        </w:tc>
        <w:tc>
          <w:tcPr>
            <w:tcW w:w="1899" w:type="dxa"/>
          </w:tcPr>
          <w:p w14:paraId="2ECCFCB8" w14:textId="77777777" w:rsidR="00DA7E40" w:rsidRPr="00D800F0" w:rsidRDefault="00DA7E40" w:rsidP="0000614D">
            <w:pPr>
              <w:rPr>
                <w:rFonts w:ascii="Arial" w:hAnsi="Arial" w:cs="Arial"/>
              </w:rPr>
            </w:pPr>
            <w:r w:rsidRPr="00D800F0">
              <w:rPr>
                <w:rFonts w:ascii="Arial" w:hAnsi="Arial" w:cs="Arial"/>
              </w:rPr>
              <w:t>MWh/month</w:t>
            </w:r>
          </w:p>
        </w:tc>
      </w:tr>
      <w:tr w:rsidR="00DA7E40" w:rsidRPr="00D800F0" w14:paraId="37C90B59" w14:textId="77777777" w:rsidTr="0000614D">
        <w:trPr>
          <w:trHeight w:val="432"/>
        </w:trPr>
        <w:tc>
          <w:tcPr>
            <w:tcW w:w="2775" w:type="dxa"/>
          </w:tcPr>
          <w:p w14:paraId="10A2D159" w14:textId="77777777" w:rsidR="00DA7E40" w:rsidRPr="00D800F0" w:rsidRDefault="00000000" w:rsidP="0000614D">
            <w:pPr>
              <w:rPr>
                <w:rFonts w:ascii="Arial" w:hAnsi="Arial" w:cs="Arial"/>
                <w:b/>
                <w:bCs/>
              </w:rPr>
            </w:pPr>
            <m:oMathPara>
              <m:oMathParaPr>
                <m:jc m:val="left"/>
              </m:oMathParaPr>
              <m:oMath>
                <m:sSubSup>
                  <m:sSubSupPr>
                    <m:ctrlPr>
                      <w:rPr>
                        <w:rFonts w:ascii="Cambria Math" w:hAnsi="Cambria Math" w:cs="Arial"/>
                        <w:b/>
                        <w:bCs/>
                        <w:i/>
                      </w:rPr>
                    </m:ctrlPr>
                  </m:sSubSupPr>
                  <m:e>
                    <m:r>
                      <m:rPr>
                        <m:sty m:val="bi"/>
                      </m:rPr>
                      <w:rPr>
                        <w:rFonts w:ascii="Cambria Math" w:hAnsi="Cambria Math" w:cs="Arial"/>
                      </w:rPr>
                      <m:t>C</m:t>
                    </m:r>
                  </m:e>
                  <m:sub>
                    <m:r>
                      <m:rPr>
                        <m:sty m:val="bi"/>
                      </m:rPr>
                      <w:rPr>
                        <w:rFonts w:ascii="Cambria Math" w:hAnsi="Cambria Math" w:cs="Arial"/>
                      </w:rPr>
                      <m:t>f+v</m:t>
                    </m:r>
                  </m:sub>
                  <m:sup>
                    <m:r>
                      <m:rPr>
                        <m:sty m:val="bi"/>
                      </m:rPr>
                      <w:rPr>
                        <w:rFonts w:ascii="Cambria Math" w:hAnsi="Cambria Math" w:cs="Arial"/>
                      </w:rPr>
                      <m:t>wind</m:t>
                    </m:r>
                  </m:sup>
                </m:sSubSup>
              </m:oMath>
            </m:oMathPara>
          </w:p>
        </w:tc>
        <w:tc>
          <w:tcPr>
            <w:tcW w:w="5415" w:type="dxa"/>
          </w:tcPr>
          <w:p w14:paraId="5145EB31" w14:textId="77777777" w:rsidR="00DA7E40" w:rsidRPr="00D800F0" w:rsidRDefault="00DA7E40" w:rsidP="0000614D">
            <w:pPr>
              <w:rPr>
                <w:rFonts w:ascii="Arial" w:hAnsi="Arial" w:cs="Arial"/>
              </w:rPr>
            </w:pPr>
            <w:r w:rsidRPr="00D800F0">
              <w:rPr>
                <w:rFonts w:ascii="Arial" w:hAnsi="Arial" w:cs="Arial"/>
              </w:rPr>
              <w:t>Fixed and variable O&amp;M cost of the wind farm</w:t>
            </w:r>
          </w:p>
        </w:tc>
        <w:tc>
          <w:tcPr>
            <w:tcW w:w="1899" w:type="dxa"/>
          </w:tcPr>
          <w:p w14:paraId="025CA8EC" w14:textId="77777777" w:rsidR="00DA7E40" w:rsidRPr="00D800F0" w:rsidRDefault="00DA7E40" w:rsidP="0000614D">
            <w:pPr>
              <w:rPr>
                <w:rFonts w:ascii="Arial" w:hAnsi="Arial" w:cs="Arial"/>
              </w:rPr>
            </w:pPr>
            <w:r w:rsidRPr="00D800F0">
              <w:rPr>
                <w:rFonts w:ascii="Arial" w:hAnsi="Arial" w:cs="Arial"/>
              </w:rPr>
              <w:t>$/MW/year</w:t>
            </w:r>
          </w:p>
        </w:tc>
      </w:tr>
      <w:tr w:rsidR="00DA7E40" w:rsidRPr="00D800F0" w14:paraId="5A9BF6F4" w14:textId="77777777" w:rsidTr="0000614D">
        <w:trPr>
          <w:trHeight w:val="432"/>
        </w:trPr>
        <w:tc>
          <w:tcPr>
            <w:tcW w:w="2775" w:type="dxa"/>
          </w:tcPr>
          <w:p w14:paraId="36C53638" w14:textId="77777777" w:rsidR="00DA7E40" w:rsidRPr="00D800F0" w:rsidRDefault="00000000" w:rsidP="0000614D">
            <w:pPr>
              <w:rPr>
                <w:rFonts w:ascii="Arial" w:hAnsi="Arial" w:cs="Arial"/>
                <w:b/>
                <w:bCs/>
              </w:rPr>
            </w:pPr>
            <m:oMathPara>
              <m:oMathParaPr>
                <m:jc m:val="left"/>
              </m:oMathParaPr>
              <m:oMath>
                <m:sSubSup>
                  <m:sSubSupPr>
                    <m:ctrlPr>
                      <w:rPr>
                        <w:rFonts w:ascii="Cambria Math" w:hAnsi="Cambria Math" w:cs="Arial"/>
                        <w:b/>
                        <w:bCs/>
                        <w:i/>
                      </w:rPr>
                    </m:ctrlPr>
                  </m:sSubSupPr>
                  <m:e>
                    <m:r>
                      <m:rPr>
                        <m:sty m:val="bi"/>
                      </m:rPr>
                      <w:rPr>
                        <w:rFonts w:ascii="Cambria Math" w:hAnsi="Cambria Math" w:cs="Arial"/>
                      </w:rPr>
                      <m:t>C</m:t>
                    </m:r>
                  </m:e>
                  <m:sub>
                    <m:r>
                      <m:rPr>
                        <m:sty m:val="bi"/>
                      </m:rPr>
                      <w:rPr>
                        <w:rFonts w:ascii="Cambria Math" w:hAnsi="Cambria Math" w:cs="Arial"/>
                      </w:rPr>
                      <m:t>f</m:t>
                    </m:r>
                  </m:sub>
                  <m:sup>
                    <m:r>
                      <m:rPr>
                        <m:sty m:val="bi"/>
                      </m:rPr>
                      <w:rPr>
                        <w:rFonts w:ascii="Cambria Math" w:hAnsi="Cambria Math" w:cs="Arial"/>
                      </w:rPr>
                      <m:t>battery</m:t>
                    </m:r>
                  </m:sup>
                </m:sSubSup>
              </m:oMath>
            </m:oMathPara>
          </w:p>
        </w:tc>
        <w:tc>
          <w:tcPr>
            <w:tcW w:w="5415" w:type="dxa"/>
          </w:tcPr>
          <w:p w14:paraId="46BDC781" w14:textId="77777777" w:rsidR="00DA7E40" w:rsidRPr="00D800F0" w:rsidRDefault="00DA7E40" w:rsidP="0000614D">
            <w:pPr>
              <w:rPr>
                <w:rFonts w:ascii="Arial" w:hAnsi="Arial" w:cs="Arial"/>
              </w:rPr>
            </w:pPr>
            <w:r w:rsidRPr="00D800F0">
              <w:rPr>
                <w:rFonts w:ascii="Arial" w:hAnsi="Arial" w:cs="Arial"/>
              </w:rPr>
              <w:t>Fixed O&amp;M costs of the battery system</w:t>
            </w:r>
          </w:p>
        </w:tc>
        <w:tc>
          <w:tcPr>
            <w:tcW w:w="1899" w:type="dxa"/>
          </w:tcPr>
          <w:p w14:paraId="799B6C70" w14:textId="77777777" w:rsidR="00DA7E40" w:rsidRPr="00D800F0" w:rsidRDefault="00DA7E40" w:rsidP="0000614D">
            <w:pPr>
              <w:rPr>
                <w:rFonts w:ascii="Arial" w:hAnsi="Arial" w:cs="Arial"/>
              </w:rPr>
            </w:pPr>
            <w:r w:rsidRPr="00D800F0">
              <w:rPr>
                <w:rFonts w:ascii="Arial" w:hAnsi="Arial" w:cs="Arial"/>
              </w:rPr>
              <w:t>$/kW-year</w:t>
            </w:r>
          </w:p>
        </w:tc>
      </w:tr>
      <w:tr w:rsidR="00DA7E40" w:rsidRPr="00D800F0" w14:paraId="009BDE6A" w14:textId="77777777" w:rsidTr="0000614D">
        <w:trPr>
          <w:trHeight w:val="432"/>
        </w:trPr>
        <w:tc>
          <w:tcPr>
            <w:tcW w:w="2775" w:type="dxa"/>
          </w:tcPr>
          <w:p w14:paraId="2C5DC8A2" w14:textId="77777777" w:rsidR="00DA7E40" w:rsidRPr="00D800F0" w:rsidRDefault="00000000" w:rsidP="0000614D">
            <w:pPr>
              <w:rPr>
                <w:rFonts w:ascii="Arial" w:hAnsi="Arial" w:cs="Arial"/>
                <w:b/>
                <w:bCs/>
              </w:rPr>
            </w:pPr>
            <m:oMathPara>
              <m:oMathParaPr>
                <m:jc m:val="left"/>
              </m:oMathParaPr>
              <m:oMath>
                <m:sSubSup>
                  <m:sSubSupPr>
                    <m:ctrlPr>
                      <w:rPr>
                        <w:rFonts w:ascii="Cambria Math" w:hAnsi="Cambria Math" w:cs="Arial"/>
                        <w:b/>
                        <w:bCs/>
                        <w:i/>
                      </w:rPr>
                    </m:ctrlPr>
                  </m:sSubSupPr>
                  <m:e>
                    <m:r>
                      <m:rPr>
                        <m:sty m:val="bi"/>
                      </m:rPr>
                      <w:rPr>
                        <w:rFonts w:ascii="Cambria Math" w:hAnsi="Cambria Math" w:cs="Arial"/>
                      </w:rPr>
                      <m:t>C</m:t>
                    </m:r>
                  </m:e>
                  <m:sub>
                    <m:r>
                      <m:rPr>
                        <m:sty m:val="bi"/>
                      </m:rPr>
                      <w:rPr>
                        <w:rFonts w:ascii="Cambria Math" w:hAnsi="Cambria Math" w:cs="Arial"/>
                      </w:rPr>
                      <m:t>v</m:t>
                    </m:r>
                  </m:sub>
                  <m:sup>
                    <m:r>
                      <m:rPr>
                        <m:sty m:val="bi"/>
                      </m:rPr>
                      <w:rPr>
                        <w:rFonts w:ascii="Cambria Math" w:hAnsi="Cambria Math" w:cs="Arial"/>
                      </w:rPr>
                      <m:t>battery</m:t>
                    </m:r>
                  </m:sup>
                </m:sSubSup>
              </m:oMath>
            </m:oMathPara>
          </w:p>
        </w:tc>
        <w:tc>
          <w:tcPr>
            <w:tcW w:w="5415" w:type="dxa"/>
          </w:tcPr>
          <w:p w14:paraId="24E6A819" w14:textId="77777777" w:rsidR="00DA7E40" w:rsidRPr="00D800F0" w:rsidRDefault="00DA7E40" w:rsidP="0000614D">
            <w:pPr>
              <w:rPr>
                <w:rFonts w:ascii="Arial" w:hAnsi="Arial" w:cs="Arial"/>
              </w:rPr>
            </w:pPr>
            <w:r w:rsidRPr="00D800F0">
              <w:rPr>
                <w:rFonts w:ascii="Arial" w:hAnsi="Arial" w:cs="Arial"/>
              </w:rPr>
              <w:t>Variable O&amp;M costs of the battery system</w:t>
            </w:r>
          </w:p>
        </w:tc>
        <w:tc>
          <w:tcPr>
            <w:tcW w:w="1899" w:type="dxa"/>
          </w:tcPr>
          <w:p w14:paraId="3FCB983B" w14:textId="77777777" w:rsidR="00DA7E40" w:rsidRPr="00D800F0" w:rsidRDefault="00DA7E40" w:rsidP="0000614D">
            <w:pPr>
              <w:rPr>
                <w:rFonts w:ascii="Arial" w:hAnsi="Arial" w:cs="Arial"/>
              </w:rPr>
            </w:pPr>
            <w:r w:rsidRPr="00D800F0">
              <w:rPr>
                <w:rFonts w:ascii="Arial" w:hAnsi="Arial" w:cs="Arial"/>
              </w:rPr>
              <w:t>$/MWh</w:t>
            </w:r>
          </w:p>
        </w:tc>
      </w:tr>
      <w:tr w:rsidR="00DA7E40" w:rsidRPr="00D800F0" w14:paraId="76D99A6C" w14:textId="77777777" w:rsidTr="0000614D">
        <w:trPr>
          <w:trHeight w:val="432"/>
        </w:trPr>
        <w:tc>
          <w:tcPr>
            <w:tcW w:w="2775" w:type="dxa"/>
          </w:tcPr>
          <w:p w14:paraId="76B026DA" w14:textId="77777777" w:rsidR="00DA7E40" w:rsidRPr="00D800F0" w:rsidRDefault="00DA7E40" w:rsidP="0000614D">
            <w:pPr>
              <w:rPr>
                <w:rFonts w:ascii="Arial" w:hAnsi="Arial" w:cs="Arial"/>
                <w:b/>
                <w:bCs/>
              </w:rPr>
            </w:pPr>
            <m:oMathPara>
              <m:oMathParaPr>
                <m:jc m:val="left"/>
              </m:oMathParaPr>
              <m:oMath>
                <m:r>
                  <m:rPr>
                    <m:sty m:val="bi"/>
                  </m:rPr>
                  <w:rPr>
                    <w:rFonts w:ascii="Cambria Math" w:hAnsi="Cambria Math" w:cs="Arial"/>
                  </w:rPr>
                  <m:t>L</m:t>
                </m:r>
              </m:oMath>
            </m:oMathPara>
          </w:p>
        </w:tc>
        <w:tc>
          <w:tcPr>
            <w:tcW w:w="5415" w:type="dxa"/>
          </w:tcPr>
          <w:p w14:paraId="5ECF68B0" w14:textId="77777777" w:rsidR="00DA7E40" w:rsidRPr="00D800F0" w:rsidRDefault="00DA7E40" w:rsidP="0000614D">
            <w:pPr>
              <w:rPr>
                <w:rFonts w:ascii="Arial" w:hAnsi="Arial" w:cs="Arial"/>
              </w:rPr>
            </w:pPr>
            <w:r w:rsidRPr="00D800F0">
              <w:rPr>
                <w:rFonts w:ascii="Arial" w:hAnsi="Arial" w:cs="Arial"/>
              </w:rPr>
              <w:t>Plant operating lifetime</w:t>
            </w:r>
          </w:p>
        </w:tc>
        <w:tc>
          <w:tcPr>
            <w:tcW w:w="1899" w:type="dxa"/>
          </w:tcPr>
          <w:p w14:paraId="55F0181B" w14:textId="77777777" w:rsidR="00DA7E40" w:rsidRPr="00D800F0" w:rsidRDefault="00DA7E40" w:rsidP="0000614D">
            <w:pPr>
              <w:rPr>
                <w:rFonts w:ascii="Arial" w:hAnsi="Arial" w:cs="Arial"/>
              </w:rPr>
            </w:pPr>
            <w:r w:rsidRPr="00D800F0">
              <w:rPr>
                <w:rFonts w:ascii="Arial" w:hAnsi="Arial" w:cs="Arial"/>
              </w:rPr>
              <w:t>months</w:t>
            </w:r>
          </w:p>
        </w:tc>
      </w:tr>
      <w:tr w:rsidR="00DA7E40" w:rsidRPr="00D800F0" w14:paraId="1F6E0A3F" w14:textId="77777777" w:rsidTr="0000614D">
        <w:trPr>
          <w:trHeight w:val="432"/>
        </w:trPr>
        <w:tc>
          <w:tcPr>
            <w:tcW w:w="2775" w:type="dxa"/>
          </w:tcPr>
          <w:p w14:paraId="1506208A" w14:textId="77777777" w:rsidR="00DA7E40" w:rsidRPr="00D800F0" w:rsidRDefault="00DA7E40" w:rsidP="0000614D">
            <w:pPr>
              <w:rPr>
                <w:rFonts w:ascii="Arial" w:hAnsi="Arial" w:cs="Arial"/>
                <w:b/>
                <w:bCs/>
              </w:rPr>
            </w:pPr>
            <m:oMathPara>
              <m:oMathParaPr>
                <m:jc m:val="left"/>
              </m:oMathParaPr>
              <m:oMath>
                <m:r>
                  <m:rPr>
                    <m:sty m:val="bi"/>
                  </m:rPr>
                  <w:rPr>
                    <w:rFonts w:ascii="Cambria Math" w:hAnsi="Cambria Math" w:cs="Arial"/>
                  </w:rPr>
                  <m:t>S</m:t>
                </m:r>
              </m:oMath>
            </m:oMathPara>
          </w:p>
        </w:tc>
        <w:tc>
          <w:tcPr>
            <w:tcW w:w="5415" w:type="dxa"/>
          </w:tcPr>
          <w:p w14:paraId="271B18FD" w14:textId="77777777" w:rsidR="00DA7E40" w:rsidRPr="00D800F0" w:rsidRDefault="00DA7E40" w:rsidP="0000614D">
            <w:pPr>
              <w:rPr>
                <w:rFonts w:ascii="Arial" w:hAnsi="Arial" w:cs="Arial"/>
              </w:rPr>
            </w:pPr>
            <w:r w:rsidRPr="00D800F0">
              <w:rPr>
                <w:rFonts w:ascii="Arial" w:hAnsi="Arial" w:cs="Arial"/>
              </w:rPr>
              <w:t>The time step in which the plant construction begins</w:t>
            </w:r>
          </w:p>
        </w:tc>
        <w:tc>
          <w:tcPr>
            <w:tcW w:w="1899" w:type="dxa"/>
          </w:tcPr>
          <w:p w14:paraId="559A66FE" w14:textId="77777777" w:rsidR="00DA7E40" w:rsidRPr="00D800F0" w:rsidRDefault="00DA7E40" w:rsidP="0000614D">
            <w:pPr>
              <w:rPr>
                <w:rFonts w:ascii="Arial" w:hAnsi="Arial" w:cs="Arial"/>
              </w:rPr>
            </w:pPr>
            <w:r w:rsidRPr="00D800F0">
              <w:rPr>
                <w:rFonts w:ascii="Arial" w:hAnsi="Arial" w:cs="Arial"/>
              </w:rPr>
              <w:t>month</w:t>
            </w:r>
          </w:p>
        </w:tc>
      </w:tr>
      <w:tr w:rsidR="00DA7E40" w:rsidRPr="00D800F0" w14:paraId="161B20AC" w14:textId="77777777" w:rsidTr="0000614D">
        <w:trPr>
          <w:trHeight w:val="432"/>
        </w:trPr>
        <w:tc>
          <w:tcPr>
            <w:tcW w:w="2775" w:type="dxa"/>
          </w:tcPr>
          <w:p w14:paraId="5B8BE2E9" w14:textId="77777777" w:rsidR="00DA7E40" w:rsidRPr="00D800F0" w:rsidRDefault="00DA7E40" w:rsidP="0000614D">
            <w:pPr>
              <w:rPr>
                <w:rFonts w:ascii="Arial" w:hAnsi="Arial" w:cs="Arial"/>
                <w:b/>
                <w:bCs/>
              </w:rPr>
            </w:pPr>
            <m:oMathPara>
              <m:oMathParaPr>
                <m:jc m:val="left"/>
              </m:oMathParaPr>
              <m:oMath>
                <m:r>
                  <m:rPr>
                    <m:sty m:val="bi"/>
                  </m:rPr>
                  <w:rPr>
                    <w:rFonts w:ascii="Cambria Math" w:hAnsi="Cambria Math" w:cs="Arial"/>
                  </w:rPr>
                  <m:t>C</m:t>
                </m:r>
              </m:oMath>
            </m:oMathPara>
          </w:p>
        </w:tc>
        <w:tc>
          <w:tcPr>
            <w:tcW w:w="5415" w:type="dxa"/>
          </w:tcPr>
          <w:p w14:paraId="208CDE30" w14:textId="77777777" w:rsidR="00DA7E40" w:rsidRPr="00D800F0" w:rsidRDefault="00DA7E40" w:rsidP="0000614D">
            <w:pPr>
              <w:rPr>
                <w:rFonts w:ascii="Arial" w:hAnsi="Arial" w:cs="Arial"/>
              </w:rPr>
            </w:pPr>
            <w:r w:rsidRPr="00D800F0">
              <w:rPr>
                <w:rFonts w:ascii="Arial" w:hAnsi="Arial" w:cs="Arial"/>
              </w:rPr>
              <w:t>Construction time</w:t>
            </w:r>
          </w:p>
        </w:tc>
        <w:tc>
          <w:tcPr>
            <w:tcW w:w="1899" w:type="dxa"/>
          </w:tcPr>
          <w:p w14:paraId="57348D3C" w14:textId="77777777" w:rsidR="00DA7E40" w:rsidRPr="00D800F0" w:rsidRDefault="00DA7E40" w:rsidP="0000614D">
            <w:pPr>
              <w:rPr>
                <w:rFonts w:ascii="Arial" w:hAnsi="Arial" w:cs="Arial"/>
              </w:rPr>
            </w:pPr>
            <w:r w:rsidRPr="00D800F0">
              <w:rPr>
                <w:rFonts w:ascii="Arial" w:hAnsi="Arial" w:cs="Arial"/>
              </w:rPr>
              <w:t>months</w:t>
            </w:r>
          </w:p>
        </w:tc>
      </w:tr>
      <w:tr w:rsidR="00DA7E40" w:rsidRPr="00D800F0" w14:paraId="487281E3" w14:textId="77777777" w:rsidTr="0000614D">
        <w:trPr>
          <w:trHeight w:val="432"/>
        </w:trPr>
        <w:tc>
          <w:tcPr>
            <w:tcW w:w="2775" w:type="dxa"/>
          </w:tcPr>
          <w:p w14:paraId="29C13336" w14:textId="77777777" w:rsidR="00DA7E40" w:rsidRPr="00D800F0" w:rsidRDefault="00000000" w:rsidP="0000614D">
            <w:pPr>
              <w:rPr>
                <w:rFonts w:ascii="Arial" w:hAnsi="Arial" w:cs="Arial"/>
                <w:b/>
                <w:bCs/>
              </w:rPr>
            </w:pPr>
            <m:oMathPara>
              <m:oMathParaPr>
                <m:jc m:val="left"/>
              </m:oMathParaPr>
              <m:oMath>
                <m:sSub>
                  <m:sSubPr>
                    <m:ctrlPr>
                      <w:rPr>
                        <w:rFonts w:ascii="Cambria Math" w:hAnsi="Cambria Math" w:cs="Arial"/>
                        <w:b/>
                        <w:bCs/>
                        <w:i/>
                      </w:rPr>
                    </m:ctrlPr>
                  </m:sSubPr>
                  <m:e>
                    <m:r>
                      <m:rPr>
                        <m:sty m:val="bi"/>
                      </m:rPr>
                      <w:rPr>
                        <w:rFonts w:ascii="Cambria Math" w:hAnsi="Cambria Math" w:cs="Arial"/>
                      </w:rPr>
                      <m:t>S</m:t>
                    </m:r>
                  </m:e>
                  <m:sub>
                    <m:r>
                      <m:rPr>
                        <m:sty m:val="bi"/>
                      </m:rPr>
                      <w:rPr>
                        <w:rFonts w:ascii="Cambria Math" w:hAnsi="Cambria Math" w:cs="Arial"/>
                      </w:rPr>
                      <m:t>el</m:t>
                    </m:r>
                  </m:sub>
                </m:sSub>
                <m:d>
                  <m:dPr>
                    <m:ctrlPr>
                      <w:rPr>
                        <w:rFonts w:ascii="Cambria Math" w:hAnsi="Cambria Math" w:cs="Arial"/>
                        <w:b/>
                        <w:bCs/>
                        <w:i/>
                      </w:rPr>
                    </m:ctrlPr>
                  </m:dPr>
                  <m:e>
                    <m:r>
                      <m:rPr>
                        <m:sty m:val="bi"/>
                      </m:rPr>
                      <w:rPr>
                        <w:rFonts w:ascii="Cambria Math" w:hAnsi="Cambria Math" w:cs="Arial"/>
                      </w:rPr>
                      <m:t>T</m:t>
                    </m:r>
                  </m:e>
                </m:d>
              </m:oMath>
            </m:oMathPara>
          </w:p>
        </w:tc>
        <w:tc>
          <w:tcPr>
            <w:tcW w:w="5415" w:type="dxa"/>
          </w:tcPr>
          <w:p w14:paraId="73D67874" w14:textId="77777777" w:rsidR="00DA7E40" w:rsidRPr="00D800F0" w:rsidRDefault="00DA7E40" w:rsidP="0000614D">
            <w:pPr>
              <w:rPr>
                <w:rFonts w:ascii="Arial" w:hAnsi="Arial" w:cs="Arial"/>
              </w:rPr>
            </w:pPr>
            <w:r w:rsidRPr="00D800F0">
              <w:rPr>
                <w:rFonts w:ascii="Arial" w:hAnsi="Arial" w:cs="Arial"/>
              </w:rPr>
              <w:t>Surplus electricity income.</w:t>
            </w:r>
          </w:p>
        </w:tc>
        <w:tc>
          <w:tcPr>
            <w:tcW w:w="1899" w:type="dxa"/>
          </w:tcPr>
          <w:p w14:paraId="05D7F22E" w14:textId="77777777" w:rsidR="00DA7E40" w:rsidRPr="00D800F0" w:rsidRDefault="00DA7E40" w:rsidP="0000614D">
            <w:pPr>
              <w:rPr>
                <w:rFonts w:ascii="Arial" w:hAnsi="Arial" w:cs="Arial"/>
              </w:rPr>
            </w:pPr>
            <w:r w:rsidRPr="00D800F0">
              <w:rPr>
                <w:rFonts w:ascii="Arial" w:hAnsi="Arial" w:cs="Arial"/>
              </w:rPr>
              <w:t>$/month</w:t>
            </w:r>
          </w:p>
        </w:tc>
      </w:tr>
      <w:tr w:rsidR="00DA7E40" w:rsidRPr="00D800F0" w14:paraId="1BB16A48" w14:textId="77777777" w:rsidTr="0000614D">
        <w:trPr>
          <w:trHeight w:val="432"/>
        </w:trPr>
        <w:tc>
          <w:tcPr>
            <w:tcW w:w="2775" w:type="dxa"/>
          </w:tcPr>
          <w:p w14:paraId="6BEDBDA0" w14:textId="77777777" w:rsidR="00DA7E40" w:rsidRPr="00D800F0" w:rsidRDefault="00000000" w:rsidP="0000614D">
            <w:pPr>
              <w:rPr>
                <w:rFonts w:ascii="Arial" w:hAnsi="Arial" w:cs="Arial"/>
                <w:b/>
                <w:bCs/>
              </w:rPr>
            </w:pPr>
            <m:oMathPara>
              <m:oMathParaPr>
                <m:jc m:val="left"/>
              </m:oMathParaPr>
              <m:oMath>
                <m:sSub>
                  <m:sSubPr>
                    <m:ctrlPr>
                      <w:rPr>
                        <w:rFonts w:ascii="Cambria Math" w:hAnsi="Cambria Math" w:cs="Arial"/>
                        <w:b/>
                        <w:bCs/>
                        <w:i/>
                      </w:rPr>
                    </m:ctrlPr>
                  </m:sSubPr>
                  <m:e>
                    <m:r>
                      <m:rPr>
                        <m:sty m:val="bi"/>
                      </m:rPr>
                      <w:rPr>
                        <w:rFonts w:ascii="Cambria Math" w:hAnsi="Cambria Math" w:cs="Arial"/>
                      </w:rPr>
                      <m:t>w</m:t>
                    </m:r>
                  </m:e>
                  <m:sub>
                    <m:r>
                      <m:rPr>
                        <m:sty m:val="bi"/>
                      </m:rPr>
                      <w:rPr>
                        <w:rFonts w:ascii="Cambria Math" w:hAnsi="Cambria Math" w:cs="Arial"/>
                      </w:rPr>
                      <m:t>montly</m:t>
                    </m:r>
                  </m:sub>
                </m:sSub>
                <m:d>
                  <m:dPr>
                    <m:ctrlPr>
                      <w:rPr>
                        <w:rFonts w:ascii="Cambria Math" w:hAnsi="Cambria Math" w:cs="Arial"/>
                        <w:b/>
                        <w:bCs/>
                        <w:i/>
                      </w:rPr>
                    </m:ctrlPr>
                  </m:dPr>
                  <m:e>
                    <m:r>
                      <m:rPr>
                        <m:sty m:val="b"/>
                      </m:rPr>
                      <w:rPr>
                        <w:rFonts w:ascii="Cambria Math" w:hAnsi="Cambria Math" w:cs="Arial"/>
                      </w:rPr>
                      <m:t>Γ</m:t>
                    </m:r>
                    <m:ctrlPr>
                      <w:rPr>
                        <w:rFonts w:ascii="Cambria Math" w:hAnsi="Cambria Math" w:cs="Arial"/>
                        <w:b/>
                        <w:bCs/>
                      </w:rPr>
                    </m:ctrlPr>
                  </m:e>
                </m:d>
              </m:oMath>
            </m:oMathPara>
          </w:p>
        </w:tc>
        <w:tc>
          <w:tcPr>
            <w:tcW w:w="5415" w:type="dxa"/>
          </w:tcPr>
          <w:p w14:paraId="1A908D00" w14:textId="77777777" w:rsidR="00DA7E40" w:rsidRPr="00D800F0" w:rsidRDefault="00DA7E40" w:rsidP="0000614D">
            <w:pPr>
              <w:rPr>
                <w:rFonts w:ascii="Arial" w:hAnsi="Arial" w:cs="Arial"/>
              </w:rPr>
            </w:pPr>
            <w:r w:rsidRPr="00D800F0">
              <w:rPr>
                <w:rFonts w:ascii="Arial" w:hAnsi="Arial" w:cs="Arial"/>
              </w:rPr>
              <w:t>Monthly aggregated sum of the total electricity generated by the wind farm.</w:t>
            </w:r>
          </w:p>
        </w:tc>
        <w:tc>
          <w:tcPr>
            <w:tcW w:w="1899" w:type="dxa"/>
          </w:tcPr>
          <w:p w14:paraId="367E05CD" w14:textId="77777777" w:rsidR="00DA7E40" w:rsidRPr="00D800F0" w:rsidRDefault="00DA7E40" w:rsidP="0000614D">
            <w:pPr>
              <w:rPr>
                <w:rFonts w:ascii="Arial" w:hAnsi="Arial" w:cs="Arial"/>
              </w:rPr>
            </w:pPr>
            <w:r w:rsidRPr="00D800F0">
              <w:rPr>
                <w:rFonts w:ascii="Arial" w:hAnsi="Arial" w:cs="Arial"/>
              </w:rPr>
              <w:t>MWh/month</w:t>
            </w:r>
          </w:p>
        </w:tc>
      </w:tr>
      <w:tr w:rsidR="00DA7E40" w:rsidRPr="00D800F0" w14:paraId="1589DEB7" w14:textId="77777777" w:rsidTr="0000614D">
        <w:trPr>
          <w:trHeight w:val="432"/>
        </w:trPr>
        <w:tc>
          <w:tcPr>
            <w:tcW w:w="2775" w:type="dxa"/>
          </w:tcPr>
          <w:p w14:paraId="004719B6" w14:textId="77777777" w:rsidR="00DA7E40" w:rsidRPr="00D800F0" w:rsidRDefault="00DA7E40" w:rsidP="0000614D">
            <w:pPr>
              <w:rPr>
                <w:rFonts w:ascii="Arial" w:hAnsi="Arial" w:cs="Arial"/>
                <w:b/>
                <w:bCs/>
              </w:rPr>
            </w:pPr>
            <m:oMathPara>
              <m:oMathParaPr>
                <m:jc m:val="left"/>
              </m:oMathParaPr>
              <m:oMath>
                <m:r>
                  <m:rPr>
                    <m:sty m:val="b"/>
                  </m:rPr>
                  <w:rPr>
                    <w:rFonts w:ascii="Cambria Math" w:hAnsi="Cambria Math" w:cs="Arial"/>
                  </w:rPr>
                  <m:t>LCO</m:t>
                </m:r>
                <m:sSub>
                  <m:sSubPr>
                    <m:ctrlPr>
                      <w:rPr>
                        <w:rFonts w:ascii="Cambria Math" w:hAnsi="Cambria Math" w:cs="Arial"/>
                        <w:b/>
                        <w:bCs/>
                      </w:rPr>
                    </m:ctrlPr>
                  </m:sSubPr>
                  <m:e>
                    <m:r>
                      <m:rPr>
                        <m:sty m:val="b"/>
                      </m:rPr>
                      <w:rPr>
                        <w:rFonts w:ascii="Cambria Math" w:hAnsi="Cambria Math" w:cs="Arial"/>
                      </w:rPr>
                      <m:t>E</m:t>
                    </m:r>
                  </m:e>
                  <m:sub>
                    <m:r>
                      <m:rPr>
                        <m:sty m:val="b"/>
                      </m:rPr>
                      <w:rPr>
                        <w:rFonts w:ascii="Cambria Math" w:hAnsi="Cambria Math" w:cs="Arial"/>
                      </w:rPr>
                      <m:t>wind farm only</m:t>
                    </m:r>
                  </m:sub>
                </m:sSub>
                <m:r>
                  <m:rPr>
                    <m:sty m:val="b"/>
                  </m:rPr>
                  <w:rPr>
                    <w:rFonts w:ascii="Cambria Math" w:hAnsi="Cambria Math" w:cs="Arial"/>
                  </w:rPr>
                  <m:t>,</m:t>
                </m:r>
              </m:oMath>
            </m:oMathPara>
          </w:p>
        </w:tc>
        <w:tc>
          <w:tcPr>
            <w:tcW w:w="5415" w:type="dxa"/>
          </w:tcPr>
          <w:p w14:paraId="42B20E85" w14:textId="77777777" w:rsidR="00DA7E40" w:rsidRPr="00D800F0" w:rsidRDefault="00DA7E40" w:rsidP="0000614D">
            <w:pPr>
              <w:rPr>
                <w:rFonts w:ascii="Arial" w:hAnsi="Arial" w:cs="Arial"/>
              </w:rPr>
            </w:pPr>
            <w:r w:rsidRPr="00D800F0">
              <w:rPr>
                <w:rFonts w:ascii="Arial" w:hAnsi="Arial" w:cs="Arial"/>
              </w:rPr>
              <w:t xml:space="preserve">The levelized cost of electricity of a stand-alone wind farm. </w:t>
            </w:r>
          </w:p>
        </w:tc>
        <w:tc>
          <w:tcPr>
            <w:tcW w:w="1899" w:type="dxa"/>
          </w:tcPr>
          <w:p w14:paraId="43E3CF05" w14:textId="77777777" w:rsidR="00DA7E40" w:rsidRPr="00D800F0" w:rsidRDefault="00DA7E40" w:rsidP="0000614D">
            <w:pPr>
              <w:rPr>
                <w:rFonts w:ascii="Arial" w:hAnsi="Arial" w:cs="Arial"/>
              </w:rPr>
            </w:pPr>
            <w:r w:rsidRPr="00D800F0">
              <w:rPr>
                <w:rFonts w:ascii="Arial" w:hAnsi="Arial" w:cs="Arial"/>
              </w:rPr>
              <w:t>$/MWh</w:t>
            </w:r>
          </w:p>
        </w:tc>
      </w:tr>
      <w:tr w:rsidR="00DA7E40" w:rsidRPr="00D800F0" w14:paraId="0D96BBC9" w14:textId="77777777" w:rsidTr="0000614D">
        <w:trPr>
          <w:trHeight w:val="432"/>
        </w:trPr>
        <w:tc>
          <w:tcPr>
            <w:tcW w:w="2775" w:type="dxa"/>
          </w:tcPr>
          <w:p w14:paraId="6531DB89" w14:textId="77777777" w:rsidR="00DA7E40" w:rsidRPr="00D800F0" w:rsidRDefault="00000000" w:rsidP="0000614D">
            <w:pPr>
              <w:rPr>
                <w:rFonts w:ascii="Arial" w:hAnsi="Arial" w:cs="Arial"/>
                <w:b/>
                <w:bCs/>
              </w:rPr>
            </w:pPr>
            <m:oMathPara>
              <m:oMathParaPr>
                <m:jc m:val="left"/>
              </m:oMathParaPr>
              <m:oMath>
                <m:sSub>
                  <m:sSubPr>
                    <m:ctrlPr>
                      <w:rPr>
                        <w:rFonts w:ascii="Cambria Math" w:hAnsi="Cambria Math" w:cs="Arial"/>
                        <w:b/>
                        <w:bCs/>
                      </w:rPr>
                    </m:ctrlPr>
                  </m:sSubPr>
                  <m:e>
                    <m:r>
                      <m:rPr>
                        <m:sty m:val="bi"/>
                      </m:rPr>
                      <w:rPr>
                        <w:rFonts w:ascii="Cambria Math" w:hAnsi="Cambria Math" w:cs="Arial"/>
                      </w:rPr>
                      <m:t>P</m:t>
                    </m:r>
                  </m:e>
                  <m:sub>
                    <m:r>
                      <m:rPr>
                        <m:sty m:val="bi"/>
                      </m:rPr>
                      <w:rPr>
                        <w:rFonts w:ascii="Cambria Math" w:hAnsi="Cambria Math" w:cs="Arial"/>
                      </w:rPr>
                      <m:t>Electricity</m:t>
                    </m:r>
                  </m:sub>
                </m:sSub>
                <m:d>
                  <m:dPr>
                    <m:ctrlPr>
                      <w:rPr>
                        <w:rFonts w:ascii="Cambria Math" w:hAnsi="Cambria Math" w:cs="Arial"/>
                        <w:b/>
                        <w:bCs/>
                      </w:rPr>
                    </m:ctrlPr>
                  </m:dPr>
                  <m:e>
                    <m:r>
                      <m:rPr>
                        <m:sty m:val="bi"/>
                      </m:rPr>
                      <w:rPr>
                        <w:rFonts w:ascii="Cambria Math" w:hAnsi="Cambria Math" w:cs="Arial"/>
                      </w:rPr>
                      <m:t>T</m:t>
                    </m:r>
                  </m:e>
                </m:d>
              </m:oMath>
            </m:oMathPara>
          </w:p>
        </w:tc>
        <w:tc>
          <w:tcPr>
            <w:tcW w:w="5415" w:type="dxa"/>
          </w:tcPr>
          <w:p w14:paraId="44BFF46E" w14:textId="77777777" w:rsidR="00DA7E40" w:rsidRPr="00D800F0" w:rsidRDefault="00DA7E40" w:rsidP="0000614D">
            <w:pPr>
              <w:rPr>
                <w:rFonts w:ascii="Arial" w:hAnsi="Arial" w:cs="Arial"/>
              </w:rPr>
            </w:pPr>
            <w:r w:rsidRPr="00D800F0">
              <w:rPr>
                <w:rFonts w:ascii="Arial" w:hAnsi="Arial" w:cs="Arial"/>
              </w:rPr>
              <w:t>Electricity market price</w:t>
            </w:r>
          </w:p>
        </w:tc>
        <w:tc>
          <w:tcPr>
            <w:tcW w:w="1899" w:type="dxa"/>
          </w:tcPr>
          <w:p w14:paraId="1310FBC0" w14:textId="77777777" w:rsidR="00DA7E40" w:rsidRPr="00D800F0" w:rsidRDefault="00DA7E40" w:rsidP="0000614D">
            <w:pPr>
              <w:rPr>
                <w:rFonts w:ascii="Arial" w:hAnsi="Arial" w:cs="Arial"/>
              </w:rPr>
            </w:pPr>
            <w:r w:rsidRPr="00D800F0">
              <w:rPr>
                <w:rFonts w:ascii="Arial" w:hAnsi="Arial" w:cs="Arial"/>
              </w:rPr>
              <w:t>$/kWh</w:t>
            </w:r>
          </w:p>
        </w:tc>
      </w:tr>
      <w:tr w:rsidR="00DA7E40" w:rsidRPr="00D800F0" w14:paraId="2C3E8F5C" w14:textId="77777777" w:rsidTr="0000614D">
        <w:trPr>
          <w:trHeight w:val="432"/>
        </w:trPr>
        <w:tc>
          <w:tcPr>
            <w:tcW w:w="2775" w:type="dxa"/>
          </w:tcPr>
          <w:p w14:paraId="6AAEC8FC" w14:textId="77777777" w:rsidR="00DA7E40" w:rsidRPr="00D800F0" w:rsidRDefault="00DA7E40" w:rsidP="0000614D">
            <w:pPr>
              <w:rPr>
                <w:rFonts w:ascii="Arial" w:hAnsi="Arial" w:cs="Arial"/>
                <w:b/>
                <w:bCs/>
              </w:rPr>
            </w:pPr>
            <m:oMathPara>
              <m:oMathParaPr>
                <m:jc m:val="left"/>
              </m:oMathParaPr>
              <m:oMath>
                <m:r>
                  <m:rPr>
                    <m:sty m:val="bi"/>
                  </m:rPr>
                  <w:rPr>
                    <w:rFonts w:ascii="Cambria Math" w:hAnsi="Cambria Math" w:cs="Arial"/>
                  </w:rPr>
                  <m:t>48</m:t>
                </m:r>
                <m:r>
                  <m:rPr>
                    <m:sty m:val="bi"/>
                  </m:rPr>
                  <w:rPr>
                    <w:rFonts w:ascii="Cambria Math" w:hAnsi="Cambria Math" w:cs="Arial"/>
                  </w:rPr>
                  <m:t>E</m:t>
                </m:r>
              </m:oMath>
            </m:oMathPara>
          </w:p>
        </w:tc>
        <w:tc>
          <w:tcPr>
            <w:tcW w:w="5415" w:type="dxa"/>
          </w:tcPr>
          <w:p w14:paraId="4E6169E0" w14:textId="77777777" w:rsidR="00DA7E40" w:rsidRPr="00D800F0" w:rsidRDefault="00DA7E40" w:rsidP="0000614D">
            <w:pPr>
              <w:rPr>
                <w:rFonts w:ascii="Arial" w:hAnsi="Arial" w:cs="Arial"/>
              </w:rPr>
            </w:pPr>
            <w:r w:rsidRPr="00D800F0">
              <w:rPr>
                <w:rFonts w:ascii="Arial" w:hAnsi="Arial" w:cs="Arial"/>
              </w:rPr>
              <w:t>The percentage ITC of 48E credits from the IRA</w:t>
            </w:r>
          </w:p>
        </w:tc>
        <w:tc>
          <w:tcPr>
            <w:tcW w:w="1899" w:type="dxa"/>
          </w:tcPr>
          <w:p w14:paraId="0A2799A9" w14:textId="77777777" w:rsidR="00DA7E40" w:rsidRPr="00D800F0" w:rsidRDefault="00DA7E40" w:rsidP="0000614D">
            <w:pPr>
              <w:rPr>
                <w:rFonts w:ascii="Arial" w:hAnsi="Arial" w:cs="Arial"/>
              </w:rPr>
            </w:pPr>
            <w:r w:rsidRPr="00D800F0">
              <w:rPr>
                <w:rFonts w:ascii="Arial" w:hAnsi="Arial" w:cs="Arial"/>
              </w:rPr>
              <w:t>%wind and battery CAPEX</w:t>
            </w:r>
          </w:p>
        </w:tc>
      </w:tr>
      <w:tr w:rsidR="00DA7E40" w:rsidRPr="00D800F0" w14:paraId="70A189E0" w14:textId="77777777" w:rsidTr="0000614D">
        <w:trPr>
          <w:trHeight w:val="432"/>
        </w:trPr>
        <w:tc>
          <w:tcPr>
            <w:tcW w:w="2775" w:type="dxa"/>
          </w:tcPr>
          <w:p w14:paraId="770E8147" w14:textId="77777777" w:rsidR="00DA7E40" w:rsidRPr="00D800F0" w:rsidRDefault="00DA7E40" w:rsidP="0000614D">
            <w:pPr>
              <w:rPr>
                <w:rFonts w:ascii="Arial" w:hAnsi="Arial" w:cs="Arial"/>
                <w:b/>
                <w:bCs/>
              </w:rPr>
            </w:pPr>
            <m:oMathPara>
              <m:oMathParaPr>
                <m:jc m:val="left"/>
              </m:oMathParaPr>
              <m:oMath>
                <m:r>
                  <m:rPr>
                    <m:sty m:val="bi"/>
                  </m:rPr>
                  <w:rPr>
                    <w:rFonts w:ascii="Cambria Math" w:hAnsi="Cambria Math" w:cs="Arial"/>
                  </w:rPr>
                  <m:t>45</m:t>
                </m:r>
                <m:r>
                  <m:rPr>
                    <m:sty m:val="bi"/>
                  </m:rPr>
                  <w:rPr>
                    <w:rFonts w:ascii="Cambria Math" w:hAnsi="Cambria Math" w:cs="Arial"/>
                  </w:rPr>
                  <m:t>Y(T)</m:t>
                </m:r>
              </m:oMath>
            </m:oMathPara>
          </w:p>
        </w:tc>
        <w:tc>
          <w:tcPr>
            <w:tcW w:w="5415" w:type="dxa"/>
          </w:tcPr>
          <w:p w14:paraId="02827E3A" w14:textId="77777777" w:rsidR="00DA7E40" w:rsidRPr="00D800F0" w:rsidRDefault="00DA7E40" w:rsidP="0000614D">
            <w:pPr>
              <w:rPr>
                <w:rFonts w:ascii="Arial" w:hAnsi="Arial" w:cs="Arial"/>
              </w:rPr>
            </w:pPr>
            <w:r w:rsidRPr="00D800F0">
              <w:rPr>
                <w:rFonts w:ascii="Arial" w:hAnsi="Arial" w:cs="Arial"/>
              </w:rPr>
              <w:t xml:space="preserve">Time function of 45Y credits bounded by the start of operations and 45Y credit lifetime, </w:t>
            </w:r>
            <m:oMath>
              <m:sSub>
                <m:sSubPr>
                  <m:ctrlPr>
                    <w:rPr>
                      <w:rFonts w:ascii="Cambria Math" w:hAnsi="Cambria Math" w:cs="Arial"/>
                      <w:b/>
                      <w:bCs/>
                      <w:i/>
                    </w:rPr>
                  </m:ctrlPr>
                </m:sSubPr>
                <m:e>
                  <m:r>
                    <m:rPr>
                      <m:sty m:val="bi"/>
                    </m:rPr>
                    <w:rPr>
                      <w:rFonts w:ascii="Cambria Math" w:hAnsi="Cambria Math" w:cs="Arial"/>
                    </w:rPr>
                    <m:t>E</m:t>
                  </m:r>
                </m:e>
                <m:sub>
                  <m:r>
                    <m:rPr>
                      <m:sty m:val="bi"/>
                    </m:rPr>
                    <w:rPr>
                      <w:rFonts w:ascii="Cambria Math" w:hAnsi="Cambria Math" w:cs="Arial"/>
                    </w:rPr>
                    <m:t>45</m:t>
                  </m:r>
                  <m:r>
                    <m:rPr>
                      <m:sty m:val="bi"/>
                    </m:rPr>
                    <w:rPr>
                      <w:rFonts w:ascii="Cambria Math" w:hAnsi="Cambria Math" w:cs="Arial"/>
                    </w:rPr>
                    <m:t>Y</m:t>
                  </m:r>
                </m:sub>
              </m:sSub>
            </m:oMath>
          </w:p>
        </w:tc>
        <w:tc>
          <w:tcPr>
            <w:tcW w:w="1899" w:type="dxa"/>
          </w:tcPr>
          <w:p w14:paraId="63312D3E" w14:textId="77777777" w:rsidR="00DA7E40" w:rsidRPr="00D800F0" w:rsidRDefault="00DA7E40" w:rsidP="0000614D">
            <w:pPr>
              <w:rPr>
                <w:rFonts w:ascii="Arial" w:hAnsi="Arial" w:cs="Arial"/>
              </w:rPr>
            </w:pPr>
            <w:r w:rsidRPr="00D800F0">
              <w:rPr>
                <w:rFonts w:ascii="Arial" w:hAnsi="Arial" w:cs="Arial"/>
              </w:rPr>
              <w:t>$/MWh</w:t>
            </w:r>
          </w:p>
        </w:tc>
      </w:tr>
      <w:tr w:rsidR="00DA7E40" w:rsidRPr="00D800F0" w14:paraId="672CCDE1" w14:textId="77777777" w:rsidTr="0000614D">
        <w:trPr>
          <w:trHeight w:val="432"/>
        </w:trPr>
        <w:tc>
          <w:tcPr>
            <w:tcW w:w="2775" w:type="dxa"/>
          </w:tcPr>
          <w:p w14:paraId="00334BDE" w14:textId="77777777" w:rsidR="00DA7E40" w:rsidRPr="00D800F0" w:rsidRDefault="00000000" w:rsidP="0000614D">
            <w:pPr>
              <w:rPr>
                <w:rFonts w:ascii="Arial" w:hAnsi="Arial" w:cs="Arial"/>
                <w:b/>
                <w:bCs/>
              </w:rPr>
            </w:pPr>
            <m:oMathPara>
              <m:oMathParaPr>
                <m:jc m:val="left"/>
              </m:oMathParaPr>
              <m:oMath>
                <m:sSub>
                  <m:sSubPr>
                    <m:ctrlPr>
                      <w:rPr>
                        <w:rFonts w:ascii="Cambria Math" w:hAnsi="Cambria Math" w:cs="Arial"/>
                        <w:b/>
                        <w:bCs/>
                        <w:i/>
                      </w:rPr>
                    </m:ctrlPr>
                  </m:sSubPr>
                  <m:e>
                    <m:r>
                      <m:rPr>
                        <m:sty m:val="bi"/>
                      </m:rPr>
                      <w:rPr>
                        <w:rFonts w:ascii="Cambria Math" w:hAnsi="Cambria Math" w:cs="Arial"/>
                      </w:rPr>
                      <m:t>E</m:t>
                    </m:r>
                  </m:e>
                  <m:sub>
                    <m:r>
                      <m:rPr>
                        <m:sty m:val="bi"/>
                      </m:rPr>
                      <w:rPr>
                        <w:rFonts w:ascii="Cambria Math" w:hAnsi="Cambria Math" w:cs="Arial"/>
                      </w:rPr>
                      <m:t>45</m:t>
                    </m:r>
                    <m:r>
                      <m:rPr>
                        <m:sty m:val="bi"/>
                      </m:rPr>
                      <w:rPr>
                        <w:rFonts w:ascii="Cambria Math" w:hAnsi="Cambria Math" w:cs="Arial"/>
                      </w:rPr>
                      <m:t>Y</m:t>
                    </m:r>
                  </m:sub>
                </m:sSub>
              </m:oMath>
            </m:oMathPara>
          </w:p>
        </w:tc>
        <w:tc>
          <w:tcPr>
            <w:tcW w:w="5415" w:type="dxa"/>
          </w:tcPr>
          <w:p w14:paraId="4AF22FEE" w14:textId="77777777" w:rsidR="00DA7E40" w:rsidRPr="00D800F0" w:rsidRDefault="00DA7E40" w:rsidP="0000614D">
            <w:pPr>
              <w:rPr>
                <w:rFonts w:ascii="Arial" w:hAnsi="Arial" w:cs="Arial"/>
              </w:rPr>
            </w:pPr>
            <w:r w:rsidRPr="00D800F0">
              <w:rPr>
                <w:rFonts w:ascii="Arial" w:hAnsi="Arial" w:cs="Arial"/>
              </w:rPr>
              <w:t>Lifetime of 45Y credits. Constrained by</w:t>
            </w:r>
            <w:r w:rsidRPr="00D800F0">
              <w:rPr>
                <w:rFonts w:ascii="Arial" w:eastAsiaTheme="minorEastAsia" w:hAnsi="Arial" w:cs="Arial"/>
                <w:b/>
                <w:bCs/>
                <w:i/>
              </w:rPr>
              <w:t xml:space="preserve"> </w:t>
            </w:r>
            <m:oMath>
              <m:r>
                <m:rPr>
                  <m:sty m:val="bi"/>
                </m:rPr>
                <w:rPr>
                  <w:rFonts w:ascii="Cambria Math" w:eastAsiaTheme="minorEastAsia" w:hAnsi="Cambria Math" w:cs="Arial"/>
                </w:rPr>
                <m:t>2023</m:t>
              </m:r>
              <m:r>
                <m:rPr>
                  <m:sty m:val="bi"/>
                </m:rPr>
                <w:rPr>
                  <w:rFonts w:ascii="Cambria Math" w:hAnsi="Cambria Math" w:cs="Arial"/>
                </w:rPr>
                <m:t>+</m:t>
              </m:r>
              <m:f>
                <m:fPr>
                  <m:ctrlPr>
                    <w:rPr>
                      <w:rFonts w:ascii="Cambria Math" w:eastAsiaTheme="minorEastAsia" w:hAnsi="Cambria Math" w:cs="Arial"/>
                      <w:b/>
                      <w:bCs/>
                      <w:i/>
                    </w:rPr>
                  </m:ctrlPr>
                </m:fPr>
                <m:num>
                  <m:sSub>
                    <m:sSubPr>
                      <m:ctrlPr>
                        <w:rPr>
                          <w:rFonts w:ascii="Cambria Math" w:hAnsi="Cambria Math" w:cs="Arial"/>
                          <w:b/>
                          <w:bCs/>
                          <w:i/>
                        </w:rPr>
                      </m:ctrlPr>
                    </m:sSubPr>
                    <m:e>
                      <m:r>
                        <m:rPr>
                          <m:sty m:val="bi"/>
                        </m:rPr>
                        <w:rPr>
                          <w:rFonts w:ascii="Cambria Math" w:hAnsi="Cambria Math" w:cs="Arial"/>
                        </w:rPr>
                        <m:t>E</m:t>
                      </m:r>
                    </m:e>
                    <m:sub>
                      <m:r>
                        <m:rPr>
                          <m:sty m:val="bi"/>
                        </m:rPr>
                        <w:rPr>
                          <w:rFonts w:ascii="Cambria Math" w:hAnsi="Cambria Math" w:cs="Arial"/>
                        </w:rPr>
                        <m:t>45</m:t>
                      </m:r>
                      <m:r>
                        <m:rPr>
                          <m:sty m:val="bi"/>
                        </m:rPr>
                        <w:rPr>
                          <w:rFonts w:ascii="Cambria Math" w:hAnsi="Cambria Math" w:cs="Arial"/>
                        </w:rPr>
                        <m:t>Y</m:t>
                      </m:r>
                    </m:sub>
                  </m:sSub>
                  <m:r>
                    <m:rPr>
                      <m:sty m:val="bi"/>
                    </m:rPr>
                    <w:rPr>
                      <w:rFonts w:ascii="Cambria Math" w:hAnsi="Cambria Math" w:cs="Arial"/>
                    </w:rPr>
                    <m:t>+S+C</m:t>
                  </m:r>
                </m:num>
                <m:den>
                  <m:r>
                    <m:rPr>
                      <m:sty m:val="bi"/>
                    </m:rPr>
                    <w:rPr>
                      <w:rFonts w:ascii="Cambria Math" w:eastAsiaTheme="minorEastAsia" w:hAnsi="Cambria Math" w:cs="Arial"/>
                    </w:rPr>
                    <m:t>12</m:t>
                  </m:r>
                </m:den>
              </m:f>
              <m:r>
                <m:rPr>
                  <m:sty m:val="bi"/>
                </m:rPr>
                <w:rPr>
                  <w:rFonts w:ascii="Cambria Math" w:eastAsiaTheme="minorEastAsia" w:hAnsi="Cambria Math" w:cs="Arial"/>
                </w:rPr>
                <m:t>=2050</m:t>
              </m:r>
            </m:oMath>
            <w:r w:rsidRPr="00D800F0">
              <w:rPr>
                <w:rFonts w:ascii="Arial" w:hAnsi="Arial" w:cs="Arial"/>
              </w:rPr>
              <w:t xml:space="preserve"> (see explanation below). </w:t>
            </w:r>
          </w:p>
        </w:tc>
        <w:tc>
          <w:tcPr>
            <w:tcW w:w="1899" w:type="dxa"/>
          </w:tcPr>
          <w:p w14:paraId="4825A4B7" w14:textId="77777777" w:rsidR="00DA7E40" w:rsidRPr="00D800F0" w:rsidRDefault="00DA7E40" w:rsidP="0000614D">
            <w:pPr>
              <w:rPr>
                <w:rFonts w:ascii="Arial" w:hAnsi="Arial" w:cs="Arial"/>
              </w:rPr>
            </w:pPr>
            <w:r w:rsidRPr="00D800F0">
              <w:rPr>
                <w:rFonts w:ascii="Arial" w:hAnsi="Arial" w:cs="Arial"/>
              </w:rPr>
              <w:t>Months</w:t>
            </w:r>
          </w:p>
        </w:tc>
      </w:tr>
      <w:tr w:rsidR="00DA7E40" w:rsidRPr="00D800F0" w14:paraId="3EBDE28A" w14:textId="77777777" w:rsidTr="0000614D">
        <w:trPr>
          <w:trHeight w:val="432"/>
        </w:trPr>
        <w:tc>
          <w:tcPr>
            <w:tcW w:w="2775" w:type="dxa"/>
          </w:tcPr>
          <w:p w14:paraId="3CE322EE" w14:textId="77777777" w:rsidR="00DA7E40" w:rsidRPr="00D800F0" w:rsidRDefault="00000000" w:rsidP="0000614D">
            <w:pPr>
              <w:rPr>
                <w:rFonts w:ascii="Arial" w:hAnsi="Arial" w:cs="Arial"/>
                <w:b/>
                <w:bCs/>
              </w:rPr>
            </w:pPr>
            <m:oMathPara>
              <m:oMathParaPr>
                <m:jc m:val="left"/>
              </m:oMathParaPr>
              <m:oMath>
                <m:sSub>
                  <m:sSubPr>
                    <m:ctrlPr>
                      <w:rPr>
                        <w:rFonts w:ascii="Cambria Math" w:hAnsi="Cambria Math" w:cs="Arial"/>
                        <w:b/>
                        <w:bCs/>
                        <w:i/>
                      </w:rPr>
                    </m:ctrlPr>
                  </m:sSubPr>
                  <m:e>
                    <m:r>
                      <m:rPr>
                        <m:scr m:val="script"/>
                        <m:sty m:val="bi"/>
                      </m:rPr>
                      <w:rPr>
                        <w:rFonts w:ascii="Cambria Math" w:hAnsi="Cambria Math" w:cs="Arial"/>
                      </w:rPr>
                      <m:t>H</m:t>
                    </m:r>
                  </m:e>
                  <m:sub>
                    <m:r>
                      <m:rPr>
                        <m:sty m:val="bi"/>
                      </m:rPr>
                      <w:rPr>
                        <w:rFonts w:ascii="Cambria Math" w:hAnsi="Cambria Math" w:cs="Arial"/>
                      </w:rPr>
                      <m:t>CE</m:t>
                    </m:r>
                  </m:sub>
                </m:sSub>
                <m:r>
                  <m:rPr>
                    <m:sty m:val="bi"/>
                  </m:rPr>
                  <w:rPr>
                    <w:rFonts w:ascii="Cambria Math" w:hAnsi="Cambria Math" w:cs="Arial"/>
                  </w:rPr>
                  <m:t>[x]</m:t>
                </m:r>
              </m:oMath>
            </m:oMathPara>
          </w:p>
        </w:tc>
        <w:tc>
          <w:tcPr>
            <w:tcW w:w="5415" w:type="dxa"/>
          </w:tcPr>
          <w:p w14:paraId="70BFD767" w14:textId="77777777" w:rsidR="00DA7E40" w:rsidRPr="00D800F0" w:rsidRDefault="00DA7E40" w:rsidP="0000614D">
            <w:pPr>
              <w:rPr>
                <w:rFonts w:ascii="Arial" w:hAnsi="Arial" w:cs="Arial"/>
              </w:rPr>
            </w:pPr>
            <w:r w:rsidRPr="00D800F0">
              <w:rPr>
                <w:rFonts w:ascii="Arial" w:hAnsi="Arial" w:cs="Arial"/>
              </w:rPr>
              <w:t>Cash-equivalent operator. Performs the conversion from nominal tax credits to cash-equivalent tax credits.</w:t>
            </w:r>
          </w:p>
        </w:tc>
        <w:tc>
          <w:tcPr>
            <w:tcW w:w="1899" w:type="dxa"/>
          </w:tcPr>
          <w:p w14:paraId="0AB78D8C" w14:textId="77777777" w:rsidR="00DA7E40" w:rsidRPr="00D800F0" w:rsidRDefault="00DA7E40" w:rsidP="0000614D">
            <w:pPr>
              <w:rPr>
                <w:rFonts w:ascii="Arial" w:hAnsi="Arial" w:cs="Arial"/>
              </w:rPr>
            </w:pPr>
            <w:r w:rsidRPr="00D800F0">
              <w:rPr>
                <w:rFonts w:ascii="Arial" w:hAnsi="Arial" w:cs="Arial"/>
              </w:rPr>
              <w:t>$</w:t>
            </w:r>
          </w:p>
        </w:tc>
      </w:tr>
      <w:tr w:rsidR="00DA7E40" w:rsidRPr="00D800F0" w14:paraId="3EFBEE4C" w14:textId="77777777" w:rsidTr="0000614D">
        <w:trPr>
          <w:trHeight w:val="432"/>
        </w:trPr>
        <w:tc>
          <w:tcPr>
            <w:tcW w:w="2775" w:type="dxa"/>
          </w:tcPr>
          <w:p w14:paraId="15A8A832" w14:textId="77777777" w:rsidR="00DA7E40" w:rsidRPr="00D800F0" w:rsidRDefault="00000000" w:rsidP="0000614D">
            <w:pPr>
              <w:rPr>
                <w:rFonts w:ascii="Arial" w:hAnsi="Arial" w:cs="Arial"/>
                <w:b/>
                <w:bCs/>
              </w:rPr>
            </w:pPr>
            <m:oMathPara>
              <m:oMathParaPr>
                <m:jc m:val="left"/>
              </m:oMathParaPr>
              <m:oMath>
                <m:sSub>
                  <m:sSubPr>
                    <m:ctrlPr>
                      <w:rPr>
                        <w:rFonts w:ascii="Cambria Math" w:hAnsi="Cambria Math" w:cs="Arial"/>
                        <w:b/>
                        <w:bCs/>
                        <w:i/>
                      </w:rPr>
                    </m:ctrlPr>
                  </m:sSubPr>
                  <m:e>
                    <m:r>
                      <m:rPr>
                        <m:sty m:val="bi"/>
                      </m:rPr>
                      <w:rPr>
                        <w:rFonts w:ascii="Cambria Math" w:hAnsi="Cambria Math" w:cs="Arial"/>
                      </w:rPr>
                      <m:t>d</m:t>
                    </m:r>
                  </m:e>
                  <m:sub>
                    <m:r>
                      <m:rPr>
                        <m:sty m:val="bi"/>
                      </m:rPr>
                      <w:rPr>
                        <w:rFonts w:ascii="Cambria Math" w:hAnsi="Cambria Math" w:cs="Arial"/>
                      </w:rPr>
                      <m:t>r</m:t>
                    </m:r>
                  </m:sub>
                </m:sSub>
              </m:oMath>
            </m:oMathPara>
          </w:p>
        </w:tc>
        <w:tc>
          <w:tcPr>
            <w:tcW w:w="5415" w:type="dxa"/>
          </w:tcPr>
          <w:p w14:paraId="02493466" w14:textId="77777777" w:rsidR="00DA7E40" w:rsidRPr="00D800F0" w:rsidRDefault="00DA7E40" w:rsidP="0000614D">
            <w:pPr>
              <w:rPr>
                <w:rFonts w:ascii="Arial" w:hAnsi="Arial" w:cs="Arial"/>
              </w:rPr>
            </w:pPr>
            <w:r w:rsidRPr="00D800F0">
              <w:rPr>
                <w:rFonts w:ascii="Arial" w:hAnsi="Arial" w:cs="Arial"/>
              </w:rPr>
              <w:t>Discount rate.</w:t>
            </w:r>
          </w:p>
        </w:tc>
        <w:tc>
          <w:tcPr>
            <w:tcW w:w="1899" w:type="dxa"/>
          </w:tcPr>
          <w:p w14:paraId="4D6BE34D" w14:textId="77777777" w:rsidR="00DA7E40" w:rsidRPr="00D800F0" w:rsidRDefault="00DA7E40" w:rsidP="0000614D">
            <w:pPr>
              <w:rPr>
                <w:rFonts w:ascii="Arial" w:hAnsi="Arial" w:cs="Arial"/>
              </w:rPr>
            </w:pPr>
          </w:p>
        </w:tc>
      </w:tr>
      <w:tr w:rsidR="00DA7E40" w:rsidRPr="00D800F0" w14:paraId="52DA8CB3" w14:textId="77777777" w:rsidTr="0000614D">
        <w:trPr>
          <w:trHeight w:val="432"/>
        </w:trPr>
        <w:tc>
          <w:tcPr>
            <w:tcW w:w="2775" w:type="dxa"/>
          </w:tcPr>
          <w:p w14:paraId="61F1A49C" w14:textId="77777777" w:rsidR="00DA7E40" w:rsidRPr="00D800F0" w:rsidRDefault="00DA7E40" w:rsidP="0000614D">
            <w:pPr>
              <w:rPr>
                <w:rFonts w:ascii="Arial" w:hAnsi="Arial" w:cs="Arial"/>
                <w:b/>
                <w:bCs/>
              </w:rPr>
            </w:pPr>
            <m:oMathPara>
              <m:oMathParaPr>
                <m:jc m:val="left"/>
              </m:oMathParaPr>
              <m:oMath>
                <m:r>
                  <m:rPr>
                    <m:sty m:val="bi"/>
                  </m:rPr>
                  <w:rPr>
                    <w:rFonts w:ascii="Cambria Math" w:hAnsi="Cambria Math" w:cs="Arial"/>
                  </w:rPr>
                  <m:t>LCOE</m:t>
                </m:r>
              </m:oMath>
            </m:oMathPara>
          </w:p>
        </w:tc>
        <w:tc>
          <w:tcPr>
            <w:tcW w:w="5415" w:type="dxa"/>
          </w:tcPr>
          <w:p w14:paraId="0E44EE0F" w14:textId="77777777" w:rsidR="00DA7E40" w:rsidRPr="00D800F0" w:rsidRDefault="00DA7E40" w:rsidP="0000614D">
            <w:pPr>
              <w:rPr>
                <w:rFonts w:ascii="Arial" w:hAnsi="Arial" w:cs="Arial"/>
              </w:rPr>
            </w:pPr>
            <w:r w:rsidRPr="00D800F0">
              <w:rPr>
                <w:rFonts w:ascii="Arial" w:hAnsi="Arial" w:cs="Arial"/>
              </w:rPr>
              <w:t xml:space="preserve">Levelized cost of electricity </w:t>
            </w:r>
          </w:p>
        </w:tc>
        <w:tc>
          <w:tcPr>
            <w:tcW w:w="1899" w:type="dxa"/>
          </w:tcPr>
          <w:p w14:paraId="056D72D2" w14:textId="77777777" w:rsidR="00DA7E40" w:rsidRPr="00D800F0" w:rsidRDefault="00DA7E40" w:rsidP="0000614D">
            <w:pPr>
              <w:rPr>
                <w:rFonts w:ascii="Arial" w:hAnsi="Arial" w:cs="Arial"/>
              </w:rPr>
            </w:pPr>
            <w:r w:rsidRPr="00D800F0">
              <w:rPr>
                <w:rFonts w:ascii="Arial" w:hAnsi="Arial" w:cs="Arial"/>
              </w:rPr>
              <w:t>$/MWh</w:t>
            </w:r>
          </w:p>
        </w:tc>
      </w:tr>
      <w:tr w:rsidR="00DA7E40" w:rsidRPr="00D800F0" w14:paraId="0F84A411" w14:textId="77777777" w:rsidTr="0000614D">
        <w:trPr>
          <w:trHeight w:val="432"/>
        </w:trPr>
        <w:tc>
          <w:tcPr>
            <w:tcW w:w="2775" w:type="dxa"/>
            <w:vAlign w:val="center"/>
          </w:tcPr>
          <w:p w14:paraId="25548186" w14:textId="77777777" w:rsidR="00DA7E40" w:rsidRPr="00D800F0" w:rsidRDefault="00000000" w:rsidP="0000614D">
            <w:pPr>
              <w:jc w:val="both"/>
              <w:rPr>
                <w:rFonts w:ascii="Arial" w:hAnsi="Arial" w:cs="Arial"/>
                <w:b/>
              </w:rPr>
            </w:pPr>
            <m:oMathPara>
              <m:oMathParaPr>
                <m:jc m:val="left"/>
              </m:oMathParaPr>
              <m:oMath>
                <m:sSub>
                  <m:sSubPr>
                    <m:ctrlPr>
                      <w:rPr>
                        <w:rFonts w:ascii="Cambria Math" w:eastAsiaTheme="minorEastAsia" w:hAnsi="Cambria Math" w:cs="Arial"/>
                        <w:b/>
                        <w:bCs/>
                        <w:i/>
                        <w:iCs/>
                        <w:color w:val="000000" w:themeColor="text1"/>
                      </w:rPr>
                    </m:ctrlPr>
                  </m:sSubPr>
                  <m:e>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CO</m:t>
                        </m:r>
                      </m:e>
                      <m:sub>
                        <m:r>
                          <m:rPr>
                            <m:sty m:val="bi"/>
                          </m:rPr>
                          <w:rPr>
                            <w:rFonts w:ascii="Cambria Math" w:eastAsiaTheme="minorEastAsia" w:hAnsi="Cambria Math" w:cs="Arial"/>
                            <w:color w:val="000000" w:themeColor="text1"/>
                          </w:rPr>
                          <m:t>2</m:t>
                        </m:r>
                      </m:sub>
                    </m:sSub>
                  </m:e>
                  <m:sub>
                    <m:r>
                      <m:rPr>
                        <m:sty m:val="bi"/>
                      </m:rPr>
                      <w:rPr>
                        <w:rFonts w:ascii="Cambria Math" w:eastAsiaTheme="minorEastAsia" w:hAnsi="Cambria Math" w:cs="Arial"/>
                        <w:color w:val="000000" w:themeColor="text1"/>
                      </w:rPr>
                      <m:t>tax</m:t>
                    </m:r>
                  </m:sub>
                </m:sSub>
              </m:oMath>
            </m:oMathPara>
          </w:p>
        </w:tc>
        <w:tc>
          <w:tcPr>
            <w:tcW w:w="5415" w:type="dxa"/>
          </w:tcPr>
          <w:p w14:paraId="35F9CAFF" w14:textId="77777777" w:rsidR="00DA7E40" w:rsidRPr="00D800F0" w:rsidRDefault="00DA7E40" w:rsidP="0000614D">
            <w:pPr>
              <w:rPr>
                <w:rFonts w:ascii="Arial" w:hAnsi="Arial" w:cs="Arial"/>
              </w:rPr>
            </w:pPr>
            <w:r w:rsidRPr="00D800F0">
              <w:rPr>
                <w:rFonts w:ascii="Arial" w:hAnsi="Arial" w:cs="Arial"/>
              </w:rPr>
              <w:t>CO2 tax imposed by CBAM</w:t>
            </w:r>
          </w:p>
        </w:tc>
        <w:tc>
          <w:tcPr>
            <w:tcW w:w="1899" w:type="dxa"/>
          </w:tcPr>
          <w:p w14:paraId="4AED5FE5" w14:textId="77777777" w:rsidR="00DA7E40" w:rsidRPr="00D800F0" w:rsidRDefault="00DA7E40" w:rsidP="0000614D">
            <w:pPr>
              <w:rPr>
                <w:rFonts w:ascii="Arial" w:hAnsi="Arial" w:cs="Arial"/>
              </w:rPr>
            </w:pPr>
            <w:r w:rsidRPr="00D800F0">
              <w:rPr>
                <w:rFonts w:ascii="Arial" w:hAnsi="Arial" w:cs="Arial"/>
              </w:rPr>
              <w:t>$/Month</w:t>
            </w:r>
          </w:p>
        </w:tc>
      </w:tr>
      <w:tr w:rsidR="00DA7E40" w:rsidRPr="00D800F0" w14:paraId="411BB727" w14:textId="77777777" w:rsidTr="0000614D">
        <w:trPr>
          <w:trHeight w:val="432"/>
        </w:trPr>
        <w:tc>
          <w:tcPr>
            <w:tcW w:w="2775" w:type="dxa"/>
            <w:vAlign w:val="center"/>
          </w:tcPr>
          <w:p w14:paraId="6E96EBC7" w14:textId="77777777" w:rsidR="00DA7E40" w:rsidRPr="00D800F0" w:rsidRDefault="00DA7E40" w:rsidP="0000614D">
            <w:pPr>
              <w:jc w:val="both"/>
              <w:rPr>
                <w:rFonts w:ascii="Arial" w:hAnsi="Arial" w:cs="Arial"/>
                <w:b/>
                <w:bCs/>
                <w:iCs/>
                <w:color w:val="000000" w:themeColor="text1"/>
              </w:rPr>
            </w:pPr>
            <m:oMathPara>
              <m:oMathParaPr>
                <m:jc m:val="left"/>
              </m:oMathParaPr>
              <m:oMath>
                <m:r>
                  <m:rPr>
                    <m:sty m:val="bi"/>
                  </m:rPr>
                  <w:rPr>
                    <w:rFonts w:ascii="Cambria Math" w:eastAsiaTheme="minorEastAsia" w:hAnsi="Cambria Math" w:cs="Arial"/>
                    <w:color w:val="000000" w:themeColor="text1"/>
                  </w:rPr>
                  <m:t>C</m:t>
                </m:r>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I</m:t>
                    </m:r>
                  </m:e>
                  <m:sub>
                    <m:r>
                      <m:rPr>
                        <m:sty m:val="bi"/>
                      </m:rPr>
                      <w:rPr>
                        <w:rFonts w:ascii="Cambria Math" w:eastAsiaTheme="minorEastAsia" w:hAnsi="Cambria Math" w:cs="Arial"/>
                        <w:color w:val="000000" w:themeColor="text1"/>
                      </w:rPr>
                      <m:t>SM</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R</m:t>
                        </m:r>
                      </m:e>
                      <m:sub>
                        <m:r>
                          <m:rPr>
                            <m:sty m:val="bi"/>
                          </m:rPr>
                          <w:rPr>
                            <w:rFonts w:ascii="Cambria Math" w:eastAsiaTheme="minorEastAsia" w:hAnsi="Cambria Math" w:cs="Arial"/>
                            <w:color w:val="000000" w:themeColor="text1"/>
                          </w:rPr>
                          <m:t>EU</m:t>
                        </m:r>
                      </m:sub>
                    </m:sSub>
                  </m:sub>
                </m:sSub>
                <m:r>
                  <m:rPr>
                    <m:sty m:val="bi"/>
                  </m:rPr>
                  <w:rPr>
                    <w:rFonts w:ascii="Cambria Math" w:eastAsiaTheme="minorEastAsia" w:hAnsi="Cambria Math" w:cs="Arial"/>
                    <w:color w:val="000000" w:themeColor="text1"/>
                  </w:rPr>
                  <m:t>(T)</m:t>
                </m:r>
              </m:oMath>
            </m:oMathPara>
          </w:p>
        </w:tc>
        <w:tc>
          <w:tcPr>
            <w:tcW w:w="5415" w:type="dxa"/>
          </w:tcPr>
          <w:p w14:paraId="2EE015B3" w14:textId="77777777" w:rsidR="00DA7E40" w:rsidRPr="00D800F0" w:rsidRDefault="00DA7E40" w:rsidP="0000614D">
            <w:pPr>
              <w:rPr>
                <w:rFonts w:ascii="Arial" w:hAnsi="Arial" w:cs="Arial"/>
              </w:rPr>
            </w:pPr>
            <w:r w:rsidRPr="00D800F0">
              <w:rPr>
                <w:rFonts w:ascii="Arial" w:hAnsi="Arial" w:cs="Arial"/>
              </w:rPr>
              <w:t xml:space="preserve">European AP SMR carbon intensity. </w:t>
            </w:r>
          </w:p>
        </w:tc>
        <w:tc>
          <w:tcPr>
            <w:tcW w:w="1899" w:type="dxa"/>
          </w:tcPr>
          <w:p w14:paraId="65AD36C9" w14:textId="77777777" w:rsidR="00DA7E40" w:rsidRPr="00D800F0" w:rsidRDefault="00DA7E40" w:rsidP="0000614D">
            <w:pPr>
              <w:rPr>
                <w:rFonts w:ascii="Arial" w:hAnsi="Arial" w:cs="Arial"/>
              </w:rPr>
            </w:pPr>
            <w:r w:rsidRPr="00D800F0">
              <w:rPr>
                <w:rFonts w:ascii="Arial" w:hAnsi="Arial" w:cs="Arial"/>
              </w:rPr>
              <w:t>Kg CO</w:t>
            </w:r>
            <w:r w:rsidRPr="00D800F0">
              <w:rPr>
                <w:rFonts w:ascii="Arial" w:hAnsi="Arial" w:cs="Arial"/>
                <w:vertAlign w:val="subscript"/>
              </w:rPr>
              <w:t>2eq</w:t>
            </w:r>
            <w:r w:rsidRPr="00D800F0">
              <w:rPr>
                <w:rFonts w:ascii="Arial" w:hAnsi="Arial" w:cs="Arial"/>
              </w:rPr>
              <w:t>/kg H2</w:t>
            </w:r>
          </w:p>
        </w:tc>
      </w:tr>
      <w:tr w:rsidR="00DA7E40" w:rsidRPr="00D800F0" w14:paraId="73D79457" w14:textId="77777777" w:rsidTr="0000614D">
        <w:trPr>
          <w:trHeight w:val="432"/>
        </w:trPr>
        <w:tc>
          <w:tcPr>
            <w:tcW w:w="2775" w:type="dxa"/>
            <w:vAlign w:val="center"/>
          </w:tcPr>
          <w:p w14:paraId="5F4E2FDA" w14:textId="77777777" w:rsidR="00DA7E40" w:rsidRPr="00D800F0" w:rsidRDefault="00000000" w:rsidP="0000614D">
            <w:pPr>
              <w:jc w:val="both"/>
              <w:rPr>
                <w:rFonts w:ascii="Arial" w:hAnsi="Arial" w:cs="Arial"/>
                <w:b/>
                <w:color w:val="000000" w:themeColor="text1"/>
              </w:rPr>
            </w:pPr>
            <m:oMathPara>
              <m:oMathParaPr>
                <m:jc m:val="left"/>
              </m:oMathParaPr>
              <m:oMath>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M</m:t>
                    </m:r>
                  </m:e>
                  <m:sub>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H</m:t>
                        </m:r>
                      </m:e>
                      <m:sub>
                        <m:r>
                          <m:rPr>
                            <m:sty m:val="bi"/>
                          </m:rPr>
                          <w:rPr>
                            <w:rFonts w:ascii="Cambria Math" w:eastAsiaTheme="minorEastAsia" w:hAnsi="Cambria Math" w:cs="Arial"/>
                            <w:color w:val="000000" w:themeColor="text1"/>
                          </w:rPr>
                          <m:t>2</m:t>
                        </m:r>
                      </m:sub>
                    </m:sSub>
                  </m:sub>
                </m:sSub>
              </m:oMath>
            </m:oMathPara>
          </w:p>
        </w:tc>
        <w:tc>
          <w:tcPr>
            <w:tcW w:w="5415" w:type="dxa"/>
          </w:tcPr>
          <w:p w14:paraId="558EB27C" w14:textId="77777777" w:rsidR="00DA7E40" w:rsidRPr="00D800F0" w:rsidRDefault="00DA7E40" w:rsidP="0000614D">
            <w:pPr>
              <w:rPr>
                <w:rFonts w:ascii="Arial" w:hAnsi="Arial" w:cs="Arial"/>
              </w:rPr>
            </w:pPr>
            <w:r w:rsidRPr="00D800F0">
              <w:rPr>
                <w:rFonts w:ascii="Arial" w:hAnsi="Arial" w:cs="Arial"/>
              </w:rPr>
              <w:t>Mass flowrate of hydrogen</w:t>
            </w:r>
          </w:p>
        </w:tc>
        <w:tc>
          <w:tcPr>
            <w:tcW w:w="1899" w:type="dxa"/>
          </w:tcPr>
          <w:p w14:paraId="5E62154A" w14:textId="77777777" w:rsidR="00DA7E40" w:rsidRPr="00D800F0" w:rsidRDefault="00DA7E40" w:rsidP="0000614D">
            <w:pPr>
              <w:rPr>
                <w:rFonts w:ascii="Arial" w:hAnsi="Arial" w:cs="Arial"/>
              </w:rPr>
            </w:pPr>
            <w:r w:rsidRPr="00D800F0">
              <w:rPr>
                <w:rFonts w:ascii="Arial" w:hAnsi="Arial" w:cs="Arial"/>
              </w:rPr>
              <w:t>Tonnes per day</w:t>
            </w:r>
          </w:p>
        </w:tc>
      </w:tr>
      <w:tr w:rsidR="00DA7E40" w:rsidRPr="00D800F0" w14:paraId="30D7918A" w14:textId="77777777" w:rsidTr="0000614D">
        <w:trPr>
          <w:trHeight w:val="432"/>
        </w:trPr>
        <w:tc>
          <w:tcPr>
            <w:tcW w:w="2775" w:type="dxa"/>
            <w:vAlign w:val="center"/>
          </w:tcPr>
          <w:p w14:paraId="3062D35B" w14:textId="77777777" w:rsidR="00DA7E40" w:rsidRPr="00D800F0" w:rsidRDefault="00000000" w:rsidP="0000614D">
            <w:pPr>
              <w:jc w:val="both"/>
              <w:rPr>
                <w:rFonts w:ascii="Arial" w:hAnsi="Arial" w:cs="Arial"/>
                <w:b/>
                <w:bCs/>
                <w:iCs/>
                <w:color w:val="000000" w:themeColor="text1"/>
              </w:rPr>
            </w:pPr>
            <m:oMathPara>
              <m:oMathParaPr>
                <m:jc m:val="left"/>
              </m:oMathParaPr>
              <m:oMath>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F</m:t>
                    </m:r>
                  </m:e>
                  <m:sub>
                    <m:r>
                      <m:rPr>
                        <m:sty m:val="bi"/>
                      </m:rPr>
                      <w:rPr>
                        <w:rFonts w:ascii="Cambria Math" w:eastAsiaTheme="minorEastAsia" w:hAnsi="Cambria Math" w:cs="Arial"/>
                        <w:color w:val="000000" w:themeColor="text1"/>
                      </w:rPr>
                      <m:t>a</m:t>
                    </m:r>
                  </m:sub>
                </m:sSub>
              </m:oMath>
            </m:oMathPara>
          </w:p>
        </w:tc>
        <w:tc>
          <w:tcPr>
            <w:tcW w:w="5415" w:type="dxa"/>
          </w:tcPr>
          <w:p w14:paraId="5A530660" w14:textId="77777777" w:rsidR="00DA7E40" w:rsidRPr="00D800F0" w:rsidRDefault="00DA7E40" w:rsidP="0000614D">
            <w:pPr>
              <w:rPr>
                <w:rFonts w:ascii="Arial" w:hAnsi="Arial" w:cs="Arial"/>
              </w:rPr>
            </w:pPr>
            <w:r w:rsidRPr="00D800F0">
              <w:rPr>
                <w:rFonts w:ascii="Arial" w:hAnsi="Arial" w:cs="Arial"/>
              </w:rPr>
              <w:t>Availability factor</w:t>
            </w:r>
          </w:p>
        </w:tc>
        <w:tc>
          <w:tcPr>
            <w:tcW w:w="1899" w:type="dxa"/>
          </w:tcPr>
          <w:p w14:paraId="3E28732E" w14:textId="77777777" w:rsidR="00DA7E40" w:rsidRPr="00D800F0" w:rsidRDefault="00DA7E40" w:rsidP="0000614D">
            <w:pPr>
              <w:rPr>
                <w:rFonts w:ascii="Arial" w:hAnsi="Arial" w:cs="Arial"/>
              </w:rPr>
            </w:pPr>
            <w:r w:rsidRPr="00D800F0">
              <w:rPr>
                <w:rFonts w:ascii="Arial" w:hAnsi="Arial" w:cs="Arial"/>
              </w:rPr>
              <w:t>%</w:t>
            </w:r>
          </w:p>
        </w:tc>
      </w:tr>
      <w:tr w:rsidR="00DA7E40" w:rsidRPr="00D800F0" w14:paraId="0BAAACDB" w14:textId="77777777" w:rsidTr="0000614D">
        <w:trPr>
          <w:trHeight w:val="432"/>
        </w:trPr>
        <w:tc>
          <w:tcPr>
            <w:tcW w:w="2775" w:type="dxa"/>
            <w:vAlign w:val="center"/>
          </w:tcPr>
          <w:p w14:paraId="58F72F33" w14:textId="77777777" w:rsidR="00DA7E40" w:rsidRPr="00D800F0" w:rsidRDefault="00DA7E40" w:rsidP="0000614D">
            <w:pPr>
              <w:jc w:val="both"/>
              <w:rPr>
                <w:rFonts w:ascii="Arial" w:hAnsi="Arial" w:cs="Arial"/>
                <w:b/>
                <w:bCs/>
                <w:color w:val="000000" w:themeColor="text1"/>
              </w:rPr>
            </w:pPr>
            <m:oMathPara>
              <m:oMathParaPr>
                <m:jc m:val="left"/>
              </m:oMathParaPr>
              <m:oMath>
                <m:r>
                  <m:rPr>
                    <m:sty m:val="bi"/>
                  </m:rPr>
                  <w:rPr>
                    <w:rFonts w:ascii="Cambria Math" w:eastAsiaTheme="minorEastAsia" w:hAnsi="Cambria Math" w:cs="Arial"/>
                    <w:color w:val="000000" w:themeColor="text1"/>
                  </w:rPr>
                  <m:t>C</m:t>
                </m:r>
                <m:sSub>
                  <m:sSubPr>
                    <m:ctrlPr>
                      <w:rPr>
                        <w:rFonts w:ascii="Cambria Math" w:eastAsiaTheme="minorEastAsia" w:hAnsi="Cambria Math" w:cs="Arial"/>
                        <w:b/>
                        <w:bCs/>
                        <w:i/>
                        <w:iCs/>
                        <w:color w:val="000000" w:themeColor="text1"/>
                      </w:rPr>
                    </m:ctrlPr>
                  </m:sSubPr>
                  <m:e>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O</m:t>
                        </m:r>
                      </m:e>
                      <m:sub>
                        <m:r>
                          <m:rPr>
                            <m:sty m:val="bi"/>
                          </m:rPr>
                          <w:rPr>
                            <w:rFonts w:ascii="Cambria Math" w:eastAsiaTheme="minorEastAsia" w:hAnsi="Cambria Math" w:cs="Arial"/>
                            <w:color w:val="000000" w:themeColor="text1"/>
                          </w:rPr>
                          <m:t>2</m:t>
                        </m:r>
                      </m:sub>
                    </m:sSub>
                  </m:e>
                  <m:sub>
                    <m:r>
                      <m:rPr>
                        <m:sty m:val="bi"/>
                      </m:rPr>
                      <w:rPr>
                        <w:rFonts w:ascii="Cambria Math" w:eastAsiaTheme="minorEastAsia" w:hAnsi="Cambria Math" w:cs="Arial"/>
                        <w:color w:val="000000" w:themeColor="text1"/>
                      </w:rPr>
                      <m:t>EUPrice</m:t>
                    </m:r>
                  </m:sub>
                </m:sSub>
              </m:oMath>
            </m:oMathPara>
          </w:p>
        </w:tc>
        <w:tc>
          <w:tcPr>
            <w:tcW w:w="5415" w:type="dxa"/>
          </w:tcPr>
          <w:p w14:paraId="1DDAB017" w14:textId="77777777" w:rsidR="00DA7E40" w:rsidRPr="00D800F0" w:rsidRDefault="00DA7E40" w:rsidP="0000614D">
            <w:pPr>
              <w:rPr>
                <w:rFonts w:ascii="Arial" w:hAnsi="Arial" w:cs="Arial"/>
              </w:rPr>
            </w:pPr>
            <w:r w:rsidRPr="00D800F0">
              <w:rPr>
                <w:rFonts w:ascii="Arial" w:hAnsi="Arial" w:cs="Arial"/>
              </w:rPr>
              <w:t>Price for CBAM certificates.</w:t>
            </w:r>
          </w:p>
        </w:tc>
        <w:tc>
          <w:tcPr>
            <w:tcW w:w="1899" w:type="dxa"/>
          </w:tcPr>
          <w:p w14:paraId="69A21FCB" w14:textId="77777777" w:rsidR="00DA7E40" w:rsidRPr="00D800F0" w:rsidRDefault="00DA7E40" w:rsidP="0000614D">
            <w:pPr>
              <w:rPr>
                <w:rFonts w:ascii="Arial" w:hAnsi="Arial" w:cs="Arial"/>
              </w:rPr>
            </w:pPr>
            <w:r w:rsidRPr="00D800F0">
              <w:rPr>
                <w:rFonts w:ascii="Arial" w:hAnsi="Arial" w:cs="Arial"/>
              </w:rPr>
              <w:t>$/tCO2</w:t>
            </w:r>
          </w:p>
        </w:tc>
      </w:tr>
      <w:tr w:rsidR="00DA7E40" w:rsidRPr="00D800F0" w14:paraId="395959C1" w14:textId="77777777" w:rsidTr="0000614D">
        <w:trPr>
          <w:trHeight w:val="432"/>
        </w:trPr>
        <w:tc>
          <w:tcPr>
            <w:tcW w:w="2775" w:type="dxa"/>
            <w:vAlign w:val="center"/>
          </w:tcPr>
          <w:p w14:paraId="2DB5F592" w14:textId="77777777" w:rsidR="00DA7E40" w:rsidRPr="00D800F0" w:rsidRDefault="00000000" w:rsidP="0000614D">
            <w:pPr>
              <w:rPr>
                <w:rFonts w:ascii="Arial" w:hAnsi="Arial" w:cs="Arial"/>
                <w:b/>
                <w:color w:val="000000" w:themeColor="text1"/>
              </w:rPr>
            </w:pPr>
            <m:oMathPara>
              <m:oMathParaPr>
                <m:jc m:val="left"/>
              </m:oMathParaPr>
              <m:oMath>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R</m:t>
                    </m:r>
                  </m:e>
                  <m:sub>
                    <m:r>
                      <m:rPr>
                        <m:sty m:val="bi"/>
                      </m:rPr>
                      <w:rPr>
                        <w:rFonts w:ascii="Cambria Math" w:eastAsiaTheme="minorEastAsia" w:hAnsi="Cambria Math" w:cs="Arial"/>
                        <w:color w:val="000000" w:themeColor="text1"/>
                      </w:rPr>
                      <m:t>E</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U</m:t>
                        </m:r>
                      </m:e>
                      <m:sub>
                        <m:r>
                          <m:rPr>
                            <m:sty m:val="bi"/>
                          </m:rPr>
                          <w:rPr>
                            <w:rFonts w:ascii="Cambria Math" w:eastAsiaTheme="minorEastAsia" w:hAnsi="Cambria Math" w:cs="Arial"/>
                            <w:color w:val="000000" w:themeColor="text1"/>
                          </w:rPr>
                          <m:t>emissions</m:t>
                        </m:r>
                      </m:sub>
                    </m:sSub>
                  </m:sub>
                </m:sSub>
              </m:oMath>
            </m:oMathPara>
          </w:p>
        </w:tc>
        <w:tc>
          <w:tcPr>
            <w:tcW w:w="5415" w:type="dxa"/>
          </w:tcPr>
          <w:p w14:paraId="389ABBBB" w14:textId="77777777" w:rsidR="00DA7E40" w:rsidRPr="00D800F0" w:rsidRDefault="00DA7E40" w:rsidP="0000614D">
            <w:pPr>
              <w:rPr>
                <w:rFonts w:ascii="Arial" w:hAnsi="Arial" w:cs="Arial"/>
              </w:rPr>
            </w:pPr>
            <w:r w:rsidRPr="00D800F0">
              <w:rPr>
                <w:rFonts w:ascii="Arial" w:hAnsi="Arial" w:cs="Arial"/>
              </w:rPr>
              <w:t>Decay rate for EU AP SMR emissions intensity.</w:t>
            </w:r>
          </w:p>
        </w:tc>
        <w:tc>
          <w:tcPr>
            <w:tcW w:w="1899" w:type="dxa"/>
          </w:tcPr>
          <w:p w14:paraId="2320B8AC" w14:textId="77777777" w:rsidR="00DA7E40" w:rsidRPr="00D800F0" w:rsidRDefault="00DA7E40" w:rsidP="0000614D">
            <w:pPr>
              <w:rPr>
                <w:rFonts w:ascii="Arial" w:hAnsi="Arial" w:cs="Arial"/>
              </w:rPr>
            </w:pPr>
            <w:r w:rsidRPr="00D800F0">
              <w:rPr>
                <w:rFonts w:ascii="Arial" w:hAnsi="Arial" w:cs="Arial"/>
              </w:rPr>
              <w:t>%</w:t>
            </w:r>
          </w:p>
        </w:tc>
      </w:tr>
      <w:tr w:rsidR="00DA7E40" w:rsidRPr="00D800F0" w14:paraId="5D51B0E8" w14:textId="77777777" w:rsidTr="0000614D">
        <w:trPr>
          <w:trHeight w:val="432"/>
        </w:trPr>
        <w:tc>
          <w:tcPr>
            <w:tcW w:w="2775" w:type="dxa"/>
            <w:vAlign w:val="center"/>
          </w:tcPr>
          <w:p w14:paraId="33D50E97" w14:textId="77777777" w:rsidR="00DA7E40" w:rsidRPr="00D800F0" w:rsidRDefault="00000000" w:rsidP="0000614D">
            <w:pPr>
              <w:rPr>
                <w:rFonts w:ascii="Arial" w:hAnsi="Arial" w:cs="Arial"/>
                <w:b/>
                <w:bCs/>
                <w:color w:val="000000" w:themeColor="text1"/>
              </w:rPr>
            </w:pPr>
            <m:oMathPara>
              <m:oMathParaPr>
                <m:jc m:val="left"/>
              </m:oMathParaPr>
              <m:oMath>
                <m:sSub>
                  <m:sSubPr>
                    <m:ctrlPr>
                      <w:rPr>
                        <w:rFonts w:ascii="Cambria Math" w:hAnsi="Cambria Math" w:cs="Arial"/>
                        <w:b/>
                        <w:bCs/>
                        <w:i/>
                        <w:color w:val="000000" w:themeColor="text1"/>
                      </w:rPr>
                    </m:ctrlPr>
                  </m:sSubPr>
                  <m:e>
                    <m:r>
                      <m:rPr>
                        <m:sty m:val="bi"/>
                      </m:rPr>
                      <w:rPr>
                        <w:rFonts w:ascii="Cambria Math" w:hAnsi="Cambria Math" w:cs="Arial"/>
                        <w:color w:val="000000" w:themeColor="text1"/>
                      </w:rPr>
                      <m:t>L</m:t>
                    </m:r>
                  </m:e>
                  <m:sub>
                    <m:r>
                      <m:rPr>
                        <m:sty m:val="bi"/>
                      </m:rPr>
                      <w:rPr>
                        <w:rFonts w:ascii="Cambria Math" w:hAnsi="Cambria Math" w:cs="Arial"/>
                        <w:color w:val="000000" w:themeColor="text1"/>
                      </w:rPr>
                      <m:t>battery</m:t>
                    </m:r>
                  </m:sub>
                </m:sSub>
              </m:oMath>
            </m:oMathPara>
          </w:p>
        </w:tc>
        <w:tc>
          <w:tcPr>
            <w:tcW w:w="5415" w:type="dxa"/>
          </w:tcPr>
          <w:p w14:paraId="0F9D89A8" w14:textId="77777777" w:rsidR="00DA7E40" w:rsidRPr="00D800F0" w:rsidRDefault="00DA7E40" w:rsidP="0000614D">
            <w:pPr>
              <w:rPr>
                <w:rFonts w:ascii="Arial" w:hAnsi="Arial" w:cs="Arial"/>
              </w:rPr>
            </w:pPr>
            <w:r w:rsidRPr="00D800F0">
              <w:rPr>
                <w:rFonts w:ascii="Arial" w:hAnsi="Arial" w:cs="Arial"/>
              </w:rPr>
              <w:t>Lifetime of battery system.</w:t>
            </w:r>
          </w:p>
        </w:tc>
        <w:tc>
          <w:tcPr>
            <w:tcW w:w="1899" w:type="dxa"/>
          </w:tcPr>
          <w:p w14:paraId="29B69A7F" w14:textId="77777777" w:rsidR="00DA7E40" w:rsidRPr="00D800F0" w:rsidRDefault="00DA7E40" w:rsidP="0000614D">
            <w:pPr>
              <w:rPr>
                <w:rFonts w:ascii="Arial" w:hAnsi="Arial" w:cs="Arial"/>
              </w:rPr>
            </w:pPr>
            <w:r w:rsidRPr="00D800F0">
              <w:rPr>
                <w:rFonts w:ascii="Arial" w:hAnsi="Arial" w:cs="Arial"/>
              </w:rPr>
              <w:t>years</w:t>
            </w:r>
          </w:p>
        </w:tc>
      </w:tr>
      <w:tr w:rsidR="00DA7E40" w:rsidRPr="00D800F0" w14:paraId="0AA23B1D" w14:textId="77777777" w:rsidTr="0000614D">
        <w:trPr>
          <w:trHeight w:val="432"/>
        </w:trPr>
        <w:tc>
          <w:tcPr>
            <w:tcW w:w="2775" w:type="dxa"/>
            <w:tcBorders>
              <w:bottom w:val="single" w:sz="4" w:space="0" w:color="auto"/>
            </w:tcBorders>
            <w:vAlign w:val="center"/>
          </w:tcPr>
          <w:p w14:paraId="21FCAC05" w14:textId="77777777" w:rsidR="00DA7E40" w:rsidRPr="00D800F0" w:rsidRDefault="00000000" w:rsidP="0000614D">
            <w:pPr>
              <w:rPr>
                <w:rFonts w:ascii="Arial" w:hAnsi="Arial" w:cs="Arial"/>
                <w:b/>
                <w:bCs/>
                <w:color w:val="000000" w:themeColor="text1"/>
              </w:rPr>
            </w:pPr>
            <m:oMathPara>
              <m:oMathParaPr>
                <m:jc m:val="left"/>
              </m:oMathParaPr>
              <m:oMath>
                <m:sSub>
                  <m:sSubPr>
                    <m:ctrlPr>
                      <w:rPr>
                        <w:rFonts w:ascii="Cambria Math" w:hAnsi="Cambria Math" w:cs="Arial"/>
                        <w:b/>
                        <w:bCs/>
                        <w:i/>
                        <w:color w:val="000000" w:themeColor="text1"/>
                      </w:rPr>
                    </m:ctrlPr>
                  </m:sSubPr>
                  <m:e>
                    <m:r>
                      <m:rPr>
                        <m:sty m:val="bi"/>
                      </m:rPr>
                      <w:rPr>
                        <w:rFonts w:ascii="Cambria Math" w:hAnsi="Cambria Math" w:cs="Arial"/>
                        <w:color w:val="000000" w:themeColor="text1"/>
                      </w:rPr>
                      <m:t>L</m:t>
                    </m:r>
                  </m:e>
                  <m:sub>
                    <m:r>
                      <m:rPr>
                        <m:sty m:val="bi"/>
                      </m:rPr>
                      <w:rPr>
                        <w:rFonts w:ascii="Cambria Math" w:hAnsi="Cambria Math" w:cs="Arial"/>
                        <w:color w:val="000000" w:themeColor="text1"/>
                      </w:rPr>
                      <m:t>wind</m:t>
                    </m:r>
                  </m:sub>
                </m:sSub>
              </m:oMath>
            </m:oMathPara>
          </w:p>
        </w:tc>
        <w:tc>
          <w:tcPr>
            <w:tcW w:w="5415" w:type="dxa"/>
            <w:tcBorders>
              <w:bottom w:val="single" w:sz="4" w:space="0" w:color="auto"/>
            </w:tcBorders>
          </w:tcPr>
          <w:p w14:paraId="755FF954" w14:textId="77777777" w:rsidR="00DA7E40" w:rsidRPr="00D800F0" w:rsidRDefault="00DA7E40" w:rsidP="0000614D">
            <w:pPr>
              <w:rPr>
                <w:rFonts w:ascii="Arial" w:hAnsi="Arial" w:cs="Arial"/>
              </w:rPr>
            </w:pPr>
            <w:r w:rsidRPr="00D800F0">
              <w:rPr>
                <w:rFonts w:ascii="Arial" w:hAnsi="Arial" w:cs="Arial"/>
              </w:rPr>
              <w:t xml:space="preserve">Lifetime of wind farm turbines. </w:t>
            </w:r>
          </w:p>
        </w:tc>
        <w:tc>
          <w:tcPr>
            <w:tcW w:w="1899" w:type="dxa"/>
            <w:tcBorders>
              <w:bottom w:val="single" w:sz="4" w:space="0" w:color="auto"/>
            </w:tcBorders>
          </w:tcPr>
          <w:p w14:paraId="7DED1096" w14:textId="77777777" w:rsidR="00DA7E40" w:rsidRPr="00D800F0" w:rsidRDefault="00DA7E40" w:rsidP="0000614D">
            <w:pPr>
              <w:rPr>
                <w:rFonts w:ascii="Arial" w:hAnsi="Arial" w:cs="Arial"/>
              </w:rPr>
            </w:pPr>
            <w:r w:rsidRPr="00D800F0">
              <w:rPr>
                <w:rFonts w:ascii="Arial" w:hAnsi="Arial" w:cs="Arial"/>
              </w:rPr>
              <w:t>Years</w:t>
            </w:r>
          </w:p>
        </w:tc>
      </w:tr>
    </w:tbl>
    <w:p w14:paraId="0CC27B50" w14:textId="77777777" w:rsidR="00DA7E40" w:rsidRPr="00D800F0" w:rsidRDefault="00DA7E40" w:rsidP="00DA7E40">
      <w:pPr>
        <w:rPr>
          <w:rFonts w:ascii="Arial" w:hAnsi="Arial" w:cs="Arial"/>
          <w:lang w:eastAsia="en-GB"/>
        </w:rPr>
      </w:pPr>
    </w:p>
    <w:p w14:paraId="1C01733F"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E</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2</w:t>
      </w:r>
      <w:r w:rsidRPr="00D800F0">
        <w:rPr>
          <w:rFonts w:ascii="Arial" w:hAnsi="Arial" w:cs="Arial"/>
          <w:noProof/>
        </w:rPr>
        <w:fldChar w:fldCharType="end"/>
      </w:r>
      <w:r w:rsidRPr="00D800F0">
        <w:rPr>
          <w:rFonts w:ascii="Arial" w:hAnsi="Arial" w:cs="Arial"/>
        </w:rPr>
        <w:t>: Input values for section F.</w:t>
      </w:r>
    </w:p>
    <w:tbl>
      <w:tblPr>
        <w:tblStyle w:val="TableGrid"/>
        <w:tblW w:w="100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5"/>
        <w:gridCol w:w="5055"/>
        <w:gridCol w:w="2259"/>
      </w:tblGrid>
      <w:tr w:rsidR="00DA7E40" w:rsidRPr="00D800F0" w14:paraId="00611669" w14:textId="77777777" w:rsidTr="0000614D">
        <w:tc>
          <w:tcPr>
            <w:tcW w:w="2775" w:type="dxa"/>
            <w:tcBorders>
              <w:top w:val="single" w:sz="4" w:space="0" w:color="auto"/>
              <w:bottom w:val="single" w:sz="4" w:space="0" w:color="auto"/>
            </w:tcBorders>
          </w:tcPr>
          <w:p w14:paraId="7EAF00CA" w14:textId="77777777" w:rsidR="00DA7E40" w:rsidRPr="00D800F0" w:rsidRDefault="00DA7E40" w:rsidP="0000614D">
            <w:pPr>
              <w:rPr>
                <w:rFonts w:ascii="Arial" w:hAnsi="Arial" w:cs="Arial"/>
                <w:i/>
                <w:iCs/>
              </w:rPr>
            </w:pPr>
            <w:r w:rsidRPr="00D800F0">
              <w:rPr>
                <w:rFonts w:ascii="Arial" w:hAnsi="Arial" w:cs="Arial"/>
                <w:i/>
                <w:iCs/>
              </w:rPr>
              <w:t>Variables/Parameters</w:t>
            </w:r>
          </w:p>
        </w:tc>
        <w:tc>
          <w:tcPr>
            <w:tcW w:w="5055" w:type="dxa"/>
            <w:tcBorders>
              <w:top w:val="single" w:sz="4" w:space="0" w:color="auto"/>
              <w:bottom w:val="single" w:sz="4" w:space="0" w:color="auto"/>
            </w:tcBorders>
          </w:tcPr>
          <w:p w14:paraId="1ABE3B79" w14:textId="77777777" w:rsidR="00DA7E40" w:rsidRPr="00D800F0" w:rsidRDefault="00DA7E40" w:rsidP="0000614D">
            <w:pPr>
              <w:rPr>
                <w:rFonts w:ascii="Arial" w:hAnsi="Arial" w:cs="Arial"/>
                <w:i/>
                <w:iCs/>
              </w:rPr>
            </w:pPr>
            <w:r w:rsidRPr="00D800F0">
              <w:rPr>
                <w:rFonts w:ascii="Arial" w:hAnsi="Arial" w:cs="Arial"/>
                <w:i/>
                <w:iCs/>
              </w:rPr>
              <w:t>Value</w:t>
            </w:r>
          </w:p>
        </w:tc>
        <w:tc>
          <w:tcPr>
            <w:tcW w:w="2259" w:type="dxa"/>
            <w:tcBorders>
              <w:top w:val="single" w:sz="4" w:space="0" w:color="auto"/>
              <w:bottom w:val="single" w:sz="4" w:space="0" w:color="auto"/>
            </w:tcBorders>
          </w:tcPr>
          <w:p w14:paraId="0EFC4EA0" w14:textId="77777777" w:rsidR="00DA7E40" w:rsidRPr="00D800F0" w:rsidRDefault="00DA7E40" w:rsidP="0000614D">
            <w:pPr>
              <w:rPr>
                <w:rFonts w:ascii="Arial" w:hAnsi="Arial" w:cs="Arial"/>
                <w:i/>
                <w:iCs/>
              </w:rPr>
            </w:pPr>
            <w:r w:rsidRPr="00D800F0">
              <w:rPr>
                <w:rFonts w:ascii="Arial" w:hAnsi="Arial" w:cs="Arial"/>
                <w:i/>
                <w:iCs/>
              </w:rPr>
              <w:t>Source</w:t>
            </w:r>
          </w:p>
        </w:tc>
      </w:tr>
      <w:tr w:rsidR="00DA7E40" w:rsidRPr="00D800F0" w14:paraId="2A164637" w14:textId="77777777" w:rsidTr="0000614D">
        <w:trPr>
          <w:trHeight w:val="432"/>
        </w:trPr>
        <w:tc>
          <w:tcPr>
            <w:tcW w:w="2775" w:type="dxa"/>
            <w:tcBorders>
              <w:top w:val="single" w:sz="4" w:space="0" w:color="auto"/>
            </w:tcBorders>
            <w:vAlign w:val="center"/>
          </w:tcPr>
          <w:p w14:paraId="27A57C28" w14:textId="77777777" w:rsidR="00DA7E40" w:rsidRPr="00D800F0" w:rsidRDefault="00000000" w:rsidP="0000614D">
            <w:pPr>
              <w:rPr>
                <w:rFonts w:ascii="Arial" w:hAnsi="Arial" w:cs="Arial"/>
                <w:b/>
                <w:bCs/>
              </w:rPr>
            </w:pPr>
            <m:oMathPara>
              <m:oMathParaPr>
                <m:jc m:val="left"/>
              </m:oMathParaPr>
              <m:oMath>
                <m:sSubSup>
                  <m:sSubSupPr>
                    <m:ctrlPr>
                      <w:rPr>
                        <w:rFonts w:ascii="Cambria Math" w:hAnsi="Cambria Math" w:cs="Arial"/>
                        <w:b/>
                        <w:bCs/>
                        <w:i/>
                      </w:rPr>
                    </m:ctrlPr>
                  </m:sSubSupPr>
                  <m:e>
                    <m:r>
                      <m:rPr>
                        <m:sty m:val="bi"/>
                      </m:rPr>
                      <w:rPr>
                        <w:rFonts w:ascii="Cambria Math" w:hAnsi="Cambria Math" w:cs="Arial"/>
                      </w:rPr>
                      <m:t>C</m:t>
                    </m:r>
                  </m:e>
                  <m:sub>
                    <m:r>
                      <m:rPr>
                        <m:sty m:val="bi"/>
                      </m:rPr>
                      <w:rPr>
                        <w:rFonts w:ascii="Cambria Math" w:hAnsi="Cambria Math" w:cs="Arial"/>
                      </w:rPr>
                      <m:t>f+v</m:t>
                    </m:r>
                  </m:sub>
                  <m:sup>
                    <m:r>
                      <m:rPr>
                        <m:sty m:val="bi"/>
                      </m:rPr>
                      <w:rPr>
                        <w:rFonts w:ascii="Cambria Math" w:hAnsi="Cambria Math" w:cs="Arial"/>
                      </w:rPr>
                      <m:t>wind</m:t>
                    </m:r>
                  </m:sup>
                </m:sSubSup>
              </m:oMath>
            </m:oMathPara>
          </w:p>
        </w:tc>
        <w:tc>
          <w:tcPr>
            <w:tcW w:w="5055" w:type="dxa"/>
            <w:tcBorders>
              <w:top w:val="single" w:sz="4" w:space="0" w:color="auto"/>
            </w:tcBorders>
            <w:vAlign w:val="center"/>
          </w:tcPr>
          <w:p w14:paraId="1298E559" w14:textId="77777777" w:rsidR="00DA7E40" w:rsidRPr="00D800F0" w:rsidRDefault="00DA7E40" w:rsidP="0000614D">
            <w:pPr>
              <w:rPr>
                <w:rFonts w:ascii="Arial" w:hAnsi="Arial" w:cs="Arial"/>
              </w:rPr>
            </w:pPr>
            <w:r w:rsidRPr="00D800F0">
              <w:rPr>
                <w:rFonts w:ascii="Arial" w:hAnsi="Arial" w:cs="Arial"/>
              </w:rPr>
              <w:t>52.22 $/MW/year</w:t>
            </w:r>
          </w:p>
        </w:tc>
        <w:tc>
          <w:tcPr>
            <w:tcW w:w="2259" w:type="dxa"/>
            <w:tcBorders>
              <w:top w:val="single" w:sz="4" w:space="0" w:color="auto"/>
            </w:tcBorders>
            <w:vAlign w:val="center"/>
          </w:tcPr>
          <w:p w14:paraId="0EA34EE4" w14:textId="77777777" w:rsidR="00DA7E40" w:rsidRPr="00D800F0" w:rsidRDefault="00DA7E40" w:rsidP="0000614D">
            <w:pPr>
              <w:rPr>
                <w:rFonts w:ascii="Arial" w:hAnsi="Arial" w:cs="Arial"/>
              </w:rPr>
            </w:pPr>
            <w:r w:rsidRPr="00D800F0">
              <w:rPr>
                <w:rFonts w:ascii="Arial" w:hAnsi="Arial" w:cs="Arial"/>
              </w:rPr>
              <w:t>Stehly et al., 2019</w:t>
            </w:r>
          </w:p>
        </w:tc>
      </w:tr>
      <w:tr w:rsidR="00DA7E40" w:rsidRPr="00D800F0" w14:paraId="1C697592" w14:textId="77777777" w:rsidTr="0000614D">
        <w:trPr>
          <w:trHeight w:val="432"/>
        </w:trPr>
        <w:tc>
          <w:tcPr>
            <w:tcW w:w="2775" w:type="dxa"/>
            <w:vAlign w:val="center"/>
          </w:tcPr>
          <w:p w14:paraId="3390671A" w14:textId="77777777" w:rsidR="00DA7E40" w:rsidRPr="00D800F0" w:rsidRDefault="00000000" w:rsidP="0000614D">
            <w:pPr>
              <w:rPr>
                <w:rFonts w:ascii="Arial" w:hAnsi="Arial" w:cs="Arial"/>
                <w:b/>
                <w:bCs/>
              </w:rPr>
            </w:pPr>
            <m:oMathPara>
              <m:oMathParaPr>
                <m:jc m:val="left"/>
              </m:oMathParaPr>
              <m:oMath>
                <m:sSubSup>
                  <m:sSubSupPr>
                    <m:ctrlPr>
                      <w:rPr>
                        <w:rFonts w:ascii="Cambria Math" w:hAnsi="Cambria Math" w:cs="Arial"/>
                        <w:b/>
                        <w:bCs/>
                        <w:i/>
                      </w:rPr>
                    </m:ctrlPr>
                  </m:sSubSupPr>
                  <m:e>
                    <m:r>
                      <m:rPr>
                        <m:sty m:val="bi"/>
                      </m:rPr>
                      <w:rPr>
                        <w:rFonts w:ascii="Cambria Math" w:hAnsi="Cambria Math" w:cs="Arial"/>
                      </w:rPr>
                      <m:t>C</m:t>
                    </m:r>
                  </m:e>
                  <m:sub>
                    <m:r>
                      <m:rPr>
                        <m:sty m:val="bi"/>
                      </m:rPr>
                      <w:rPr>
                        <w:rFonts w:ascii="Cambria Math" w:hAnsi="Cambria Math" w:cs="Arial"/>
                      </w:rPr>
                      <m:t>f</m:t>
                    </m:r>
                  </m:sub>
                  <m:sup>
                    <m:r>
                      <m:rPr>
                        <m:sty m:val="bi"/>
                      </m:rPr>
                      <w:rPr>
                        <w:rFonts w:ascii="Cambria Math" w:hAnsi="Cambria Math" w:cs="Arial"/>
                      </w:rPr>
                      <m:t>battery</m:t>
                    </m:r>
                  </m:sup>
                </m:sSubSup>
              </m:oMath>
            </m:oMathPara>
          </w:p>
        </w:tc>
        <w:tc>
          <w:tcPr>
            <w:tcW w:w="5055" w:type="dxa"/>
            <w:vAlign w:val="center"/>
          </w:tcPr>
          <w:p w14:paraId="45D00FFC" w14:textId="77777777" w:rsidR="00DA7E40" w:rsidRPr="00D800F0" w:rsidRDefault="00DA7E40" w:rsidP="0000614D">
            <w:pPr>
              <w:rPr>
                <w:rFonts w:ascii="Arial" w:hAnsi="Arial" w:cs="Arial"/>
              </w:rPr>
            </w:pPr>
            <w:r w:rsidRPr="00D800F0">
              <w:rPr>
                <w:rFonts w:ascii="Arial" w:hAnsi="Arial" w:cs="Arial"/>
              </w:rPr>
              <w:t>Uniform(6.16, 49.33) $/kW-year</w:t>
            </w:r>
          </w:p>
        </w:tc>
        <w:tc>
          <w:tcPr>
            <w:tcW w:w="2259" w:type="dxa"/>
            <w:vAlign w:val="center"/>
          </w:tcPr>
          <w:p w14:paraId="5A021195" w14:textId="77777777" w:rsidR="00DA7E40" w:rsidRPr="00D800F0" w:rsidRDefault="00DA7E40" w:rsidP="0000614D">
            <w:pPr>
              <w:rPr>
                <w:rFonts w:ascii="Arial" w:hAnsi="Arial" w:cs="Arial"/>
              </w:rPr>
            </w:pPr>
            <w:r w:rsidRPr="00D800F0">
              <w:rPr>
                <w:rFonts w:ascii="Arial" w:hAnsi="Arial" w:cs="Arial"/>
              </w:rPr>
              <w:t>Cole &amp; Frazier, 2019</w:t>
            </w:r>
          </w:p>
        </w:tc>
      </w:tr>
      <w:tr w:rsidR="00DA7E40" w:rsidRPr="00D800F0" w14:paraId="01FC032A" w14:textId="77777777" w:rsidTr="0000614D">
        <w:trPr>
          <w:trHeight w:val="432"/>
        </w:trPr>
        <w:tc>
          <w:tcPr>
            <w:tcW w:w="2775" w:type="dxa"/>
            <w:vAlign w:val="center"/>
          </w:tcPr>
          <w:p w14:paraId="14D01FDC" w14:textId="77777777" w:rsidR="00DA7E40" w:rsidRPr="00D800F0" w:rsidRDefault="00000000" w:rsidP="0000614D">
            <w:pPr>
              <w:rPr>
                <w:rFonts w:ascii="Arial" w:hAnsi="Arial" w:cs="Arial"/>
                <w:b/>
                <w:bCs/>
              </w:rPr>
            </w:pPr>
            <m:oMathPara>
              <m:oMathParaPr>
                <m:jc m:val="left"/>
              </m:oMathParaPr>
              <m:oMath>
                <m:sSubSup>
                  <m:sSubSupPr>
                    <m:ctrlPr>
                      <w:rPr>
                        <w:rFonts w:ascii="Cambria Math" w:hAnsi="Cambria Math" w:cs="Arial"/>
                        <w:b/>
                        <w:bCs/>
                        <w:i/>
                      </w:rPr>
                    </m:ctrlPr>
                  </m:sSubSupPr>
                  <m:e>
                    <m:r>
                      <m:rPr>
                        <m:sty m:val="bi"/>
                      </m:rPr>
                      <w:rPr>
                        <w:rFonts w:ascii="Cambria Math" w:hAnsi="Cambria Math" w:cs="Arial"/>
                      </w:rPr>
                      <m:t>C</m:t>
                    </m:r>
                  </m:e>
                  <m:sub>
                    <m:r>
                      <m:rPr>
                        <m:sty m:val="bi"/>
                      </m:rPr>
                      <w:rPr>
                        <w:rFonts w:ascii="Cambria Math" w:hAnsi="Cambria Math" w:cs="Arial"/>
                      </w:rPr>
                      <m:t>v</m:t>
                    </m:r>
                  </m:sub>
                  <m:sup>
                    <m:r>
                      <m:rPr>
                        <m:sty m:val="bi"/>
                      </m:rPr>
                      <w:rPr>
                        <w:rFonts w:ascii="Cambria Math" w:hAnsi="Cambria Math" w:cs="Arial"/>
                      </w:rPr>
                      <m:t>battery</m:t>
                    </m:r>
                  </m:sup>
                </m:sSubSup>
              </m:oMath>
            </m:oMathPara>
          </w:p>
        </w:tc>
        <w:tc>
          <w:tcPr>
            <w:tcW w:w="5055" w:type="dxa"/>
            <w:vAlign w:val="center"/>
          </w:tcPr>
          <w:p w14:paraId="0F62E8C8" w14:textId="77777777" w:rsidR="00DA7E40" w:rsidRPr="00D800F0" w:rsidRDefault="00DA7E40" w:rsidP="0000614D">
            <w:pPr>
              <w:rPr>
                <w:rFonts w:ascii="Arial" w:hAnsi="Arial" w:cs="Arial"/>
              </w:rPr>
            </w:pPr>
            <w:r w:rsidRPr="00D800F0">
              <w:rPr>
                <w:rFonts w:ascii="Arial" w:hAnsi="Arial" w:cs="Arial"/>
              </w:rPr>
              <w:t>Uniform(0,8.63) $/MWh</w:t>
            </w:r>
          </w:p>
        </w:tc>
        <w:tc>
          <w:tcPr>
            <w:tcW w:w="2259" w:type="dxa"/>
            <w:vAlign w:val="center"/>
          </w:tcPr>
          <w:p w14:paraId="6088FA6D" w14:textId="77777777" w:rsidR="00DA7E40" w:rsidRPr="00D800F0" w:rsidRDefault="00DA7E40" w:rsidP="0000614D">
            <w:pPr>
              <w:rPr>
                <w:rFonts w:ascii="Arial" w:hAnsi="Arial" w:cs="Arial"/>
              </w:rPr>
            </w:pPr>
            <w:r w:rsidRPr="00D800F0">
              <w:rPr>
                <w:rFonts w:ascii="Arial" w:hAnsi="Arial" w:cs="Arial"/>
              </w:rPr>
              <w:t>Cole &amp; Frazier, 2019</w:t>
            </w:r>
          </w:p>
        </w:tc>
      </w:tr>
      <w:tr w:rsidR="00DA7E40" w:rsidRPr="00D800F0" w14:paraId="258B5CEC" w14:textId="77777777" w:rsidTr="0000614D">
        <w:trPr>
          <w:trHeight w:val="432"/>
        </w:trPr>
        <w:tc>
          <w:tcPr>
            <w:tcW w:w="2775" w:type="dxa"/>
            <w:vAlign w:val="center"/>
          </w:tcPr>
          <w:p w14:paraId="3C121463" w14:textId="77777777" w:rsidR="00DA7E40" w:rsidRPr="00D800F0" w:rsidRDefault="00DA7E40" w:rsidP="0000614D">
            <w:pPr>
              <w:rPr>
                <w:rFonts w:ascii="Arial" w:hAnsi="Arial" w:cs="Arial"/>
                <w:b/>
                <w:bCs/>
              </w:rPr>
            </w:pPr>
            <m:oMathPara>
              <m:oMathParaPr>
                <m:jc m:val="left"/>
              </m:oMathParaPr>
              <m:oMath>
                <m:r>
                  <m:rPr>
                    <m:sty m:val="bi"/>
                  </m:rPr>
                  <w:rPr>
                    <w:rFonts w:ascii="Cambria Math" w:hAnsi="Cambria Math" w:cs="Arial"/>
                  </w:rPr>
                  <m:t>L</m:t>
                </m:r>
              </m:oMath>
            </m:oMathPara>
          </w:p>
        </w:tc>
        <w:tc>
          <w:tcPr>
            <w:tcW w:w="5055" w:type="dxa"/>
            <w:vAlign w:val="center"/>
          </w:tcPr>
          <w:p w14:paraId="1CA4E14D" w14:textId="77777777" w:rsidR="00DA7E40" w:rsidRPr="00D800F0" w:rsidRDefault="00DA7E40" w:rsidP="0000614D">
            <w:pPr>
              <w:rPr>
                <w:rFonts w:ascii="Arial" w:hAnsi="Arial" w:cs="Arial"/>
              </w:rPr>
            </w:pPr>
            <w:r w:rsidRPr="00D800F0">
              <w:rPr>
                <w:rFonts w:ascii="Arial" w:hAnsi="Arial" w:cs="Arial"/>
              </w:rPr>
              <w:t>480 months (40 years)</w:t>
            </w:r>
          </w:p>
        </w:tc>
        <w:tc>
          <w:tcPr>
            <w:tcW w:w="2259" w:type="dxa"/>
            <w:vAlign w:val="center"/>
          </w:tcPr>
          <w:p w14:paraId="7C640E73" w14:textId="77777777" w:rsidR="00DA7E40" w:rsidRPr="00D800F0" w:rsidRDefault="00DA7E40" w:rsidP="0000614D">
            <w:pPr>
              <w:rPr>
                <w:rFonts w:ascii="Arial" w:hAnsi="Arial" w:cs="Arial"/>
              </w:rPr>
            </w:pPr>
            <w:r w:rsidRPr="00D800F0">
              <w:rPr>
                <w:rFonts w:ascii="Arial" w:hAnsi="Arial" w:cs="Arial"/>
              </w:rPr>
              <w:t>Author assumption</w:t>
            </w:r>
          </w:p>
        </w:tc>
      </w:tr>
      <w:tr w:rsidR="00DA7E40" w:rsidRPr="00D800F0" w14:paraId="64F55DB1" w14:textId="77777777" w:rsidTr="0000614D">
        <w:trPr>
          <w:trHeight w:val="432"/>
        </w:trPr>
        <w:tc>
          <w:tcPr>
            <w:tcW w:w="2775" w:type="dxa"/>
            <w:vAlign w:val="center"/>
          </w:tcPr>
          <w:p w14:paraId="6E78890C" w14:textId="77777777" w:rsidR="00DA7E40" w:rsidRPr="00D800F0" w:rsidRDefault="00DA7E40" w:rsidP="0000614D">
            <w:pPr>
              <w:rPr>
                <w:rFonts w:ascii="Arial" w:hAnsi="Arial" w:cs="Arial"/>
                <w:b/>
                <w:bCs/>
              </w:rPr>
            </w:pPr>
            <m:oMathPara>
              <m:oMathParaPr>
                <m:jc m:val="left"/>
              </m:oMathParaPr>
              <m:oMath>
                <m:r>
                  <m:rPr>
                    <m:sty m:val="bi"/>
                  </m:rPr>
                  <w:rPr>
                    <w:rFonts w:ascii="Cambria Math" w:hAnsi="Cambria Math" w:cs="Arial"/>
                  </w:rPr>
                  <m:t>S</m:t>
                </m:r>
              </m:oMath>
            </m:oMathPara>
          </w:p>
        </w:tc>
        <w:tc>
          <w:tcPr>
            <w:tcW w:w="5055" w:type="dxa"/>
            <w:vAlign w:val="center"/>
          </w:tcPr>
          <w:p w14:paraId="212E7DDC" w14:textId="77777777" w:rsidR="00DA7E40" w:rsidRPr="00D800F0" w:rsidRDefault="00DA7E40" w:rsidP="0000614D">
            <w:pPr>
              <w:rPr>
                <w:rFonts w:ascii="Arial" w:hAnsi="Arial" w:cs="Arial"/>
              </w:rPr>
            </w:pPr>
            <w:r w:rsidRPr="00D800F0">
              <w:rPr>
                <w:rFonts w:ascii="Arial" w:hAnsi="Arial" w:cs="Arial"/>
              </w:rPr>
              <w:t>0 months (year 2023) or 84 (year 2030)</w:t>
            </w:r>
          </w:p>
        </w:tc>
        <w:tc>
          <w:tcPr>
            <w:tcW w:w="2259" w:type="dxa"/>
            <w:vAlign w:val="center"/>
          </w:tcPr>
          <w:p w14:paraId="0F9F1500" w14:textId="77777777" w:rsidR="00DA7E40" w:rsidRPr="00D800F0" w:rsidRDefault="00DA7E40" w:rsidP="0000614D">
            <w:pPr>
              <w:rPr>
                <w:rFonts w:ascii="Arial" w:hAnsi="Arial" w:cs="Arial"/>
              </w:rPr>
            </w:pPr>
            <w:r w:rsidRPr="00D800F0">
              <w:rPr>
                <w:rFonts w:ascii="Arial" w:hAnsi="Arial" w:cs="Arial"/>
              </w:rPr>
              <w:t>Author assumption</w:t>
            </w:r>
          </w:p>
        </w:tc>
      </w:tr>
      <w:tr w:rsidR="00DA7E40" w:rsidRPr="00D800F0" w14:paraId="2D22D6B0" w14:textId="77777777" w:rsidTr="0000614D">
        <w:trPr>
          <w:trHeight w:val="432"/>
        </w:trPr>
        <w:tc>
          <w:tcPr>
            <w:tcW w:w="2775" w:type="dxa"/>
            <w:vAlign w:val="center"/>
          </w:tcPr>
          <w:p w14:paraId="34182E16" w14:textId="77777777" w:rsidR="00DA7E40" w:rsidRPr="00D800F0" w:rsidRDefault="00DA7E40" w:rsidP="0000614D">
            <w:pPr>
              <w:rPr>
                <w:rFonts w:ascii="Arial" w:hAnsi="Arial" w:cs="Arial"/>
                <w:b/>
                <w:bCs/>
              </w:rPr>
            </w:pPr>
            <m:oMathPara>
              <m:oMathParaPr>
                <m:jc m:val="left"/>
              </m:oMathParaPr>
              <m:oMath>
                <m:r>
                  <m:rPr>
                    <m:sty m:val="bi"/>
                  </m:rPr>
                  <w:rPr>
                    <w:rFonts w:ascii="Cambria Math" w:hAnsi="Cambria Math" w:cs="Arial"/>
                  </w:rPr>
                  <m:t>C</m:t>
                </m:r>
              </m:oMath>
            </m:oMathPara>
          </w:p>
        </w:tc>
        <w:tc>
          <w:tcPr>
            <w:tcW w:w="5055" w:type="dxa"/>
            <w:vAlign w:val="center"/>
          </w:tcPr>
          <w:p w14:paraId="1EACD338" w14:textId="77777777" w:rsidR="00DA7E40" w:rsidRPr="00D800F0" w:rsidRDefault="00DA7E40" w:rsidP="0000614D">
            <w:pPr>
              <w:rPr>
                <w:rFonts w:ascii="Arial" w:hAnsi="Arial" w:cs="Arial"/>
              </w:rPr>
            </w:pPr>
            <w:r w:rsidRPr="00D800F0">
              <w:rPr>
                <w:rFonts w:ascii="Arial" w:hAnsi="Arial" w:cs="Arial"/>
              </w:rPr>
              <w:t>36 months</w:t>
            </w:r>
          </w:p>
        </w:tc>
        <w:tc>
          <w:tcPr>
            <w:tcW w:w="2259" w:type="dxa"/>
            <w:vAlign w:val="center"/>
          </w:tcPr>
          <w:p w14:paraId="672FBAEC" w14:textId="77777777" w:rsidR="00DA7E40" w:rsidRPr="00D800F0" w:rsidRDefault="00DA7E40" w:rsidP="0000614D">
            <w:pPr>
              <w:rPr>
                <w:rFonts w:ascii="Arial" w:hAnsi="Arial" w:cs="Arial"/>
              </w:rPr>
            </w:pPr>
            <w:r w:rsidRPr="00D800F0">
              <w:rPr>
                <w:rFonts w:ascii="Arial" w:hAnsi="Arial" w:cs="Arial"/>
              </w:rPr>
              <w:t>Author assumption</w:t>
            </w:r>
          </w:p>
        </w:tc>
      </w:tr>
      <w:tr w:rsidR="00DA7E40" w:rsidRPr="00D800F0" w14:paraId="44A83E49" w14:textId="77777777" w:rsidTr="0000614D">
        <w:trPr>
          <w:trHeight w:val="432"/>
        </w:trPr>
        <w:tc>
          <w:tcPr>
            <w:tcW w:w="2775" w:type="dxa"/>
            <w:vAlign w:val="center"/>
          </w:tcPr>
          <w:p w14:paraId="2C92E772" w14:textId="77777777" w:rsidR="00DA7E40" w:rsidRPr="00D800F0" w:rsidRDefault="00DA7E40" w:rsidP="0000614D">
            <w:pPr>
              <w:rPr>
                <w:rFonts w:ascii="Arial" w:hAnsi="Arial" w:cs="Arial"/>
                <w:b/>
                <w:bCs/>
              </w:rPr>
            </w:pPr>
            <m:oMathPara>
              <m:oMathParaPr>
                <m:jc m:val="left"/>
              </m:oMathParaPr>
              <m:oMath>
                <m:r>
                  <m:rPr>
                    <m:sty m:val="bi"/>
                  </m:rPr>
                  <w:rPr>
                    <w:rFonts w:ascii="Cambria Math" w:hAnsi="Cambria Math" w:cs="Arial"/>
                  </w:rPr>
                  <m:t>48</m:t>
                </m:r>
                <m:r>
                  <m:rPr>
                    <m:sty m:val="bi"/>
                  </m:rPr>
                  <w:rPr>
                    <w:rFonts w:ascii="Cambria Math" w:hAnsi="Cambria Math" w:cs="Arial"/>
                  </w:rPr>
                  <m:t>E</m:t>
                </m:r>
              </m:oMath>
            </m:oMathPara>
          </w:p>
        </w:tc>
        <w:tc>
          <w:tcPr>
            <w:tcW w:w="5055" w:type="dxa"/>
            <w:vAlign w:val="center"/>
          </w:tcPr>
          <w:p w14:paraId="1AC5BB29" w14:textId="77777777" w:rsidR="00DA7E40" w:rsidRPr="00D800F0" w:rsidRDefault="00DA7E40" w:rsidP="0000614D">
            <w:pPr>
              <w:rPr>
                <w:rFonts w:ascii="Arial" w:hAnsi="Arial" w:cs="Arial"/>
              </w:rPr>
            </w:pPr>
            <w:r w:rsidRPr="00D800F0">
              <w:rPr>
                <w:rFonts w:ascii="Arial" w:hAnsi="Arial" w:cs="Arial"/>
              </w:rPr>
              <w:t>Uniform(30%,40%)</w:t>
            </w:r>
          </w:p>
        </w:tc>
        <w:tc>
          <w:tcPr>
            <w:tcW w:w="2259" w:type="dxa"/>
            <w:vAlign w:val="center"/>
          </w:tcPr>
          <w:p w14:paraId="2EA9D6F5" w14:textId="5723B18D" w:rsidR="00DA7E40" w:rsidRPr="00D800F0" w:rsidRDefault="007E233D" w:rsidP="0000614D">
            <w:pPr>
              <w:rPr>
                <w:rFonts w:ascii="Arial" w:hAnsi="Arial" w:cs="Arial"/>
              </w:rPr>
            </w:pPr>
            <w:r w:rsidRPr="00D800F0">
              <w:rPr>
                <w:rFonts w:ascii="Arial" w:hAnsi="Arial" w:cs="Arial"/>
              </w:rPr>
              <w:t>IRA</w:t>
            </w:r>
            <w:r w:rsidR="00DA7E40" w:rsidRPr="00D800F0">
              <w:rPr>
                <w:rFonts w:ascii="Arial" w:hAnsi="Arial" w:cs="Arial"/>
              </w:rPr>
              <w:t>, 2022</w:t>
            </w:r>
          </w:p>
        </w:tc>
      </w:tr>
      <w:tr w:rsidR="00DA7E40" w:rsidRPr="00D800F0" w14:paraId="339BA87F" w14:textId="77777777" w:rsidTr="0000614D">
        <w:trPr>
          <w:trHeight w:val="432"/>
        </w:trPr>
        <w:tc>
          <w:tcPr>
            <w:tcW w:w="2775" w:type="dxa"/>
            <w:vAlign w:val="center"/>
          </w:tcPr>
          <w:p w14:paraId="056A42BA" w14:textId="77777777" w:rsidR="00DA7E40" w:rsidRPr="00D800F0" w:rsidRDefault="00DA7E40" w:rsidP="0000614D">
            <w:pPr>
              <w:rPr>
                <w:rFonts w:ascii="Arial" w:hAnsi="Arial" w:cs="Arial"/>
                <w:b/>
                <w:bCs/>
              </w:rPr>
            </w:pPr>
            <m:oMathPara>
              <m:oMathParaPr>
                <m:jc m:val="left"/>
              </m:oMathParaPr>
              <m:oMath>
                <m:r>
                  <m:rPr>
                    <m:sty m:val="bi"/>
                  </m:rPr>
                  <w:rPr>
                    <w:rFonts w:ascii="Cambria Math" w:hAnsi="Cambria Math" w:cs="Arial"/>
                  </w:rPr>
                  <m:t>45</m:t>
                </m:r>
                <m:r>
                  <m:rPr>
                    <m:sty m:val="bi"/>
                  </m:rPr>
                  <w:rPr>
                    <w:rFonts w:ascii="Cambria Math" w:hAnsi="Cambria Math" w:cs="Arial"/>
                  </w:rPr>
                  <m:t>Y(T)</m:t>
                </m:r>
              </m:oMath>
            </m:oMathPara>
          </w:p>
        </w:tc>
        <w:tc>
          <w:tcPr>
            <w:tcW w:w="5055" w:type="dxa"/>
            <w:vAlign w:val="center"/>
          </w:tcPr>
          <w:p w14:paraId="588E82A1" w14:textId="77777777" w:rsidR="00DA7E40" w:rsidRPr="00D800F0" w:rsidRDefault="00DA7E40" w:rsidP="0000614D">
            <w:pPr>
              <w:rPr>
                <w:rFonts w:ascii="Arial" w:hAnsi="Arial" w:cs="Arial"/>
              </w:rPr>
            </w:pPr>
            <w:r w:rsidRPr="00D800F0">
              <w:rPr>
                <w:rFonts w:ascii="Arial" w:hAnsi="Arial" w:cs="Arial"/>
              </w:rPr>
              <w:t>$1.5/MWh (when eligible)</w:t>
            </w:r>
          </w:p>
        </w:tc>
        <w:tc>
          <w:tcPr>
            <w:tcW w:w="2259" w:type="dxa"/>
            <w:vAlign w:val="center"/>
          </w:tcPr>
          <w:p w14:paraId="6E364901" w14:textId="36AFC828" w:rsidR="00DA7E40" w:rsidRPr="00D800F0" w:rsidRDefault="007E233D" w:rsidP="0000614D">
            <w:pPr>
              <w:rPr>
                <w:rFonts w:ascii="Arial" w:hAnsi="Arial" w:cs="Arial"/>
              </w:rPr>
            </w:pPr>
            <w:r w:rsidRPr="00D800F0">
              <w:rPr>
                <w:rFonts w:ascii="Arial" w:hAnsi="Arial" w:cs="Arial"/>
              </w:rPr>
              <w:t>IRA</w:t>
            </w:r>
            <w:r w:rsidR="00DA7E40" w:rsidRPr="00D800F0">
              <w:rPr>
                <w:rFonts w:ascii="Arial" w:hAnsi="Arial" w:cs="Arial"/>
              </w:rPr>
              <w:t>, 2022</w:t>
            </w:r>
          </w:p>
        </w:tc>
      </w:tr>
      <w:tr w:rsidR="00DA7E40" w:rsidRPr="00D800F0" w14:paraId="2DEE992C" w14:textId="77777777" w:rsidTr="0000614D">
        <w:trPr>
          <w:trHeight w:val="432"/>
        </w:trPr>
        <w:tc>
          <w:tcPr>
            <w:tcW w:w="2775" w:type="dxa"/>
            <w:vAlign w:val="center"/>
          </w:tcPr>
          <w:p w14:paraId="759BD0CC" w14:textId="77777777" w:rsidR="00DA7E40" w:rsidRPr="00D800F0" w:rsidRDefault="00000000" w:rsidP="0000614D">
            <w:pPr>
              <w:rPr>
                <w:rFonts w:ascii="Arial" w:hAnsi="Arial" w:cs="Arial"/>
                <w:b/>
                <w:color w:val="000000" w:themeColor="text1"/>
              </w:rPr>
            </w:pPr>
            <m:oMathPara>
              <m:oMathParaPr>
                <m:jc m:val="left"/>
              </m:oMathParaPr>
              <m:oMath>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M</m:t>
                    </m:r>
                  </m:e>
                  <m:sub>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H</m:t>
                        </m:r>
                      </m:e>
                      <m:sub>
                        <m:r>
                          <m:rPr>
                            <m:sty m:val="bi"/>
                          </m:rPr>
                          <w:rPr>
                            <w:rFonts w:ascii="Cambria Math" w:eastAsiaTheme="minorEastAsia" w:hAnsi="Cambria Math" w:cs="Arial"/>
                            <w:color w:val="000000" w:themeColor="text1"/>
                          </w:rPr>
                          <m:t>2</m:t>
                        </m:r>
                      </m:sub>
                    </m:sSub>
                  </m:sub>
                </m:sSub>
              </m:oMath>
            </m:oMathPara>
          </w:p>
        </w:tc>
        <w:tc>
          <w:tcPr>
            <w:tcW w:w="5055" w:type="dxa"/>
            <w:vAlign w:val="center"/>
          </w:tcPr>
          <w:p w14:paraId="75A618F1" w14:textId="77777777" w:rsidR="00DA7E40" w:rsidRPr="00D800F0" w:rsidRDefault="00DA7E40" w:rsidP="0000614D">
            <w:pPr>
              <w:rPr>
                <w:rFonts w:ascii="Arial" w:hAnsi="Arial" w:cs="Arial"/>
              </w:rPr>
            </w:pPr>
            <w:r w:rsidRPr="00D800F0">
              <w:rPr>
                <w:rFonts w:ascii="Arial" w:hAnsi="Arial" w:cs="Arial"/>
              </w:rPr>
              <w:t>483 TPD</w:t>
            </w:r>
          </w:p>
        </w:tc>
        <w:tc>
          <w:tcPr>
            <w:tcW w:w="2259" w:type="dxa"/>
            <w:vAlign w:val="center"/>
          </w:tcPr>
          <w:p w14:paraId="0017D90E" w14:textId="77777777" w:rsidR="00DA7E40" w:rsidRPr="00D800F0" w:rsidRDefault="00DA7E40" w:rsidP="0000614D">
            <w:pPr>
              <w:rPr>
                <w:rFonts w:ascii="Arial" w:hAnsi="Arial" w:cs="Arial"/>
              </w:rPr>
            </w:pPr>
            <w:r w:rsidRPr="00D800F0">
              <w:rPr>
                <w:rFonts w:ascii="Arial" w:hAnsi="Arial" w:cs="Arial"/>
              </w:rPr>
              <w:t>Lewis et al., 2022</w:t>
            </w:r>
          </w:p>
        </w:tc>
      </w:tr>
      <w:tr w:rsidR="00DA7E40" w:rsidRPr="00D800F0" w14:paraId="1CD83409" w14:textId="77777777" w:rsidTr="0000614D">
        <w:trPr>
          <w:trHeight w:val="432"/>
        </w:trPr>
        <w:tc>
          <w:tcPr>
            <w:tcW w:w="2775" w:type="dxa"/>
            <w:vAlign w:val="center"/>
          </w:tcPr>
          <w:p w14:paraId="3576F179" w14:textId="77777777" w:rsidR="00DA7E40" w:rsidRPr="00D800F0" w:rsidRDefault="00000000" w:rsidP="0000614D">
            <w:pPr>
              <w:rPr>
                <w:rFonts w:ascii="Arial" w:hAnsi="Arial" w:cs="Arial"/>
                <w:b/>
                <w:bCs/>
                <w:iCs/>
                <w:color w:val="000000" w:themeColor="text1"/>
              </w:rPr>
            </w:pPr>
            <m:oMathPara>
              <m:oMathParaPr>
                <m:jc m:val="left"/>
              </m:oMathParaPr>
              <m:oMath>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F</m:t>
                    </m:r>
                  </m:e>
                  <m:sub>
                    <m:r>
                      <m:rPr>
                        <m:sty m:val="bi"/>
                      </m:rPr>
                      <w:rPr>
                        <w:rFonts w:ascii="Cambria Math" w:eastAsiaTheme="minorEastAsia" w:hAnsi="Cambria Math" w:cs="Arial"/>
                        <w:color w:val="000000" w:themeColor="text1"/>
                      </w:rPr>
                      <m:t>a</m:t>
                    </m:r>
                  </m:sub>
                </m:sSub>
              </m:oMath>
            </m:oMathPara>
          </w:p>
        </w:tc>
        <w:tc>
          <w:tcPr>
            <w:tcW w:w="5055" w:type="dxa"/>
            <w:vAlign w:val="center"/>
          </w:tcPr>
          <w:p w14:paraId="2F1A70D2" w14:textId="77777777" w:rsidR="00DA7E40" w:rsidRPr="00D800F0" w:rsidRDefault="00DA7E40" w:rsidP="0000614D">
            <w:pPr>
              <w:rPr>
                <w:rFonts w:ascii="Arial" w:hAnsi="Arial" w:cs="Arial"/>
              </w:rPr>
            </w:pPr>
            <w:r w:rsidRPr="00D800F0">
              <w:rPr>
                <w:rFonts w:ascii="Arial" w:hAnsi="Arial" w:cs="Arial"/>
              </w:rPr>
              <w:t>90%</w:t>
            </w:r>
          </w:p>
        </w:tc>
        <w:tc>
          <w:tcPr>
            <w:tcW w:w="2259" w:type="dxa"/>
            <w:vAlign w:val="center"/>
          </w:tcPr>
          <w:p w14:paraId="2466F52B" w14:textId="77777777" w:rsidR="00DA7E40" w:rsidRPr="00D800F0" w:rsidRDefault="00DA7E40" w:rsidP="0000614D">
            <w:pPr>
              <w:rPr>
                <w:rFonts w:ascii="Arial" w:hAnsi="Arial" w:cs="Arial"/>
              </w:rPr>
            </w:pPr>
            <w:r w:rsidRPr="00D800F0">
              <w:rPr>
                <w:rFonts w:ascii="Arial" w:hAnsi="Arial" w:cs="Arial"/>
              </w:rPr>
              <w:t>Lewis et al., 2022</w:t>
            </w:r>
          </w:p>
        </w:tc>
      </w:tr>
      <w:tr w:rsidR="00DA7E40" w:rsidRPr="00D800F0" w14:paraId="1C9BF2BE" w14:textId="77777777" w:rsidTr="0000614D">
        <w:trPr>
          <w:trHeight w:val="432"/>
        </w:trPr>
        <w:tc>
          <w:tcPr>
            <w:tcW w:w="2775" w:type="dxa"/>
            <w:vAlign w:val="center"/>
          </w:tcPr>
          <w:p w14:paraId="2D5106B3" w14:textId="77777777" w:rsidR="00DA7E40" w:rsidRPr="00D800F0" w:rsidRDefault="00000000" w:rsidP="0000614D">
            <w:pPr>
              <w:jc w:val="both"/>
              <w:rPr>
                <w:rFonts w:ascii="Arial" w:hAnsi="Arial" w:cs="Arial"/>
                <w:b/>
                <w:bCs/>
                <w:color w:val="000000" w:themeColor="text1"/>
              </w:rPr>
            </w:pPr>
            <m:oMathPara>
              <m:oMathParaPr>
                <m:jc m:val="left"/>
              </m:oMathParaPr>
              <m:oMath>
                <m:sSub>
                  <m:sSubPr>
                    <m:ctrlPr>
                      <w:rPr>
                        <w:rFonts w:ascii="Cambria Math" w:hAnsi="Cambria Math" w:cs="Arial"/>
                        <w:b/>
                        <w:bCs/>
                        <w:i/>
                        <w:color w:val="000000" w:themeColor="text1"/>
                      </w:rPr>
                    </m:ctrlPr>
                  </m:sSubPr>
                  <m:e>
                    <m:r>
                      <m:rPr>
                        <m:sty m:val="bi"/>
                      </m:rPr>
                      <w:rPr>
                        <w:rFonts w:ascii="Cambria Math" w:hAnsi="Cambria Math" w:cs="Arial"/>
                        <w:color w:val="000000" w:themeColor="text1"/>
                      </w:rPr>
                      <m:t>L</m:t>
                    </m:r>
                  </m:e>
                  <m:sub>
                    <m:r>
                      <m:rPr>
                        <m:sty m:val="bi"/>
                      </m:rPr>
                      <w:rPr>
                        <w:rFonts w:ascii="Cambria Math" w:hAnsi="Cambria Math" w:cs="Arial"/>
                        <w:color w:val="000000" w:themeColor="text1"/>
                      </w:rPr>
                      <m:t>battery</m:t>
                    </m:r>
                  </m:sub>
                </m:sSub>
              </m:oMath>
            </m:oMathPara>
          </w:p>
        </w:tc>
        <w:tc>
          <w:tcPr>
            <w:tcW w:w="5055" w:type="dxa"/>
            <w:vAlign w:val="center"/>
          </w:tcPr>
          <w:p w14:paraId="187ADB2B" w14:textId="77777777" w:rsidR="00DA7E40" w:rsidRPr="00D800F0" w:rsidRDefault="00DA7E40" w:rsidP="0000614D">
            <w:pPr>
              <w:rPr>
                <w:rFonts w:ascii="Arial" w:hAnsi="Arial" w:cs="Arial"/>
              </w:rPr>
            </w:pPr>
            <w:r w:rsidRPr="00D800F0">
              <w:rPr>
                <w:rFonts w:ascii="Arial" w:hAnsi="Arial" w:cs="Arial"/>
              </w:rPr>
              <w:t>Uniform(13,20) years</w:t>
            </w:r>
          </w:p>
        </w:tc>
        <w:tc>
          <w:tcPr>
            <w:tcW w:w="2259" w:type="dxa"/>
            <w:vAlign w:val="center"/>
          </w:tcPr>
          <w:p w14:paraId="3C36C7CE" w14:textId="77777777" w:rsidR="00DA7E40" w:rsidRPr="00D800F0" w:rsidRDefault="00DA7E40" w:rsidP="0000614D">
            <w:pPr>
              <w:rPr>
                <w:rFonts w:ascii="Arial" w:hAnsi="Arial" w:cs="Arial"/>
              </w:rPr>
            </w:pPr>
            <w:r w:rsidRPr="00D800F0">
              <w:rPr>
                <w:rFonts w:ascii="Arial" w:hAnsi="Arial" w:cs="Arial"/>
              </w:rPr>
              <w:t>Cole &amp; Frazier, 2019</w:t>
            </w:r>
          </w:p>
        </w:tc>
      </w:tr>
      <w:tr w:rsidR="00DA7E40" w:rsidRPr="00D800F0" w14:paraId="6B4FC88A" w14:textId="77777777" w:rsidTr="0000614D">
        <w:trPr>
          <w:trHeight w:val="432"/>
        </w:trPr>
        <w:tc>
          <w:tcPr>
            <w:tcW w:w="2775" w:type="dxa"/>
            <w:vAlign w:val="center"/>
          </w:tcPr>
          <w:p w14:paraId="25BC32C0" w14:textId="77777777" w:rsidR="00DA7E40" w:rsidRPr="00D800F0" w:rsidRDefault="00000000" w:rsidP="0000614D">
            <w:pPr>
              <w:jc w:val="both"/>
              <w:rPr>
                <w:rFonts w:ascii="Arial" w:hAnsi="Arial" w:cs="Arial"/>
                <w:b/>
                <w:bCs/>
                <w:color w:val="000000" w:themeColor="text1"/>
              </w:rPr>
            </w:pPr>
            <m:oMathPara>
              <m:oMathParaPr>
                <m:jc m:val="left"/>
              </m:oMathParaPr>
              <m:oMath>
                <m:sSub>
                  <m:sSubPr>
                    <m:ctrlPr>
                      <w:rPr>
                        <w:rFonts w:ascii="Cambria Math" w:hAnsi="Cambria Math" w:cs="Arial"/>
                        <w:b/>
                        <w:bCs/>
                        <w:i/>
                        <w:color w:val="000000" w:themeColor="text1"/>
                      </w:rPr>
                    </m:ctrlPr>
                  </m:sSubPr>
                  <m:e>
                    <m:r>
                      <m:rPr>
                        <m:sty m:val="bi"/>
                      </m:rPr>
                      <w:rPr>
                        <w:rFonts w:ascii="Cambria Math" w:hAnsi="Cambria Math" w:cs="Arial"/>
                        <w:color w:val="000000" w:themeColor="text1"/>
                      </w:rPr>
                      <m:t>L</m:t>
                    </m:r>
                  </m:e>
                  <m:sub>
                    <m:r>
                      <m:rPr>
                        <m:sty m:val="bi"/>
                      </m:rPr>
                      <w:rPr>
                        <w:rFonts w:ascii="Cambria Math" w:hAnsi="Cambria Math" w:cs="Arial"/>
                        <w:color w:val="000000" w:themeColor="text1"/>
                      </w:rPr>
                      <m:t>wind</m:t>
                    </m:r>
                  </m:sub>
                </m:sSub>
              </m:oMath>
            </m:oMathPara>
          </w:p>
        </w:tc>
        <w:tc>
          <w:tcPr>
            <w:tcW w:w="5055" w:type="dxa"/>
            <w:vAlign w:val="center"/>
          </w:tcPr>
          <w:p w14:paraId="3FF3AD6B" w14:textId="77777777" w:rsidR="00DA7E40" w:rsidRPr="00D800F0" w:rsidRDefault="00DA7E40" w:rsidP="0000614D">
            <w:pPr>
              <w:rPr>
                <w:rFonts w:ascii="Arial" w:hAnsi="Arial" w:cs="Arial"/>
              </w:rPr>
            </w:pPr>
            <w:r w:rsidRPr="00D800F0">
              <w:rPr>
                <w:rFonts w:ascii="Arial" w:hAnsi="Arial" w:cs="Arial"/>
              </w:rPr>
              <w:t>20 years</w:t>
            </w:r>
          </w:p>
        </w:tc>
        <w:tc>
          <w:tcPr>
            <w:tcW w:w="2259" w:type="dxa"/>
            <w:vAlign w:val="center"/>
          </w:tcPr>
          <w:p w14:paraId="0250A828" w14:textId="77777777" w:rsidR="00DA7E40" w:rsidRPr="00D800F0" w:rsidRDefault="00DA7E40" w:rsidP="0000614D">
            <w:pPr>
              <w:rPr>
                <w:rFonts w:ascii="Arial" w:hAnsi="Arial" w:cs="Arial"/>
              </w:rPr>
            </w:pPr>
            <w:r w:rsidRPr="00D800F0">
              <w:rPr>
                <w:rFonts w:ascii="Arial" w:hAnsi="Arial" w:cs="Arial"/>
              </w:rPr>
              <w:t>Stehly et al., 2019</w:t>
            </w:r>
          </w:p>
        </w:tc>
      </w:tr>
      <w:tr w:rsidR="00DA7E40" w:rsidRPr="00D800F0" w14:paraId="741F741C" w14:textId="77777777" w:rsidTr="0000614D">
        <w:trPr>
          <w:trHeight w:val="432"/>
        </w:trPr>
        <w:tc>
          <w:tcPr>
            <w:tcW w:w="2775" w:type="dxa"/>
            <w:vAlign w:val="center"/>
          </w:tcPr>
          <w:p w14:paraId="6ECD574F" w14:textId="77777777" w:rsidR="00DA7E40" w:rsidRPr="00D800F0" w:rsidRDefault="00DA7E40" w:rsidP="0000614D">
            <w:pPr>
              <w:jc w:val="both"/>
              <w:rPr>
                <w:rFonts w:ascii="Arial" w:hAnsi="Arial" w:cs="Arial"/>
                <w:b/>
                <w:bCs/>
                <w:color w:val="000000" w:themeColor="text1"/>
              </w:rPr>
            </w:pPr>
            <m:oMathPara>
              <m:oMathParaPr>
                <m:jc m:val="left"/>
              </m:oMathParaPr>
              <m:oMath>
                <m:r>
                  <m:rPr>
                    <m:sty m:val="bi"/>
                  </m:rPr>
                  <w:rPr>
                    <w:rFonts w:ascii="Cambria Math" w:eastAsiaTheme="minorEastAsia" w:hAnsi="Cambria Math" w:cs="Arial"/>
                    <w:color w:val="000000" w:themeColor="text1"/>
                  </w:rPr>
                  <m:t>C</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I</m:t>
                    </m:r>
                  </m:e>
                  <m:sub>
                    <m:r>
                      <m:rPr>
                        <m:sty m:val="bi"/>
                      </m:rPr>
                      <w:rPr>
                        <w:rFonts w:ascii="Cambria Math" w:eastAsiaTheme="minorEastAsia" w:hAnsi="Cambria Math" w:cs="Arial"/>
                        <w:color w:val="000000" w:themeColor="text1"/>
                      </w:rPr>
                      <m:t>SM</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R</m:t>
                        </m:r>
                      </m:e>
                      <m:sub>
                        <m:r>
                          <m:rPr>
                            <m:sty m:val="bi"/>
                          </m:rPr>
                          <w:rPr>
                            <w:rFonts w:ascii="Cambria Math" w:eastAsiaTheme="minorEastAsia" w:hAnsi="Cambria Math" w:cs="Arial"/>
                            <w:color w:val="000000" w:themeColor="text1"/>
                          </w:rPr>
                          <m:t>EU</m:t>
                        </m:r>
                      </m:sub>
                    </m:sSub>
                  </m:sub>
                </m:sSub>
                <m:d>
                  <m:dPr>
                    <m:ctrlPr>
                      <w:rPr>
                        <w:rFonts w:ascii="Cambria Math" w:eastAsiaTheme="minorEastAsia" w:hAnsi="Cambria Math" w:cs="Arial"/>
                        <w:b/>
                        <w:bCs/>
                        <w:i/>
                        <w:color w:val="000000" w:themeColor="text1"/>
                      </w:rPr>
                    </m:ctrlPr>
                  </m:dPr>
                  <m:e>
                    <m:r>
                      <m:rPr>
                        <m:sty m:val="bi"/>
                      </m:rPr>
                      <w:rPr>
                        <w:rFonts w:ascii="Cambria Math" w:eastAsiaTheme="minorEastAsia" w:hAnsi="Cambria Math" w:cs="Arial"/>
                        <w:color w:val="000000" w:themeColor="text1"/>
                      </w:rPr>
                      <m:t>T=0</m:t>
                    </m:r>
                  </m:e>
                </m:d>
              </m:oMath>
            </m:oMathPara>
          </w:p>
        </w:tc>
        <w:tc>
          <w:tcPr>
            <w:tcW w:w="5055" w:type="dxa"/>
            <w:vAlign w:val="center"/>
          </w:tcPr>
          <w:p w14:paraId="569B684F" w14:textId="77777777" w:rsidR="00DA7E40" w:rsidRPr="00D800F0" w:rsidRDefault="00DA7E40" w:rsidP="0000614D">
            <w:pPr>
              <w:rPr>
                <w:rFonts w:ascii="Arial" w:hAnsi="Arial" w:cs="Arial"/>
              </w:rPr>
            </w:pPr>
            <w:r w:rsidRPr="00D800F0">
              <w:rPr>
                <w:rFonts w:ascii="Arial" w:hAnsi="Arial" w:cs="Arial"/>
              </w:rPr>
              <w:t xml:space="preserve">8.82  </w:t>
            </w:r>
            <m:oMath>
              <m:f>
                <m:fPr>
                  <m:ctrlPr>
                    <w:rPr>
                      <w:rFonts w:ascii="Cambria Math" w:hAnsi="Cambria Math" w:cs="Arial"/>
                      <w:i/>
                    </w:rPr>
                  </m:ctrlPr>
                </m:fPr>
                <m:num>
                  <m:r>
                    <w:rPr>
                      <w:rFonts w:ascii="Cambria Math" w:hAnsi="Cambria Math" w:cs="Arial"/>
                    </w:rPr>
                    <m:t>KgC</m:t>
                  </m:r>
                  <m:sSub>
                    <m:sSubPr>
                      <m:ctrlPr>
                        <w:rPr>
                          <w:rFonts w:ascii="Cambria Math" w:hAnsi="Cambria Math" w:cs="Arial"/>
                          <w:i/>
                        </w:rPr>
                      </m:ctrlPr>
                    </m:sSubPr>
                    <m:e>
                      <m:r>
                        <w:rPr>
                          <w:rFonts w:ascii="Cambria Math" w:hAnsi="Cambria Math" w:cs="Arial"/>
                        </w:rPr>
                        <m:t>O</m:t>
                      </m:r>
                    </m:e>
                    <m:sub>
                      <m:sSub>
                        <m:sSubPr>
                          <m:ctrlPr>
                            <w:rPr>
                              <w:rFonts w:ascii="Cambria Math" w:hAnsi="Cambria Math" w:cs="Arial"/>
                              <w:i/>
                            </w:rPr>
                          </m:ctrlPr>
                        </m:sSubPr>
                        <m:e>
                          <m:r>
                            <w:rPr>
                              <w:rFonts w:ascii="Cambria Math" w:hAnsi="Cambria Math" w:cs="Arial"/>
                            </w:rPr>
                            <m:t>2</m:t>
                          </m:r>
                        </m:e>
                        <m:sub>
                          <m:r>
                            <w:rPr>
                              <w:rFonts w:ascii="Cambria Math" w:hAnsi="Cambria Math" w:cs="Arial"/>
                            </w:rPr>
                            <m:t>e</m:t>
                          </m:r>
                        </m:sub>
                      </m:sSub>
                    </m:sub>
                  </m:sSub>
                </m:num>
                <m:den>
                  <m:r>
                    <w:rPr>
                      <w:rFonts w:ascii="Cambria Math" w:hAnsi="Cambria Math" w:cs="Arial"/>
                    </w:rPr>
                    <m:t>Kg</m:t>
                  </m:r>
                  <m:sSub>
                    <m:sSubPr>
                      <m:ctrlPr>
                        <w:rPr>
                          <w:rFonts w:ascii="Cambria Math" w:hAnsi="Cambria Math" w:cs="Arial"/>
                          <w:i/>
                        </w:rPr>
                      </m:ctrlPr>
                    </m:sSubPr>
                    <m:e>
                      <m:r>
                        <w:rPr>
                          <w:rFonts w:ascii="Cambria Math" w:hAnsi="Cambria Math" w:cs="Arial"/>
                        </w:rPr>
                        <m:t>H</m:t>
                      </m:r>
                    </m:e>
                    <m:sub>
                      <m:r>
                        <w:rPr>
                          <w:rFonts w:ascii="Cambria Math" w:hAnsi="Cambria Math" w:cs="Arial"/>
                        </w:rPr>
                        <m:t>2</m:t>
                      </m:r>
                    </m:sub>
                  </m:sSub>
                </m:den>
              </m:f>
            </m:oMath>
          </w:p>
        </w:tc>
        <w:tc>
          <w:tcPr>
            <w:tcW w:w="2259" w:type="dxa"/>
            <w:vAlign w:val="center"/>
          </w:tcPr>
          <w:p w14:paraId="22FD8D38" w14:textId="77777777" w:rsidR="00DA7E40" w:rsidRPr="00D800F0" w:rsidRDefault="00DA7E40" w:rsidP="0000614D">
            <w:pPr>
              <w:rPr>
                <w:rFonts w:ascii="Arial" w:hAnsi="Arial" w:cs="Arial"/>
              </w:rPr>
            </w:pPr>
            <w:r w:rsidRPr="00D800F0">
              <w:rPr>
                <w:rFonts w:ascii="Arial" w:hAnsi="Arial" w:cs="Arial"/>
              </w:rPr>
              <w:t>McDonald, 2023</w:t>
            </w:r>
          </w:p>
        </w:tc>
      </w:tr>
      <w:tr w:rsidR="00DA7E40" w:rsidRPr="00D800F0" w14:paraId="5ADF50C6" w14:textId="77777777" w:rsidTr="0000614D">
        <w:trPr>
          <w:trHeight w:val="432"/>
        </w:trPr>
        <w:tc>
          <w:tcPr>
            <w:tcW w:w="2775" w:type="dxa"/>
            <w:vAlign w:val="center"/>
          </w:tcPr>
          <w:p w14:paraId="75B63D0C" w14:textId="77777777" w:rsidR="00DA7E40" w:rsidRPr="00D800F0" w:rsidRDefault="00000000" w:rsidP="0000614D">
            <w:pPr>
              <w:jc w:val="both"/>
              <w:rPr>
                <w:rFonts w:ascii="Arial" w:hAnsi="Arial" w:cs="Arial"/>
                <w:b/>
                <w:bCs/>
                <w:color w:val="000000" w:themeColor="text1"/>
              </w:rPr>
            </w:pPr>
            <m:oMathPara>
              <m:oMathParaPr>
                <m:jc m:val="left"/>
              </m:oMathParaPr>
              <m:oMath>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R</m:t>
                    </m:r>
                  </m:e>
                  <m:sub>
                    <m:r>
                      <m:rPr>
                        <m:sty m:val="bi"/>
                      </m:rPr>
                      <w:rPr>
                        <w:rFonts w:ascii="Cambria Math" w:eastAsiaTheme="minorEastAsia" w:hAnsi="Cambria Math" w:cs="Arial"/>
                        <w:color w:val="000000" w:themeColor="text1"/>
                      </w:rPr>
                      <m:t>E</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U</m:t>
                        </m:r>
                      </m:e>
                      <m:sub>
                        <m:r>
                          <m:rPr>
                            <m:sty m:val="bi"/>
                          </m:rPr>
                          <w:rPr>
                            <w:rFonts w:ascii="Cambria Math" w:eastAsiaTheme="minorEastAsia" w:hAnsi="Cambria Math" w:cs="Arial"/>
                            <w:color w:val="000000" w:themeColor="text1"/>
                          </w:rPr>
                          <m:t>emissions</m:t>
                        </m:r>
                      </m:sub>
                    </m:sSub>
                  </m:sub>
                </m:sSub>
              </m:oMath>
            </m:oMathPara>
          </w:p>
        </w:tc>
        <w:tc>
          <w:tcPr>
            <w:tcW w:w="5055" w:type="dxa"/>
            <w:vAlign w:val="center"/>
          </w:tcPr>
          <w:p w14:paraId="6B50DE55" w14:textId="77777777" w:rsidR="00DA7E40" w:rsidRPr="00D800F0" w:rsidRDefault="00DA7E40" w:rsidP="0000614D">
            <w:pPr>
              <w:rPr>
                <w:rFonts w:ascii="Arial" w:hAnsi="Arial" w:cs="Arial"/>
              </w:rPr>
            </w:pPr>
            <w:r w:rsidRPr="00D800F0">
              <w:rPr>
                <w:rFonts w:ascii="Arial" w:hAnsi="Arial" w:cs="Arial"/>
              </w:rPr>
              <w:t xml:space="preserve">1.4 </w:t>
            </w:r>
            <m:oMath>
              <m:r>
                <w:rPr>
                  <w:rFonts w:ascii="Cambria Math" w:hAnsi="Cambria Math" w:cs="Arial"/>
                </w:rPr>
                <m:t>%</m:t>
              </m:r>
            </m:oMath>
          </w:p>
        </w:tc>
        <w:tc>
          <w:tcPr>
            <w:tcW w:w="2259" w:type="dxa"/>
            <w:vAlign w:val="center"/>
          </w:tcPr>
          <w:p w14:paraId="186E4F27" w14:textId="77777777" w:rsidR="00DA7E40" w:rsidRPr="00D800F0" w:rsidRDefault="00DA7E40" w:rsidP="0000614D">
            <w:pPr>
              <w:rPr>
                <w:rFonts w:ascii="Arial" w:hAnsi="Arial" w:cs="Arial"/>
              </w:rPr>
            </w:pPr>
            <w:r w:rsidRPr="00D800F0">
              <w:rPr>
                <w:rFonts w:ascii="Arial" w:hAnsi="Arial" w:cs="Arial"/>
              </w:rPr>
              <w:t>McDonald, 2023; Kakoulaki et al., 2021; European Commission, 2020</w:t>
            </w:r>
          </w:p>
        </w:tc>
      </w:tr>
      <w:tr w:rsidR="00DA7E40" w:rsidRPr="00D800F0" w14:paraId="05F66DB5" w14:textId="77777777" w:rsidTr="0000614D">
        <w:trPr>
          <w:trHeight w:val="432"/>
        </w:trPr>
        <w:tc>
          <w:tcPr>
            <w:tcW w:w="2775" w:type="dxa"/>
            <w:tcBorders>
              <w:bottom w:val="single" w:sz="4" w:space="0" w:color="auto"/>
            </w:tcBorders>
            <w:vAlign w:val="center"/>
          </w:tcPr>
          <w:p w14:paraId="442AB251" w14:textId="77777777" w:rsidR="00DA7E40" w:rsidRPr="00D800F0" w:rsidRDefault="00DA7E40" w:rsidP="0000614D">
            <w:pPr>
              <w:jc w:val="both"/>
              <w:rPr>
                <w:rFonts w:ascii="Arial" w:hAnsi="Arial" w:cs="Arial"/>
                <w:b/>
                <w:bCs/>
                <w:color w:val="000000" w:themeColor="text1"/>
              </w:rPr>
            </w:pPr>
            <m:oMathPara>
              <m:oMathParaPr>
                <m:jc m:val="left"/>
              </m:oMathParaPr>
              <m:oMath>
                <m:r>
                  <m:rPr>
                    <m:sty m:val="bi"/>
                  </m:rPr>
                  <w:rPr>
                    <w:rFonts w:ascii="Cambria Math" w:eastAsiaTheme="minorEastAsia" w:hAnsi="Cambria Math" w:cs="Arial"/>
                    <w:color w:val="000000" w:themeColor="text1"/>
                  </w:rPr>
                  <w:lastRenderedPageBreak/>
                  <m:t>C</m:t>
                </m:r>
                <m:sSub>
                  <m:sSubPr>
                    <m:ctrlPr>
                      <w:rPr>
                        <w:rFonts w:ascii="Cambria Math" w:eastAsiaTheme="minorEastAsia" w:hAnsi="Cambria Math" w:cs="Arial"/>
                        <w:b/>
                        <w:bCs/>
                        <w:i/>
                        <w:iCs/>
                        <w:color w:val="000000" w:themeColor="text1"/>
                      </w:rPr>
                    </m:ctrlPr>
                  </m:sSubPr>
                  <m:e>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O</m:t>
                        </m:r>
                      </m:e>
                      <m:sub>
                        <m:r>
                          <m:rPr>
                            <m:sty m:val="bi"/>
                          </m:rPr>
                          <w:rPr>
                            <w:rFonts w:ascii="Cambria Math" w:eastAsiaTheme="minorEastAsia" w:hAnsi="Cambria Math" w:cs="Arial"/>
                            <w:color w:val="000000" w:themeColor="text1"/>
                          </w:rPr>
                          <m:t>2</m:t>
                        </m:r>
                      </m:sub>
                    </m:sSub>
                  </m:e>
                  <m:sub>
                    <m:r>
                      <m:rPr>
                        <m:sty m:val="bi"/>
                      </m:rPr>
                      <w:rPr>
                        <w:rFonts w:ascii="Cambria Math" w:eastAsiaTheme="minorEastAsia" w:hAnsi="Cambria Math" w:cs="Arial"/>
                        <w:color w:val="000000" w:themeColor="text1"/>
                      </w:rPr>
                      <m:t>EUPrice</m:t>
                    </m:r>
                  </m:sub>
                </m:sSub>
              </m:oMath>
            </m:oMathPara>
          </w:p>
        </w:tc>
        <w:tc>
          <w:tcPr>
            <w:tcW w:w="5055" w:type="dxa"/>
            <w:tcBorders>
              <w:bottom w:val="single" w:sz="4" w:space="0" w:color="auto"/>
            </w:tcBorders>
            <w:vAlign w:val="center"/>
          </w:tcPr>
          <w:p w14:paraId="3507A6F7" w14:textId="77777777" w:rsidR="00DA7E40" w:rsidRPr="00D800F0" w:rsidRDefault="00DA7E40" w:rsidP="0000614D">
            <w:pPr>
              <w:rPr>
                <w:rFonts w:ascii="Arial" w:hAnsi="Arial" w:cs="Arial"/>
              </w:rPr>
            </w:pPr>
            <w:r w:rsidRPr="00D800F0">
              <w:rPr>
                <w:rFonts w:ascii="Arial" w:hAnsi="Arial" w:cs="Arial"/>
              </w:rPr>
              <w:t xml:space="preserve">Uniform(35-100) </w:t>
            </w:r>
            <m:oMath>
              <m:f>
                <m:fPr>
                  <m:ctrlPr>
                    <w:rPr>
                      <w:rFonts w:ascii="Cambria Math" w:hAnsi="Cambria Math" w:cs="Arial"/>
                      <w:i/>
                    </w:rPr>
                  </m:ctrlPr>
                </m:fPr>
                <m:num>
                  <m:r>
                    <w:rPr>
                      <w:rFonts w:ascii="Cambria Math" w:hAnsi="Cambria Math" w:cs="Arial"/>
                    </w:rPr>
                    <m:t>$</m:t>
                  </m:r>
                </m:num>
                <m:den>
                  <m:r>
                    <w:rPr>
                      <w:rFonts w:ascii="Cambria Math" w:hAnsi="Cambria Math" w:cs="Arial"/>
                    </w:rPr>
                    <m:t>tC</m:t>
                  </m:r>
                  <m:sSub>
                    <m:sSubPr>
                      <m:ctrlPr>
                        <w:rPr>
                          <w:rFonts w:ascii="Cambria Math" w:hAnsi="Cambria Math" w:cs="Arial"/>
                          <w:i/>
                        </w:rPr>
                      </m:ctrlPr>
                    </m:sSubPr>
                    <m:e>
                      <m:r>
                        <w:rPr>
                          <w:rFonts w:ascii="Cambria Math" w:hAnsi="Cambria Math" w:cs="Arial"/>
                        </w:rPr>
                        <m:t>O</m:t>
                      </m:r>
                    </m:e>
                    <m:sub>
                      <m:sSub>
                        <m:sSubPr>
                          <m:ctrlPr>
                            <w:rPr>
                              <w:rFonts w:ascii="Cambria Math" w:hAnsi="Cambria Math" w:cs="Arial"/>
                              <w:i/>
                            </w:rPr>
                          </m:ctrlPr>
                        </m:sSubPr>
                        <m:e>
                          <m:r>
                            <w:rPr>
                              <w:rFonts w:ascii="Cambria Math" w:hAnsi="Cambria Math" w:cs="Arial"/>
                            </w:rPr>
                            <m:t>2</m:t>
                          </m:r>
                        </m:e>
                        <m:sub>
                          <m:r>
                            <w:rPr>
                              <w:rFonts w:ascii="Cambria Math" w:hAnsi="Cambria Math" w:cs="Arial"/>
                            </w:rPr>
                            <m:t>e</m:t>
                          </m:r>
                        </m:sub>
                      </m:sSub>
                    </m:sub>
                  </m:sSub>
                </m:den>
              </m:f>
            </m:oMath>
          </w:p>
        </w:tc>
        <w:tc>
          <w:tcPr>
            <w:tcW w:w="2259" w:type="dxa"/>
            <w:tcBorders>
              <w:bottom w:val="single" w:sz="4" w:space="0" w:color="auto"/>
            </w:tcBorders>
            <w:vAlign w:val="center"/>
          </w:tcPr>
          <w:p w14:paraId="019D2DE5" w14:textId="77777777" w:rsidR="00DA7E40" w:rsidRPr="00D800F0" w:rsidRDefault="00DA7E40" w:rsidP="0000614D">
            <w:pPr>
              <w:rPr>
                <w:rFonts w:ascii="Arial" w:hAnsi="Arial" w:cs="Arial"/>
              </w:rPr>
            </w:pPr>
            <w:r w:rsidRPr="00D800F0">
              <w:rPr>
                <w:rFonts w:ascii="Arial" w:hAnsi="Arial" w:cs="Arial"/>
              </w:rPr>
              <w:t>McDonald, 2023</w:t>
            </w:r>
          </w:p>
        </w:tc>
      </w:tr>
    </w:tbl>
    <w:p w14:paraId="59DB5F1E" w14:textId="77777777" w:rsidR="00DA7E40" w:rsidRPr="00D800F0" w:rsidRDefault="00DA7E40" w:rsidP="00DA7E40">
      <w:pPr>
        <w:rPr>
          <w:rFonts w:ascii="Arial" w:hAnsi="Arial" w:cs="Arial"/>
          <w:lang w:eastAsia="en-GB"/>
        </w:rPr>
      </w:pPr>
    </w:p>
    <w:p w14:paraId="4FDCE73C" w14:textId="77777777" w:rsidR="00DA7E40" w:rsidRPr="00D800F0" w:rsidRDefault="00DA7E40" w:rsidP="006864F3">
      <w:pPr>
        <w:pStyle w:val="Heading3"/>
        <w:rPr>
          <w:rFonts w:ascii="Arial" w:hAnsi="Arial" w:cs="Arial"/>
        </w:rPr>
      </w:pPr>
      <w:bookmarkStart w:id="73" w:name="_Toc148296635"/>
      <w:r w:rsidRPr="00D800F0">
        <w:rPr>
          <w:rFonts w:ascii="Arial" w:hAnsi="Arial" w:cs="Arial"/>
        </w:rPr>
        <w:t>Scenario B: Build-and-Own</w:t>
      </w:r>
      <w:bookmarkEnd w:id="73"/>
    </w:p>
    <w:p w14:paraId="689FC183" w14:textId="7018B968" w:rsidR="00DA7E40" w:rsidRPr="00D800F0" w:rsidRDefault="00DA7E40" w:rsidP="00DA7E40">
      <w:pPr>
        <w:rPr>
          <w:rFonts w:ascii="Arial" w:hAnsi="Arial" w:cs="Arial"/>
          <w:lang w:eastAsia="en-GB"/>
        </w:rPr>
      </w:pPr>
      <w:r w:rsidRPr="00D800F0">
        <w:rPr>
          <w:rFonts w:ascii="Arial" w:hAnsi="Arial" w:cs="Arial"/>
          <w:lang w:eastAsia="en-GB"/>
        </w:rPr>
        <w:t>To describe the changes we make to the baseline model (scenario A), we include a table with all the changes (</w:t>
      </w:r>
      <w:r w:rsidRPr="00D800F0">
        <w:rPr>
          <w:rFonts w:ascii="Arial" w:hAnsi="Arial" w:cs="Arial"/>
          <w:lang w:eastAsia="en-GB"/>
        </w:rPr>
        <w:fldChar w:fldCharType="begin"/>
      </w:r>
      <w:r w:rsidRPr="00D800F0">
        <w:rPr>
          <w:rFonts w:ascii="Arial" w:hAnsi="Arial" w:cs="Arial"/>
          <w:lang w:eastAsia="en-GB"/>
        </w:rPr>
        <w:instrText xml:space="preserve"> REF _Ref146386371 \h </w:instrText>
      </w:r>
      <w:r w:rsidR="00D800F0">
        <w:rPr>
          <w:rFonts w:ascii="Arial" w:hAnsi="Arial" w:cs="Arial"/>
          <w:lang w:eastAsia="en-GB"/>
        </w:rPr>
        <w:instrText xml:space="preserve"> \* MERGEFORMAT </w:instrText>
      </w:r>
      <w:r w:rsidRPr="00D800F0">
        <w:rPr>
          <w:rFonts w:ascii="Arial" w:hAnsi="Arial" w:cs="Arial"/>
          <w:lang w:eastAsia="en-GB"/>
        </w:rPr>
      </w:r>
      <w:r w:rsidRPr="00D800F0">
        <w:rPr>
          <w:rFonts w:ascii="Arial" w:hAnsi="Arial" w:cs="Arial"/>
          <w:lang w:eastAsia="en-GB"/>
        </w:rPr>
        <w:fldChar w:fldCharType="separate"/>
      </w:r>
      <w:r w:rsidRPr="00D800F0">
        <w:rPr>
          <w:rFonts w:ascii="Arial" w:hAnsi="Arial" w:cs="Arial"/>
        </w:rPr>
        <w:t xml:space="preserve">Table </w:t>
      </w:r>
      <w:r w:rsidRPr="00D800F0">
        <w:rPr>
          <w:rFonts w:ascii="Arial" w:hAnsi="Arial" w:cs="Arial"/>
          <w:noProof/>
        </w:rPr>
        <w:t>E</w:t>
      </w:r>
      <w:r w:rsidRPr="00D800F0">
        <w:rPr>
          <w:rFonts w:ascii="Arial" w:hAnsi="Arial" w:cs="Arial"/>
        </w:rPr>
        <w:noBreakHyphen/>
      </w:r>
      <w:r w:rsidRPr="00D800F0">
        <w:rPr>
          <w:rFonts w:ascii="Arial" w:hAnsi="Arial" w:cs="Arial"/>
          <w:noProof/>
        </w:rPr>
        <w:t>3</w:t>
      </w:r>
      <w:r w:rsidRPr="00D800F0">
        <w:rPr>
          <w:rFonts w:ascii="Arial" w:hAnsi="Arial" w:cs="Arial"/>
          <w:lang w:eastAsia="en-GB"/>
        </w:rPr>
        <w:fldChar w:fldCharType="end"/>
      </w:r>
      <w:r w:rsidRPr="00D800F0">
        <w:rPr>
          <w:rFonts w:ascii="Arial" w:hAnsi="Arial" w:cs="Arial"/>
          <w:lang w:eastAsia="en-GB"/>
        </w:rPr>
        <w:t xml:space="preserve">). We utilize some of the variables from the optimization problem and introduce some new variables in </w:t>
      </w:r>
      <w:r w:rsidRPr="00D800F0">
        <w:rPr>
          <w:rFonts w:ascii="Arial" w:hAnsi="Arial" w:cs="Arial"/>
          <w:lang w:eastAsia="en-GB"/>
        </w:rPr>
        <w:fldChar w:fldCharType="begin"/>
      </w:r>
      <w:r w:rsidRPr="00D800F0">
        <w:rPr>
          <w:rFonts w:ascii="Arial" w:hAnsi="Arial" w:cs="Arial"/>
          <w:lang w:eastAsia="en-GB"/>
        </w:rPr>
        <w:instrText xml:space="preserve"> REF _Ref146366686 \h </w:instrText>
      </w:r>
      <w:r w:rsidR="00D800F0">
        <w:rPr>
          <w:rFonts w:ascii="Arial" w:hAnsi="Arial" w:cs="Arial"/>
          <w:lang w:eastAsia="en-GB"/>
        </w:rPr>
        <w:instrText xml:space="preserve"> \* MERGEFORMAT </w:instrText>
      </w:r>
      <w:r w:rsidRPr="00D800F0">
        <w:rPr>
          <w:rFonts w:ascii="Arial" w:hAnsi="Arial" w:cs="Arial"/>
          <w:lang w:eastAsia="en-GB"/>
        </w:rPr>
      </w:r>
      <w:r w:rsidRPr="00D800F0">
        <w:rPr>
          <w:rFonts w:ascii="Arial" w:hAnsi="Arial" w:cs="Arial"/>
          <w:lang w:eastAsia="en-GB"/>
        </w:rPr>
        <w:fldChar w:fldCharType="separate"/>
      </w:r>
      <w:r w:rsidRPr="00D800F0">
        <w:rPr>
          <w:rFonts w:ascii="Arial" w:hAnsi="Arial" w:cs="Arial"/>
        </w:rPr>
        <w:t xml:space="preserve">Table </w:t>
      </w:r>
      <w:r w:rsidRPr="00D800F0">
        <w:rPr>
          <w:rFonts w:ascii="Arial" w:hAnsi="Arial" w:cs="Arial"/>
          <w:noProof/>
        </w:rPr>
        <w:t>D</w:t>
      </w:r>
      <w:r w:rsidRPr="00D800F0">
        <w:rPr>
          <w:rFonts w:ascii="Arial" w:hAnsi="Arial" w:cs="Arial"/>
        </w:rPr>
        <w:noBreakHyphen/>
      </w:r>
      <w:r w:rsidRPr="00D800F0">
        <w:rPr>
          <w:rFonts w:ascii="Arial" w:hAnsi="Arial" w:cs="Arial"/>
          <w:noProof/>
        </w:rPr>
        <w:t>1</w:t>
      </w:r>
      <w:r w:rsidRPr="00D800F0">
        <w:rPr>
          <w:rFonts w:ascii="Arial" w:hAnsi="Arial" w:cs="Arial"/>
          <w:lang w:eastAsia="en-GB"/>
        </w:rPr>
        <w:fldChar w:fldCharType="end"/>
      </w:r>
      <w:r w:rsidRPr="00D800F0">
        <w:rPr>
          <w:rFonts w:ascii="Arial" w:hAnsi="Arial" w:cs="Arial"/>
          <w:lang w:eastAsia="en-GB"/>
        </w:rPr>
        <w:t>. We define the AP plant</w:t>
      </w:r>
      <w:r w:rsidRPr="00D800F0">
        <w:rPr>
          <w:rFonts w:ascii="Arial" w:eastAsiaTheme="minorEastAsia" w:hAnsi="Arial" w:cs="Arial"/>
          <w:lang w:eastAsia="en-GB"/>
        </w:rPr>
        <w:t xml:space="preserve"> time step to be </w:t>
      </w:r>
      <m:oMath>
        <m:r>
          <m:rPr>
            <m:sty m:val="bi"/>
          </m:rPr>
          <w:rPr>
            <w:rFonts w:ascii="Cambria Math" w:hAnsi="Cambria Math" w:cs="Arial"/>
            <w:lang w:eastAsia="en-GB"/>
          </w:rPr>
          <m:t>T∈S+C+L</m:t>
        </m:r>
      </m:oMath>
      <w:r w:rsidRPr="00D800F0">
        <w:rPr>
          <w:rFonts w:ascii="Arial" w:eastAsiaTheme="minorEastAsia" w:hAnsi="Arial" w:cs="Arial"/>
          <w:b/>
          <w:bCs/>
          <w:lang w:eastAsia="en-GB"/>
        </w:rPr>
        <w:t xml:space="preserve"> </w:t>
      </w:r>
      <w:r w:rsidRPr="00D800F0">
        <w:rPr>
          <w:rFonts w:ascii="Arial" w:eastAsiaTheme="minorEastAsia" w:hAnsi="Arial" w:cs="Arial"/>
          <w:lang w:eastAsia="en-GB"/>
        </w:rPr>
        <w:t>months</w:t>
      </w:r>
      <w:r w:rsidRPr="00D800F0">
        <w:rPr>
          <w:rFonts w:ascii="Arial" w:eastAsiaTheme="minorEastAsia" w:hAnsi="Arial" w:cs="Arial"/>
          <w:b/>
          <w:bCs/>
          <w:lang w:eastAsia="en-GB"/>
        </w:rPr>
        <w:t xml:space="preserve">. </w:t>
      </w:r>
      <w:r w:rsidRPr="00D800F0">
        <w:rPr>
          <w:rFonts w:ascii="Arial" w:eastAsiaTheme="minorEastAsia" w:hAnsi="Arial" w:cs="Arial"/>
          <w:lang w:eastAsia="en-GB"/>
        </w:rPr>
        <w:t xml:space="preserve">Let </w:t>
      </w:r>
      <m:oMath>
        <m:r>
          <m:rPr>
            <m:sty m:val="b"/>
          </m:rPr>
          <w:rPr>
            <w:rFonts w:ascii="Cambria Math" w:hAnsi="Cambria Math" w:cs="Arial"/>
          </w:rPr>
          <m:t>Γ</m:t>
        </m:r>
        <m:r>
          <m:rPr>
            <m:sty m:val="bi"/>
          </m:rPr>
          <w:rPr>
            <w:rFonts w:ascii="Cambria Math" w:hAnsi="Cambria Math" w:cs="Arial"/>
          </w:rPr>
          <m:t xml:space="preserve">=T </m:t>
        </m:r>
        <m:r>
          <m:rPr>
            <m:sty m:val="p"/>
          </m:rPr>
          <w:rPr>
            <w:rFonts w:ascii="Cambria Math" w:hAnsi="Cambria Math" w:cs="Arial"/>
          </w:rPr>
          <m:t xml:space="preserve">mod </m:t>
        </m:r>
        <m:r>
          <m:rPr>
            <m:sty m:val="b"/>
          </m:rPr>
          <w:rPr>
            <w:rFonts w:ascii="Cambria Math" w:hAnsi="Cambria Math" w:cs="Arial"/>
          </w:rPr>
          <m:t>12</m:t>
        </m:r>
      </m:oMath>
      <w:r w:rsidRPr="00D800F0">
        <w:rPr>
          <w:rFonts w:ascii="Arial" w:eastAsiaTheme="minorEastAsia" w:hAnsi="Arial" w:cs="Arial"/>
          <w:iCs/>
        </w:rPr>
        <w:t xml:space="preserve">  (so </w:t>
      </w:r>
      <m:oMath>
        <m:r>
          <m:rPr>
            <m:sty m:val="bi"/>
          </m:rPr>
          <w:rPr>
            <w:rFonts w:ascii="Cambria Math" w:eastAsiaTheme="minorEastAsia" w:hAnsi="Cambria Math" w:cs="Arial"/>
          </w:rPr>
          <m:t>0</m:t>
        </m:r>
        <m:r>
          <w:rPr>
            <w:rFonts w:ascii="Cambria Math" w:eastAsiaTheme="minorEastAsia" w:hAnsi="Cambria Math" w:cs="Arial"/>
          </w:rPr>
          <m:t>≤</m:t>
        </m:r>
        <m:r>
          <m:rPr>
            <m:sty m:val="b"/>
          </m:rPr>
          <w:rPr>
            <w:rFonts w:ascii="Cambria Math" w:hAnsi="Cambria Math" w:cs="Arial"/>
          </w:rPr>
          <m:t>Γ≤11</m:t>
        </m:r>
      </m:oMath>
      <w:r w:rsidRPr="00D800F0">
        <w:rPr>
          <w:rFonts w:ascii="Arial" w:eastAsiaTheme="minorEastAsia" w:hAnsi="Arial" w:cs="Arial"/>
          <w:b/>
        </w:rPr>
        <w:t>)</w:t>
      </w:r>
      <w:r w:rsidRPr="00D800F0">
        <w:rPr>
          <w:rFonts w:ascii="Arial" w:eastAsiaTheme="minorEastAsia" w:hAnsi="Arial" w:cs="Arial"/>
        </w:rPr>
        <w:t xml:space="preserve">. </w:t>
      </w:r>
      <m:oMath>
        <m:r>
          <m:rPr>
            <m:sty m:val="b"/>
          </m:rPr>
          <w:rPr>
            <w:rFonts w:ascii="Cambria Math" w:hAnsi="Cambria Math" w:cs="Arial"/>
          </w:rPr>
          <m:t>Γ</m:t>
        </m:r>
      </m:oMath>
      <w:r w:rsidRPr="00D800F0">
        <w:rPr>
          <w:rFonts w:ascii="Arial" w:eastAsiaTheme="minorEastAsia" w:hAnsi="Arial" w:cs="Arial"/>
          <w:b/>
          <w:bCs/>
        </w:rPr>
        <w:t xml:space="preserve"> </w:t>
      </w:r>
      <w:r w:rsidRPr="00D800F0">
        <w:rPr>
          <w:rFonts w:ascii="Arial" w:eastAsiaTheme="minorEastAsia" w:hAnsi="Arial" w:cs="Arial"/>
        </w:rPr>
        <w:t xml:space="preserve">is a useful transformation of </w:t>
      </w:r>
      <m:oMath>
        <m:r>
          <m:rPr>
            <m:sty m:val="bi"/>
          </m:rPr>
          <w:rPr>
            <w:rFonts w:ascii="Cambria Math" w:eastAsiaTheme="minorEastAsia" w:hAnsi="Cambria Math" w:cs="Arial"/>
          </w:rPr>
          <m:t>T</m:t>
        </m:r>
      </m:oMath>
      <w:r w:rsidRPr="00D800F0">
        <w:rPr>
          <w:rFonts w:ascii="Arial" w:eastAsiaTheme="minorEastAsia" w:hAnsi="Arial" w:cs="Arial"/>
        </w:rPr>
        <w:t xml:space="preserve"> that allows us to extend the values of the optimization model from one year to 40 years of AP plant operation.</w:t>
      </w:r>
    </w:p>
    <w:p w14:paraId="53CF9AD3" w14:textId="77777777" w:rsidR="00DA7E40" w:rsidRPr="00D800F0" w:rsidRDefault="00DA7E40" w:rsidP="00DA7E40">
      <w:pPr>
        <w:pStyle w:val="Caption"/>
        <w:rPr>
          <w:rFonts w:ascii="Arial" w:hAnsi="Arial" w:cs="Arial"/>
        </w:rPr>
      </w:pPr>
      <w:bookmarkStart w:id="74" w:name="_Ref146386371"/>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E</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3</w:t>
      </w:r>
      <w:r w:rsidRPr="00D800F0">
        <w:rPr>
          <w:rFonts w:ascii="Arial" w:hAnsi="Arial" w:cs="Arial"/>
          <w:noProof/>
        </w:rPr>
        <w:fldChar w:fldCharType="end"/>
      </w:r>
      <w:bookmarkEnd w:id="74"/>
      <w:r w:rsidRPr="00D800F0">
        <w:rPr>
          <w:rFonts w:ascii="Arial" w:hAnsi="Arial" w:cs="Arial"/>
        </w:rPr>
        <w:t xml:space="preserve">: Changes to the baseline model to enable scenario B. All changes apply to the low-carbon technologies. AP SMR stays the same as the baseline. </w:t>
      </w:r>
    </w:p>
    <w:tbl>
      <w:tblPr>
        <w:tblStyle w:val="TableGrid"/>
        <w:tblW w:w="5150" w:type="pct"/>
        <w:tblInd w:w="-275" w:type="dxa"/>
        <w:tblLook w:val="04A0" w:firstRow="1" w:lastRow="0" w:firstColumn="1" w:lastColumn="0" w:noHBand="0" w:noVBand="1"/>
      </w:tblPr>
      <w:tblGrid>
        <w:gridCol w:w="2341"/>
        <w:gridCol w:w="1710"/>
        <w:gridCol w:w="5580"/>
      </w:tblGrid>
      <w:tr w:rsidR="00DA7E40" w:rsidRPr="00D800F0" w14:paraId="7BFEEE4F" w14:textId="77777777" w:rsidTr="0000614D">
        <w:tc>
          <w:tcPr>
            <w:tcW w:w="1215" w:type="pct"/>
          </w:tcPr>
          <w:p w14:paraId="5E73817E" w14:textId="77777777" w:rsidR="00DA7E40" w:rsidRPr="00D800F0" w:rsidRDefault="00DA7E40" w:rsidP="0000614D">
            <w:pPr>
              <w:rPr>
                <w:rFonts w:ascii="Arial" w:hAnsi="Arial" w:cs="Arial"/>
                <w:i/>
                <w:iCs/>
              </w:rPr>
            </w:pPr>
            <w:r w:rsidRPr="00D800F0">
              <w:rPr>
                <w:rFonts w:ascii="Arial" w:hAnsi="Arial" w:cs="Arial"/>
                <w:i/>
                <w:iCs/>
              </w:rPr>
              <w:t>Change</w:t>
            </w:r>
          </w:p>
        </w:tc>
        <w:tc>
          <w:tcPr>
            <w:tcW w:w="888" w:type="pct"/>
          </w:tcPr>
          <w:p w14:paraId="103BADBF" w14:textId="77777777" w:rsidR="00DA7E40" w:rsidRPr="00D800F0" w:rsidRDefault="00DA7E40" w:rsidP="0000614D">
            <w:pPr>
              <w:rPr>
                <w:rFonts w:ascii="Arial" w:hAnsi="Arial" w:cs="Arial"/>
                <w:i/>
                <w:iCs/>
              </w:rPr>
            </w:pPr>
            <w:r w:rsidRPr="00D800F0">
              <w:rPr>
                <w:rFonts w:ascii="Arial" w:hAnsi="Arial" w:cs="Arial"/>
                <w:i/>
                <w:iCs/>
              </w:rPr>
              <w:t>Module Affected</w:t>
            </w:r>
          </w:p>
        </w:tc>
        <w:tc>
          <w:tcPr>
            <w:tcW w:w="2897" w:type="pct"/>
          </w:tcPr>
          <w:p w14:paraId="5C852C3C" w14:textId="77777777" w:rsidR="00DA7E40" w:rsidRPr="00D800F0" w:rsidRDefault="00DA7E40" w:rsidP="0000614D">
            <w:pPr>
              <w:rPr>
                <w:rFonts w:ascii="Arial" w:hAnsi="Arial" w:cs="Arial"/>
                <w:i/>
                <w:iCs/>
              </w:rPr>
            </w:pPr>
            <w:r w:rsidRPr="00D800F0">
              <w:rPr>
                <w:rFonts w:ascii="Arial" w:hAnsi="Arial" w:cs="Arial"/>
                <w:i/>
                <w:iCs/>
              </w:rPr>
              <w:t>Description</w:t>
            </w:r>
          </w:p>
        </w:tc>
      </w:tr>
      <w:tr w:rsidR="00DA7E40" w:rsidRPr="00D800F0" w14:paraId="04A0DECA" w14:textId="77777777" w:rsidTr="0000614D">
        <w:trPr>
          <w:trHeight w:val="935"/>
        </w:trPr>
        <w:tc>
          <w:tcPr>
            <w:tcW w:w="1215" w:type="pct"/>
          </w:tcPr>
          <w:p w14:paraId="7E0937D8" w14:textId="77777777" w:rsidR="00DA7E40" w:rsidRPr="00D800F0" w:rsidRDefault="00DA7E40" w:rsidP="0000614D">
            <w:pPr>
              <w:rPr>
                <w:rFonts w:ascii="Arial" w:hAnsi="Arial" w:cs="Arial"/>
                <w:sz w:val="20"/>
                <w:szCs w:val="20"/>
              </w:rPr>
            </w:pPr>
            <w:r w:rsidRPr="00D800F0">
              <w:rPr>
                <w:rFonts w:ascii="Arial" w:hAnsi="Arial" w:cs="Arial"/>
                <w:sz w:val="20"/>
                <w:szCs w:val="20"/>
              </w:rPr>
              <w:t>Wind farm and battery storage CAPEX</w:t>
            </w:r>
          </w:p>
        </w:tc>
        <w:tc>
          <w:tcPr>
            <w:tcW w:w="888" w:type="pct"/>
          </w:tcPr>
          <w:p w14:paraId="42B05015" w14:textId="77777777" w:rsidR="00DA7E40" w:rsidRPr="00D800F0" w:rsidRDefault="00DA7E40" w:rsidP="0000614D">
            <w:pPr>
              <w:rPr>
                <w:rFonts w:ascii="Arial" w:hAnsi="Arial" w:cs="Arial"/>
                <w:sz w:val="20"/>
                <w:szCs w:val="20"/>
              </w:rPr>
            </w:pPr>
            <w:r w:rsidRPr="00D800F0">
              <w:rPr>
                <w:rFonts w:ascii="Arial" w:hAnsi="Arial" w:cs="Arial"/>
                <w:sz w:val="20"/>
                <w:szCs w:val="20"/>
              </w:rPr>
              <w:t>CAPEX</w:t>
            </w:r>
          </w:p>
        </w:tc>
        <w:tc>
          <w:tcPr>
            <w:tcW w:w="2897" w:type="pct"/>
          </w:tcPr>
          <w:p w14:paraId="00FCFDCA" w14:textId="77777777" w:rsidR="00DA7E40" w:rsidRPr="00D800F0" w:rsidRDefault="00DA7E40" w:rsidP="0000614D">
            <w:pPr>
              <w:rPr>
                <w:rFonts w:ascii="Arial" w:hAnsi="Arial" w:cs="Arial"/>
                <w:bCs/>
                <w:sz w:val="20"/>
                <w:szCs w:val="20"/>
              </w:rPr>
            </w:pPr>
            <w:r w:rsidRPr="00D800F0">
              <w:rPr>
                <w:rFonts w:ascii="Arial" w:hAnsi="Arial" w:cs="Arial"/>
                <w:sz w:val="20"/>
                <w:szCs w:val="20"/>
              </w:rPr>
              <w:t xml:space="preserve">The CAPEX of each technology is increased by </w:t>
            </w:r>
            <m:oMath>
              <m:sSub>
                <m:sSubPr>
                  <m:ctrlPr>
                    <w:rPr>
                      <w:rFonts w:ascii="Cambria Math" w:hAnsi="Cambria Math" w:cs="Arial"/>
                      <w:bCs/>
                      <w:sz w:val="20"/>
                      <w:szCs w:val="20"/>
                    </w:rPr>
                  </m:ctrlPr>
                </m:sSubPr>
                <m:e>
                  <m:r>
                    <m:rPr>
                      <m:sty m:val="bi"/>
                    </m:rPr>
                    <w:rPr>
                      <w:rFonts w:ascii="Cambria Math" w:hAnsi="Cambria Math" w:cs="Arial"/>
                      <w:sz w:val="20"/>
                      <w:szCs w:val="20"/>
                    </w:rPr>
                    <m:t>COST</m:t>
                  </m:r>
                </m:e>
                <m:sub>
                  <m:r>
                    <m:rPr>
                      <m:sty m:val="bi"/>
                    </m:rPr>
                    <w:rPr>
                      <w:rFonts w:ascii="Cambria Math" w:hAnsi="Cambria Math" w:cs="Arial"/>
                      <w:sz w:val="20"/>
                      <w:szCs w:val="20"/>
                    </w:rPr>
                    <m:t>wind</m:t>
                  </m:r>
                </m:sub>
              </m:sSub>
              <m:r>
                <m:rPr>
                  <m:sty m:val="p"/>
                </m:rPr>
                <w:rPr>
                  <w:rFonts w:ascii="Cambria Math" w:hAnsi="Cambria Math" w:cs="Arial"/>
                  <w:sz w:val="20"/>
                  <w:szCs w:val="20"/>
                </w:rPr>
                <m:t>×</m:t>
              </m:r>
              <m:r>
                <m:rPr>
                  <m:sty m:val="bi"/>
                </m:rPr>
                <w:rPr>
                  <w:rFonts w:ascii="Cambria Math" w:hAnsi="Cambria Math" w:cs="Arial"/>
                  <w:sz w:val="20"/>
                  <w:szCs w:val="20"/>
                </w:rPr>
                <m:t>w</m:t>
              </m:r>
              <m:r>
                <m:rPr>
                  <m:sty m:val="p"/>
                </m:rPr>
                <w:rPr>
                  <w:rFonts w:ascii="Cambria Math" w:hAnsi="Cambria Math" w:cs="Arial"/>
                  <w:sz w:val="20"/>
                  <w:szCs w:val="20"/>
                </w:rPr>
                <m:t>+</m:t>
              </m:r>
              <m:sSub>
                <m:sSubPr>
                  <m:ctrlPr>
                    <w:rPr>
                      <w:rFonts w:ascii="Cambria Math" w:hAnsi="Cambria Math" w:cs="Arial"/>
                      <w:bCs/>
                      <w:sz w:val="20"/>
                      <w:szCs w:val="20"/>
                    </w:rPr>
                  </m:ctrlPr>
                </m:sSubPr>
                <m:e>
                  <m:r>
                    <m:rPr>
                      <m:sty m:val="bi"/>
                    </m:rPr>
                    <w:rPr>
                      <w:rFonts w:ascii="Cambria Math" w:hAnsi="Cambria Math" w:cs="Arial"/>
                      <w:sz w:val="20"/>
                      <w:szCs w:val="20"/>
                    </w:rPr>
                    <m:t>COST</m:t>
                  </m:r>
                </m:e>
                <m:sub>
                  <m:r>
                    <m:rPr>
                      <m:sty m:val="bi"/>
                    </m:rPr>
                    <w:rPr>
                      <w:rFonts w:ascii="Cambria Math" w:hAnsi="Cambria Math" w:cs="Arial"/>
                      <w:sz w:val="20"/>
                      <w:szCs w:val="20"/>
                    </w:rPr>
                    <m:t>battery</m:t>
                  </m:r>
                </m:sub>
              </m:sSub>
              <m:r>
                <m:rPr>
                  <m:sty m:val="p"/>
                </m:rPr>
                <w:rPr>
                  <w:rFonts w:ascii="Cambria Math" w:hAnsi="Cambria Math" w:cs="Arial"/>
                  <w:sz w:val="20"/>
                  <w:szCs w:val="20"/>
                </w:rPr>
                <m:t>×</m:t>
              </m:r>
              <m:r>
                <m:rPr>
                  <m:sty m:val="bi"/>
                </m:rPr>
                <w:rPr>
                  <w:rFonts w:ascii="Cambria Math" w:hAnsi="Cambria Math" w:cs="Arial"/>
                  <w:sz w:val="20"/>
                  <w:szCs w:val="20"/>
                </w:rPr>
                <m:t>b</m:t>
              </m:r>
            </m:oMath>
            <w:r w:rsidRPr="00D800F0">
              <w:rPr>
                <w:rFonts w:ascii="Arial" w:hAnsi="Arial" w:cs="Arial"/>
                <w:b/>
                <w:sz w:val="20"/>
                <w:szCs w:val="20"/>
              </w:rPr>
              <w:t xml:space="preserve"> </w:t>
            </w:r>
            <w:r w:rsidRPr="00D800F0">
              <w:rPr>
                <w:rFonts w:ascii="Arial" w:hAnsi="Arial" w:cs="Arial"/>
                <w:bCs/>
                <w:sz w:val="20"/>
                <w:szCs w:val="20"/>
              </w:rPr>
              <w:t xml:space="preserve">except for AP SMR. The increased CAPEX is backpropagated to the rest of the CAPEX components. </w:t>
            </w:r>
          </w:p>
        </w:tc>
      </w:tr>
      <w:tr w:rsidR="00DA7E40" w:rsidRPr="00D800F0" w14:paraId="749D46D6" w14:textId="77777777" w:rsidTr="0000614D">
        <w:tc>
          <w:tcPr>
            <w:tcW w:w="1215" w:type="pct"/>
          </w:tcPr>
          <w:p w14:paraId="2A8FABE6" w14:textId="77777777" w:rsidR="00DA7E40" w:rsidRPr="00D800F0" w:rsidRDefault="00DA7E40" w:rsidP="0000614D">
            <w:pPr>
              <w:rPr>
                <w:rFonts w:ascii="Arial" w:hAnsi="Arial" w:cs="Arial"/>
                <w:sz w:val="20"/>
                <w:szCs w:val="20"/>
              </w:rPr>
            </w:pPr>
            <w:r w:rsidRPr="00D800F0">
              <w:rPr>
                <w:rFonts w:ascii="Arial" w:hAnsi="Arial" w:cs="Arial"/>
                <w:sz w:val="20"/>
                <w:szCs w:val="20"/>
              </w:rPr>
              <w:t>Grid electricity costs</w:t>
            </w:r>
          </w:p>
        </w:tc>
        <w:tc>
          <w:tcPr>
            <w:tcW w:w="888" w:type="pct"/>
          </w:tcPr>
          <w:p w14:paraId="64C26496" w14:textId="77777777" w:rsidR="00DA7E40" w:rsidRPr="00D800F0" w:rsidRDefault="00DA7E40" w:rsidP="0000614D">
            <w:pPr>
              <w:rPr>
                <w:rFonts w:ascii="Arial" w:hAnsi="Arial" w:cs="Arial"/>
                <w:sz w:val="20"/>
                <w:szCs w:val="20"/>
              </w:rPr>
            </w:pPr>
            <w:r w:rsidRPr="00D800F0">
              <w:rPr>
                <w:rFonts w:ascii="Arial" w:hAnsi="Arial" w:cs="Arial"/>
                <w:sz w:val="20"/>
                <w:szCs w:val="20"/>
              </w:rPr>
              <w:t>MDOPEX</w:t>
            </w:r>
          </w:p>
        </w:tc>
        <w:tc>
          <w:tcPr>
            <w:tcW w:w="2897" w:type="pct"/>
          </w:tcPr>
          <w:p w14:paraId="1099BABB" w14:textId="77777777" w:rsidR="00DA7E40" w:rsidRPr="00D800F0" w:rsidRDefault="00DA7E40" w:rsidP="0000614D">
            <w:pPr>
              <w:rPr>
                <w:rFonts w:ascii="Arial" w:hAnsi="Arial" w:cs="Arial"/>
                <w:sz w:val="20"/>
                <w:szCs w:val="20"/>
              </w:rPr>
            </w:pPr>
            <w:r w:rsidRPr="00D800F0">
              <w:rPr>
                <w:rFonts w:ascii="Arial" w:hAnsi="Arial" w:cs="Arial"/>
                <w:sz w:val="20"/>
                <w:szCs w:val="20"/>
              </w:rPr>
              <w:t>Electricity costs from the grid are set to 0.</w:t>
            </w:r>
          </w:p>
        </w:tc>
      </w:tr>
      <w:tr w:rsidR="00DA7E40" w:rsidRPr="00D800F0" w14:paraId="03A84020" w14:textId="77777777" w:rsidTr="0000614D">
        <w:trPr>
          <w:trHeight w:val="1979"/>
        </w:trPr>
        <w:tc>
          <w:tcPr>
            <w:tcW w:w="1215" w:type="pct"/>
          </w:tcPr>
          <w:p w14:paraId="50B374B4" w14:textId="77777777" w:rsidR="00DA7E40" w:rsidRPr="00D800F0" w:rsidRDefault="00DA7E40" w:rsidP="0000614D">
            <w:pPr>
              <w:rPr>
                <w:rFonts w:ascii="Arial" w:hAnsi="Arial" w:cs="Arial"/>
                <w:sz w:val="20"/>
                <w:szCs w:val="20"/>
              </w:rPr>
            </w:pPr>
            <w:r w:rsidRPr="00D800F0">
              <w:rPr>
                <w:rFonts w:ascii="Arial" w:hAnsi="Arial" w:cs="Arial"/>
                <w:sz w:val="20"/>
                <w:szCs w:val="20"/>
              </w:rPr>
              <w:t>Wind farm and battery storage OPEX</w:t>
            </w:r>
          </w:p>
        </w:tc>
        <w:tc>
          <w:tcPr>
            <w:tcW w:w="888" w:type="pct"/>
          </w:tcPr>
          <w:p w14:paraId="0F910C10" w14:textId="77777777" w:rsidR="00DA7E40" w:rsidRPr="00D800F0" w:rsidRDefault="00DA7E40" w:rsidP="0000614D">
            <w:pPr>
              <w:rPr>
                <w:rFonts w:ascii="Arial" w:hAnsi="Arial" w:cs="Arial"/>
                <w:sz w:val="20"/>
                <w:szCs w:val="20"/>
              </w:rPr>
            </w:pPr>
            <w:r w:rsidRPr="00D800F0">
              <w:rPr>
                <w:rFonts w:ascii="Arial" w:hAnsi="Arial" w:cs="Arial"/>
                <w:sz w:val="20"/>
                <w:szCs w:val="20"/>
              </w:rPr>
              <w:t>MIOPEX</w:t>
            </w:r>
          </w:p>
        </w:tc>
        <w:tc>
          <w:tcPr>
            <w:tcW w:w="2897" w:type="pct"/>
          </w:tcPr>
          <w:p w14:paraId="4A888027" w14:textId="77777777" w:rsidR="00DA7E40" w:rsidRPr="00D800F0" w:rsidRDefault="00DA7E40" w:rsidP="0000614D">
            <w:pPr>
              <w:rPr>
                <w:rFonts w:ascii="Arial" w:hAnsi="Arial" w:cs="Arial"/>
                <w:sz w:val="20"/>
                <w:szCs w:val="20"/>
              </w:rPr>
            </w:pPr>
            <w:r w:rsidRPr="00D800F0">
              <w:rPr>
                <w:rFonts w:ascii="Arial" w:hAnsi="Arial" w:cs="Arial"/>
                <w:sz w:val="20"/>
                <w:szCs w:val="20"/>
              </w:rPr>
              <w:t xml:space="preserve">The electricity costs are replaced for the variable and fixed O&amp;M costs of the hybrid farm and battery system. </w:t>
            </w:r>
          </w:p>
          <w:p w14:paraId="71A936CD" w14:textId="77777777" w:rsidR="00DA7E40" w:rsidRPr="00D800F0" w:rsidRDefault="00DA7E40" w:rsidP="0000614D">
            <w:pPr>
              <w:rPr>
                <w:rFonts w:ascii="Arial" w:hAnsi="Arial" w:cs="Arial"/>
                <w:sz w:val="20"/>
                <w:szCs w:val="20"/>
              </w:rPr>
            </w:pPr>
            <w:r w:rsidRPr="00D800F0">
              <w:rPr>
                <w:rFonts w:ascii="Arial" w:hAnsi="Arial" w:cs="Arial"/>
                <w:sz w:val="20"/>
                <w:szCs w:val="20"/>
              </w:rPr>
              <w:br/>
            </w:r>
            <m:oMathPara>
              <m:oMath>
                <m:r>
                  <m:rPr>
                    <m:sty m:val="bi"/>
                  </m:rPr>
                  <w:rPr>
                    <w:rFonts w:ascii="Cambria Math" w:hAnsi="Cambria Math" w:cs="Arial"/>
                    <w:sz w:val="20"/>
                    <w:szCs w:val="20"/>
                  </w:rPr>
                  <m:t>MIOPE</m:t>
                </m:r>
                <m:sSub>
                  <m:sSubPr>
                    <m:ctrlPr>
                      <w:rPr>
                        <w:rFonts w:ascii="Cambria Math" w:hAnsi="Cambria Math" w:cs="Arial"/>
                        <w:b/>
                        <w:i/>
                        <w:sz w:val="20"/>
                        <w:szCs w:val="20"/>
                      </w:rPr>
                    </m:ctrlPr>
                  </m:sSubPr>
                  <m:e>
                    <m:r>
                      <m:rPr>
                        <m:sty m:val="bi"/>
                      </m:rPr>
                      <w:rPr>
                        <w:rFonts w:ascii="Cambria Math" w:hAnsi="Cambria Math" w:cs="Arial"/>
                        <w:sz w:val="20"/>
                        <w:szCs w:val="20"/>
                      </w:rPr>
                      <m:t>X</m:t>
                    </m:r>
                  </m:e>
                  <m:sub>
                    <m:r>
                      <m:rPr>
                        <m:sty m:val="bi"/>
                      </m:rPr>
                      <w:rPr>
                        <w:rFonts w:ascii="Cambria Math" w:hAnsi="Cambria Math" w:cs="Arial"/>
                        <w:sz w:val="20"/>
                        <w:szCs w:val="20"/>
                      </w:rPr>
                      <m:t>el</m:t>
                    </m:r>
                  </m:sub>
                </m:sSub>
                <m:d>
                  <m:dPr>
                    <m:ctrlPr>
                      <w:rPr>
                        <w:rFonts w:ascii="Cambria Math" w:hAnsi="Cambria Math" w:cs="Arial"/>
                        <w:b/>
                        <w:bCs/>
                        <w:i/>
                        <w:sz w:val="20"/>
                        <w:szCs w:val="20"/>
                      </w:rPr>
                    </m:ctrlPr>
                  </m:dPr>
                  <m:e>
                    <m:r>
                      <m:rPr>
                        <m:sty m:val="b"/>
                      </m:rPr>
                      <w:rPr>
                        <w:rFonts w:ascii="Cambria Math" w:hAnsi="Cambria Math" w:cs="Arial"/>
                        <w:sz w:val="20"/>
                        <w:szCs w:val="20"/>
                      </w:rPr>
                      <m:t>Γ</m:t>
                    </m:r>
                  </m:e>
                </m:d>
                <m:r>
                  <w:rPr>
                    <w:rFonts w:ascii="Cambria Math" w:hAnsi="Cambria Math" w:cs="Arial"/>
                    <w:sz w:val="20"/>
                    <w:szCs w:val="20"/>
                  </w:rPr>
                  <m:t>=</m:t>
                </m:r>
                <m:r>
                  <m:rPr>
                    <m:sty m:val="bi"/>
                  </m:rPr>
                  <w:rPr>
                    <w:rFonts w:ascii="Cambria Math" w:hAnsi="Cambria Math" w:cs="Arial"/>
                    <w:sz w:val="20"/>
                    <w:szCs w:val="20"/>
                  </w:rPr>
                  <m:t>w×</m:t>
                </m:r>
                <m:f>
                  <m:fPr>
                    <m:ctrlPr>
                      <w:rPr>
                        <w:rFonts w:ascii="Cambria Math" w:hAnsi="Cambria Math" w:cs="Arial"/>
                        <w:b/>
                        <w:bCs/>
                        <w:i/>
                        <w:sz w:val="20"/>
                        <w:szCs w:val="20"/>
                      </w:rPr>
                    </m:ctrlPr>
                  </m:fPr>
                  <m:num>
                    <m:sSubSup>
                      <m:sSubSupPr>
                        <m:ctrlPr>
                          <w:rPr>
                            <w:rFonts w:ascii="Cambria Math" w:hAnsi="Cambria Math" w:cs="Arial"/>
                            <w:b/>
                            <w:bCs/>
                            <w:i/>
                            <w:sz w:val="20"/>
                            <w:szCs w:val="20"/>
                          </w:rPr>
                        </m:ctrlPr>
                      </m:sSubSupPr>
                      <m:e>
                        <m:r>
                          <m:rPr>
                            <m:sty m:val="bi"/>
                          </m:rPr>
                          <w:rPr>
                            <w:rFonts w:ascii="Cambria Math" w:hAnsi="Cambria Math" w:cs="Arial"/>
                            <w:sz w:val="20"/>
                            <w:szCs w:val="20"/>
                          </w:rPr>
                          <m:t>C</m:t>
                        </m:r>
                      </m:e>
                      <m:sub>
                        <m:r>
                          <m:rPr>
                            <m:sty m:val="bi"/>
                          </m:rPr>
                          <w:rPr>
                            <w:rFonts w:ascii="Cambria Math" w:hAnsi="Cambria Math" w:cs="Arial"/>
                            <w:sz w:val="20"/>
                            <w:szCs w:val="20"/>
                          </w:rPr>
                          <m:t>f+v</m:t>
                        </m:r>
                      </m:sub>
                      <m:sup>
                        <m:r>
                          <m:rPr>
                            <m:sty m:val="bi"/>
                          </m:rPr>
                          <w:rPr>
                            <w:rFonts w:ascii="Cambria Math" w:hAnsi="Cambria Math" w:cs="Arial"/>
                            <w:sz w:val="20"/>
                            <w:szCs w:val="20"/>
                          </w:rPr>
                          <m:t>wind</m:t>
                        </m:r>
                      </m:sup>
                    </m:sSubSup>
                  </m:num>
                  <m:den>
                    <m:r>
                      <m:rPr>
                        <m:sty m:val="bi"/>
                      </m:rPr>
                      <w:rPr>
                        <w:rFonts w:ascii="Cambria Math" w:hAnsi="Cambria Math" w:cs="Arial"/>
                        <w:sz w:val="20"/>
                        <w:szCs w:val="20"/>
                      </w:rPr>
                      <m:t>12</m:t>
                    </m:r>
                  </m:den>
                </m:f>
                <m:r>
                  <m:rPr>
                    <m:sty m:val="bi"/>
                  </m:rPr>
                  <w:rPr>
                    <w:rFonts w:ascii="Cambria Math" w:hAnsi="Cambria Math" w:cs="Arial"/>
                    <w:sz w:val="20"/>
                    <w:szCs w:val="20"/>
                  </w:rPr>
                  <m:t>+[b×</m:t>
                </m:r>
                <m:f>
                  <m:fPr>
                    <m:ctrlPr>
                      <w:rPr>
                        <w:rFonts w:ascii="Cambria Math" w:hAnsi="Cambria Math" w:cs="Arial"/>
                        <w:b/>
                        <w:bCs/>
                        <w:i/>
                        <w:sz w:val="20"/>
                        <w:szCs w:val="20"/>
                      </w:rPr>
                    </m:ctrlPr>
                  </m:fPr>
                  <m:num>
                    <m:r>
                      <m:rPr>
                        <m:sty m:val="bi"/>
                      </m:rPr>
                      <w:rPr>
                        <w:rFonts w:ascii="Cambria Math" w:hAnsi="Cambria Math" w:cs="Arial"/>
                        <w:sz w:val="20"/>
                        <w:szCs w:val="20"/>
                      </w:rPr>
                      <m:t>1000</m:t>
                    </m:r>
                  </m:num>
                  <m:den>
                    <m:r>
                      <m:rPr>
                        <m:sty m:val="bi"/>
                      </m:rPr>
                      <w:rPr>
                        <w:rFonts w:ascii="Cambria Math" w:hAnsi="Cambria Math" w:cs="Arial"/>
                        <w:sz w:val="20"/>
                        <w:szCs w:val="20"/>
                      </w:rPr>
                      <m:t>12</m:t>
                    </m:r>
                  </m:den>
                </m:f>
                <m:r>
                  <m:rPr>
                    <m:sty m:val="bi"/>
                  </m:rPr>
                  <w:rPr>
                    <w:rFonts w:ascii="Cambria Math" w:hAnsi="Cambria Math" w:cs="Arial"/>
                    <w:sz w:val="20"/>
                    <w:szCs w:val="20"/>
                  </w:rPr>
                  <m:t>]×</m:t>
                </m:r>
                <m:sSubSup>
                  <m:sSubSupPr>
                    <m:ctrlPr>
                      <w:rPr>
                        <w:rFonts w:ascii="Cambria Math" w:hAnsi="Cambria Math" w:cs="Arial"/>
                        <w:b/>
                        <w:bCs/>
                        <w:i/>
                        <w:sz w:val="20"/>
                        <w:szCs w:val="20"/>
                      </w:rPr>
                    </m:ctrlPr>
                  </m:sSubSupPr>
                  <m:e>
                    <m:r>
                      <m:rPr>
                        <m:sty m:val="bi"/>
                      </m:rPr>
                      <w:rPr>
                        <w:rFonts w:ascii="Cambria Math" w:hAnsi="Cambria Math" w:cs="Arial"/>
                        <w:sz w:val="20"/>
                        <w:szCs w:val="20"/>
                      </w:rPr>
                      <m:t>C</m:t>
                    </m:r>
                  </m:e>
                  <m:sub>
                    <m:r>
                      <m:rPr>
                        <m:sty m:val="bi"/>
                      </m:rPr>
                      <w:rPr>
                        <w:rFonts w:ascii="Cambria Math" w:hAnsi="Cambria Math" w:cs="Arial"/>
                        <w:sz w:val="20"/>
                        <w:szCs w:val="20"/>
                      </w:rPr>
                      <m:t>f</m:t>
                    </m:r>
                  </m:sub>
                  <m:sup>
                    <m:r>
                      <m:rPr>
                        <m:sty m:val="bi"/>
                      </m:rPr>
                      <w:rPr>
                        <w:rFonts w:ascii="Cambria Math" w:hAnsi="Cambria Math" w:cs="Arial"/>
                        <w:sz w:val="20"/>
                        <w:szCs w:val="20"/>
                      </w:rPr>
                      <m:t>battery</m:t>
                    </m:r>
                  </m:sup>
                </m:sSubSup>
                <m:r>
                  <m:rPr>
                    <m:sty m:val="bi"/>
                  </m:rPr>
                  <w:rPr>
                    <w:rFonts w:ascii="Cambria Math" w:hAnsi="Cambria Math" w:cs="Arial"/>
                    <w:sz w:val="20"/>
                    <w:szCs w:val="20"/>
                  </w:rPr>
                  <m:t>+</m:t>
                </m:r>
                <m:sSub>
                  <m:sSubPr>
                    <m:ctrlPr>
                      <w:rPr>
                        <w:rFonts w:ascii="Cambria Math" w:hAnsi="Cambria Math" w:cs="Arial"/>
                        <w:b/>
                        <w:bCs/>
                        <w:i/>
                        <w:sz w:val="20"/>
                        <w:szCs w:val="20"/>
                      </w:rPr>
                    </m:ctrlPr>
                  </m:sSubPr>
                  <m:e>
                    <m:r>
                      <m:rPr>
                        <m:sty m:val="bi"/>
                      </m:rPr>
                      <w:rPr>
                        <w:rFonts w:ascii="Cambria Math" w:hAnsi="Cambria Math" w:cs="Arial"/>
                        <w:sz w:val="20"/>
                        <w:szCs w:val="20"/>
                      </w:rPr>
                      <m:t>d</m:t>
                    </m:r>
                  </m:e>
                  <m:sub>
                    <m:r>
                      <m:rPr>
                        <m:sty m:val="bi"/>
                      </m:rPr>
                      <w:rPr>
                        <w:rFonts w:ascii="Cambria Math" w:hAnsi="Cambria Math" w:cs="Arial"/>
                        <w:sz w:val="20"/>
                        <w:szCs w:val="20"/>
                      </w:rPr>
                      <m:t>monthly</m:t>
                    </m:r>
                  </m:sub>
                </m:sSub>
                <m:d>
                  <m:dPr>
                    <m:ctrlPr>
                      <w:rPr>
                        <w:rFonts w:ascii="Cambria Math" w:hAnsi="Cambria Math" w:cs="Arial"/>
                        <w:b/>
                        <w:bCs/>
                        <w:sz w:val="20"/>
                        <w:szCs w:val="20"/>
                      </w:rPr>
                    </m:ctrlPr>
                  </m:dPr>
                  <m:e>
                    <m:r>
                      <m:rPr>
                        <m:sty m:val="b"/>
                      </m:rPr>
                      <w:rPr>
                        <w:rFonts w:ascii="Cambria Math" w:hAnsi="Cambria Math" w:cs="Arial"/>
                        <w:sz w:val="20"/>
                        <w:szCs w:val="20"/>
                      </w:rPr>
                      <m:t>Γ</m:t>
                    </m:r>
                  </m:e>
                </m:d>
                <m:r>
                  <m:rPr>
                    <m:sty m:val="bi"/>
                  </m:rPr>
                  <w:rPr>
                    <w:rFonts w:ascii="Cambria Math" w:hAnsi="Cambria Math" w:cs="Arial"/>
                    <w:sz w:val="20"/>
                    <w:szCs w:val="20"/>
                  </w:rPr>
                  <m:t>×</m:t>
                </m:r>
                <m:sSubSup>
                  <m:sSubSupPr>
                    <m:ctrlPr>
                      <w:rPr>
                        <w:rFonts w:ascii="Cambria Math" w:hAnsi="Cambria Math" w:cs="Arial"/>
                        <w:b/>
                        <w:bCs/>
                        <w:i/>
                        <w:sz w:val="20"/>
                        <w:szCs w:val="20"/>
                      </w:rPr>
                    </m:ctrlPr>
                  </m:sSubSupPr>
                  <m:e>
                    <m:r>
                      <m:rPr>
                        <m:sty m:val="bi"/>
                      </m:rPr>
                      <w:rPr>
                        <w:rFonts w:ascii="Cambria Math" w:hAnsi="Cambria Math" w:cs="Arial"/>
                        <w:sz w:val="20"/>
                        <w:szCs w:val="20"/>
                      </w:rPr>
                      <m:t>C</m:t>
                    </m:r>
                  </m:e>
                  <m:sub>
                    <m:r>
                      <m:rPr>
                        <m:sty m:val="bi"/>
                      </m:rPr>
                      <w:rPr>
                        <w:rFonts w:ascii="Cambria Math" w:hAnsi="Cambria Math" w:cs="Arial"/>
                        <w:sz w:val="20"/>
                        <w:szCs w:val="20"/>
                      </w:rPr>
                      <m:t>v</m:t>
                    </m:r>
                  </m:sub>
                  <m:sup>
                    <m:r>
                      <m:rPr>
                        <m:sty m:val="bi"/>
                      </m:rPr>
                      <w:rPr>
                        <w:rFonts w:ascii="Cambria Math" w:hAnsi="Cambria Math" w:cs="Arial"/>
                        <w:sz w:val="20"/>
                        <w:szCs w:val="20"/>
                      </w:rPr>
                      <m:t>battery</m:t>
                    </m:r>
                  </m:sup>
                </m:sSubSup>
              </m:oMath>
            </m:oMathPara>
          </w:p>
        </w:tc>
      </w:tr>
      <w:tr w:rsidR="00DA7E40" w:rsidRPr="00D800F0" w14:paraId="773E1345" w14:textId="77777777" w:rsidTr="0000614D">
        <w:tc>
          <w:tcPr>
            <w:tcW w:w="1215" w:type="pct"/>
          </w:tcPr>
          <w:p w14:paraId="68B0C398" w14:textId="77777777" w:rsidR="00DA7E40" w:rsidRPr="00D800F0" w:rsidRDefault="00DA7E40" w:rsidP="0000614D">
            <w:pPr>
              <w:rPr>
                <w:rFonts w:ascii="Arial" w:hAnsi="Arial" w:cs="Arial"/>
                <w:sz w:val="20"/>
                <w:szCs w:val="20"/>
              </w:rPr>
            </w:pPr>
            <m:oMathPara>
              <m:oMath>
                <m:r>
                  <m:rPr>
                    <m:sty m:val="bi"/>
                  </m:rPr>
                  <w:rPr>
                    <w:rFonts w:ascii="Cambria Math" w:hAnsi="Cambria Math" w:cs="Arial"/>
                    <w:sz w:val="20"/>
                    <w:szCs w:val="20"/>
                  </w:rPr>
                  <m:t>C</m:t>
                </m:r>
                <m:sSub>
                  <m:sSubPr>
                    <m:ctrlPr>
                      <w:rPr>
                        <w:rFonts w:ascii="Cambria Math" w:hAnsi="Cambria Math" w:cs="Arial"/>
                        <w:b/>
                        <w:bCs/>
                        <w:sz w:val="20"/>
                        <w:szCs w:val="20"/>
                      </w:rPr>
                    </m:ctrlPr>
                  </m:sSubPr>
                  <m:e>
                    <m:sSub>
                      <m:sSubPr>
                        <m:ctrlPr>
                          <w:rPr>
                            <w:rFonts w:ascii="Cambria Math" w:hAnsi="Cambria Math" w:cs="Arial"/>
                            <w:b/>
                            <w:bCs/>
                            <w:sz w:val="20"/>
                            <w:szCs w:val="20"/>
                          </w:rPr>
                        </m:ctrlPr>
                      </m:sSubPr>
                      <m:e>
                        <m:r>
                          <m:rPr>
                            <m:sty m:val="bi"/>
                          </m:rPr>
                          <w:rPr>
                            <w:rFonts w:ascii="Cambria Math" w:hAnsi="Cambria Math" w:cs="Arial"/>
                            <w:sz w:val="20"/>
                            <w:szCs w:val="20"/>
                          </w:rPr>
                          <m:t>I</m:t>
                        </m:r>
                      </m:e>
                      <m:sub>
                        <m:r>
                          <m:rPr>
                            <m:sty m:val="bi"/>
                          </m:rPr>
                          <w:rPr>
                            <w:rFonts w:ascii="Cambria Math" w:hAnsi="Cambria Math" w:cs="Arial"/>
                            <w:sz w:val="20"/>
                            <w:szCs w:val="20"/>
                          </w:rPr>
                          <m:t>j | j ≠ SMR</m:t>
                        </m:r>
                      </m:sub>
                    </m:sSub>
                  </m:e>
                  <m:sub>
                    <m:r>
                      <m:rPr>
                        <m:sty m:val="bi"/>
                      </m:rPr>
                      <w:rPr>
                        <w:rFonts w:ascii="Cambria Math" w:hAnsi="Cambria Math" w:cs="Arial"/>
                        <w:sz w:val="20"/>
                        <w:szCs w:val="20"/>
                      </w:rPr>
                      <m:t>Electricity</m:t>
                    </m:r>
                  </m:sub>
                </m:sSub>
                <m:d>
                  <m:dPr>
                    <m:ctrlPr>
                      <w:rPr>
                        <w:rFonts w:ascii="Cambria Math" w:eastAsiaTheme="minorEastAsia" w:hAnsi="Cambria Math" w:cs="Arial"/>
                        <w:b/>
                        <w:bCs/>
                        <w:sz w:val="20"/>
                        <w:szCs w:val="20"/>
                      </w:rPr>
                    </m:ctrlPr>
                  </m:dPr>
                  <m:e>
                    <m:r>
                      <m:rPr>
                        <m:sty m:val="bi"/>
                      </m:rPr>
                      <w:rPr>
                        <w:rFonts w:ascii="Cambria Math" w:eastAsiaTheme="minorEastAsia" w:hAnsi="Cambria Math" w:cs="Arial"/>
                        <w:sz w:val="20"/>
                        <w:szCs w:val="20"/>
                      </w:rPr>
                      <m:t>T</m:t>
                    </m:r>
                  </m:e>
                </m:d>
                <m:r>
                  <m:rPr>
                    <m:sty m:val="b"/>
                  </m:rPr>
                  <w:rPr>
                    <w:rFonts w:ascii="Cambria Math" w:eastAsiaTheme="minorEastAsia" w:hAnsi="Cambria Math" w:cs="Arial"/>
                    <w:sz w:val="20"/>
                    <w:szCs w:val="20"/>
                  </w:rPr>
                  <m:t>=0</m:t>
                </m:r>
              </m:oMath>
            </m:oMathPara>
          </w:p>
        </w:tc>
        <w:tc>
          <w:tcPr>
            <w:tcW w:w="888" w:type="pct"/>
          </w:tcPr>
          <w:p w14:paraId="604C925B" w14:textId="77777777" w:rsidR="00DA7E40" w:rsidRPr="00D800F0" w:rsidRDefault="00DA7E40" w:rsidP="0000614D">
            <w:pPr>
              <w:rPr>
                <w:rFonts w:ascii="Arial" w:hAnsi="Arial" w:cs="Arial"/>
                <w:sz w:val="20"/>
                <w:szCs w:val="20"/>
              </w:rPr>
            </w:pPr>
            <w:r w:rsidRPr="00D800F0">
              <w:rPr>
                <w:rFonts w:ascii="Arial" w:hAnsi="Arial" w:cs="Arial"/>
                <w:sz w:val="20"/>
                <w:szCs w:val="20"/>
              </w:rPr>
              <w:t>Carbon Intensity</w:t>
            </w:r>
          </w:p>
        </w:tc>
        <w:tc>
          <w:tcPr>
            <w:tcW w:w="2897" w:type="pct"/>
          </w:tcPr>
          <w:p w14:paraId="74979BBA" w14:textId="77777777" w:rsidR="00DA7E40" w:rsidRPr="00D800F0" w:rsidRDefault="00DA7E40" w:rsidP="0000614D">
            <w:pPr>
              <w:rPr>
                <w:rFonts w:ascii="Arial" w:hAnsi="Arial" w:cs="Arial"/>
                <w:sz w:val="20"/>
                <w:szCs w:val="20"/>
              </w:rPr>
            </w:pPr>
            <w:r w:rsidRPr="00D800F0">
              <w:rPr>
                <w:rFonts w:ascii="Arial" w:hAnsi="Arial" w:cs="Arial"/>
                <w:sz w:val="20"/>
                <w:szCs w:val="20"/>
              </w:rPr>
              <w:t xml:space="preserve">We assume the electricity generated from the hybrid wind farm is zero. </w:t>
            </w:r>
          </w:p>
        </w:tc>
      </w:tr>
      <w:tr w:rsidR="00DA7E40" w:rsidRPr="00D800F0" w14:paraId="385BD1D1" w14:textId="77777777" w:rsidTr="0000614D">
        <w:trPr>
          <w:trHeight w:val="926"/>
        </w:trPr>
        <w:tc>
          <w:tcPr>
            <w:tcW w:w="1215" w:type="pct"/>
          </w:tcPr>
          <w:p w14:paraId="23764311" w14:textId="77777777" w:rsidR="00DA7E40" w:rsidRPr="00D800F0" w:rsidRDefault="00DA7E40" w:rsidP="0000614D">
            <w:pPr>
              <w:rPr>
                <w:rFonts w:ascii="Arial" w:hAnsi="Arial" w:cs="Arial"/>
                <w:sz w:val="20"/>
                <w:szCs w:val="20"/>
              </w:rPr>
            </w:pPr>
            <w:r w:rsidRPr="00D800F0">
              <w:rPr>
                <w:rFonts w:ascii="Arial" w:hAnsi="Arial" w:cs="Arial"/>
                <w:sz w:val="20"/>
                <w:szCs w:val="20"/>
              </w:rPr>
              <w:t>48E or 45Y credits</w:t>
            </w:r>
          </w:p>
        </w:tc>
        <w:tc>
          <w:tcPr>
            <w:tcW w:w="888" w:type="pct"/>
          </w:tcPr>
          <w:p w14:paraId="0AF7A68A" w14:textId="77777777" w:rsidR="00DA7E40" w:rsidRPr="00D800F0" w:rsidRDefault="00DA7E40" w:rsidP="0000614D">
            <w:pPr>
              <w:rPr>
                <w:rFonts w:ascii="Arial" w:hAnsi="Arial" w:cs="Arial"/>
                <w:sz w:val="20"/>
                <w:szCs w:val="20"/>
              </w:rPr>
            </w:pPr>
            <w:r w:rsidRPr="00D800F0">
              <w:rPr>
                <w:rFonts w:ascii="Arial" w:hAnsi="Arial" w:cs="Arial"/>
                <w:sz w:val="20"/>
                <w:szCs w:val="20"/>
              </w:rPr>
              <w:t>Tax Credits</w:t>
            </w:r>
          </w:p>
        </w:tc>
        <w:tc>
          <w:tcPr>
            <w:tcW w:w="2897" w:type="pct"/>
          </w:tcPr>
          <w:p w14:paraId="59BCBAEC" w14:textId="77777777" w:rsidR="00DA7E40" w:rsidRPr="00D800F0" w:rsidRDefault="00DA7E40" w:rsidP="0000614D">
            <w:pPr>
              <w:rPr>
                <w:rFonts w:ascii="Arial" w:hAnsi="Arial" w:cs="Arial"/>
                <w:sz w:val="20"/>
                <w:szCs w:val="20"/>
              </w:rPr>
            </w:pPr>
            <w:r w:rsidRPr="00D800F0">
              <w:rPr>
                <w:rFonts w:ascii="Arial" w:hAnsi="Arial" w:cs="Arial"/>
                <w:sz w:val="20"/>
                <w:szCs w:val="20"/>
              </w:rPr>
              <w:t xml:space="preserve">The NPV model has added tax credits coming from IRA programs that support the hybrid wind farm system. The decision between 48E and 45Y is based on the NPV of each cash-equivalent tax credit. The formulation of the decision is long, so we describe it below in section </w:t>
            </w:r>
            <w:r w:rsidRPr="00D800F0">
              <w:rPr>
                <w:rFonts w:ascii="Arial" w:hAnsi="Arial" w:cs="Arial"/>
                <w:sz w:val="20"/>
                <w:szCs w:val="20"/>
              </w:rPr>
              <w:fldChar w:fldCharType="begin"/>
            </w:r>
            <w:r w:rsidRPr="00D800F0">
              <w:rPr>
                <w:rFonts w:ascii="Arial" w:hAnsi="Arial" w:cs="Arial"/>
                <w:sz w:val="20"/>
                <w:szCs w:val="20"/>
              </w:rPr>
              <w:instrText xml:space="preserve"> REF _Ref146464486 \r \h  \* MERGEFORMAT </w:instrText>
            </w:r>
            <w:r w:rsidRPr="00D800F0">
              <w:rPr>
                <w:rFonts w:ascii="Arial" w:hAnsi="Arial" w:cs="Arial"/>
                <w:sz w:val="20"/>
                <w:szCs w:val="20"/>
              </w:rPr>
            </w:r>
            <w:r w:rsidRPr="00D800F0">
              <w:rPr>
                <w:rFonts w:ascii="Arial" w:hAnsi="Arial" w:cs="Arial"/>
                <w:sz w:val="20"/>
                <w:szCs w:val="20"/>
              </w:rPr>
              <w:fldChar w:fldCharType="separate"/>
            </w:r>
            <w:r w:rsidRPr="00D800F0">
              <w:rPr>
                <w:rFonts w:ascii="Arial" w:hAnsi="Arial" w:cs="Arial"/>
                <w:sz w:val="20"/>
                <w:szCs w:val="20"/>
              </w:rPr>
              <w:t>F.1.1</w:t>
            </w:r>
            <w:r w:rsidRPr="00D800F0">
              <w:rPr>
                <w:rFonts w:ascii="Arial" w:hAnsi="Arial" w:cs="Arial"/>
                <w:sz w:val="20"/>
                <w:szCs w:val="20"/>
              </w:rPr>
              <w:fldChar w:fldCharType="end"/>
            </w:r>
            <w:r w:rsidRPr="00D800F0">
              <w:rPr>
                <w:rFonts w:ascii="Arial" w:hAnsi="Arial" w:cs="Arial"/>
                <w:sz w:val="20"/>
                <w:szCs w:val="20"/>
              </w:rPr>
              <w:t xml:space="preserve">. </w:t>
            </w:r>
          </w:p>
        </w:tc>
      </w:tr>
      <w:tr w:rsidR="00DA7E40" w:rsidRPr="00D800F0" w14:paraId="381FFE60" w14:textId="77777777" w:rsidTr="0000614D">
        <w:trPr>
          <w:trHeight w:val="2321"/>
        </w:trPr>
        <w:tc>
          <w:tcPr>
            <w:tcW w:w="1215" w:type="pct"/>
          </w:tcPr>
          <w:p w14:paraId="358D0FD9" w14:textId="77777777" w:rsidR="00DA7E40" w:rsidRPr="00D800F0" w:rsidRDefault="00DA7E40" w:rsidP="0000614D">
            <w:pPr>
              <w:rPr>
                <w:rFonts w:ascii="Arial" w:hAnsi="Arial" w:cs="Arial"/>
                <w:sz w:val="20"/>
                <w:szCs w:val="20"/>
              </w:rPr>
            </w:pPr>
            <w:r w:rsidRPr="00D800F0">
              <w:rPr>
                <w:rFonts w:ascii="Arial" w:hAnsi="Arial" w:cs="Arial"/>
                <w:sz w:val="20"/>
                <w:szCs w:val="20"/>
              </w:rPr>
              <w:t>Selling surplus electricity</w:t>
            </w:r>
          </w:p>
        </w:tc>
        <w:tc>
          <w:tcPr>
            <w:tcW w:w="888" w:type="pct"/>
          </w:tcPr>
          <w:p w14:paraId="7FA5D843" w14:textId="77777777" w:rsidR="00DA7E40" w:rsidRPr="00D800F0" w:rsidRDefault="00DA7E40" w:rsidP="0000614D">
            <w:pPr>
              <w:rPr>
                <w:rFonts w:ascii="Arial" w:hAnsi="Arial" w:cs="Arial"/>
                <w:sz w:val="20"/>
                <w:szCs w:val="20"/>
              </w:rPr>
            </w:pPr>
            <w:r w:rsidRPr="00D800F0">
              <w:rPr>
                <w:rFonts w:ascii="Arial" w:hAnsi="Arial" w:cs="Arial"/>
                <w:sz w:val="20"/>
                <w:szCs w:val="20"/>
              </w:rPr>
              <w:t>MDOPEX</w:t>
            </w:r>
          </w:p>
        </w:tc>
        <w:tc>
          <w:tcPr>
            <w:tcW w:w="2897" w:type="pct"/>
          </w:tcPr>
          <w:p w14:paraId="186679C7" w14:textId="77777777" w:rsidR="00DA7E40" w:rsidRPr="00D800F0" w:rsidRDefault="00DA7E40" w:rsidP="0000614D">
            <w:pPr>
              <w:rPr>
                <w:rFonts w:ascii="Arial" w:hAnsi="Arial" w:cs="Arial"/>
                <w:sz w:val="20"/>
                <w:szCs w:val="20"/>
              </w:rPr>
            </w:pPr>
            <w:r w:rsidRPr="00D800F0">
              <w:rPr>
                <w:rFonts w:ascii="Arial" w:hAnsi="Arial" w:cs="Arial"/>
                <w:sz w:val="20"/>
                <w:szCs w:val="20"/>
              </w:rPr>
              <w:t xml:space="preserve">Surplus electricity produced by the wind farm that is not stored can be sold to the grid at a larger price between the LCOE (see section </w:t>
            </w:r>
            <w:r w:rsidRPr="00D800F0">
              <w:rPr>
                <w:rFonts w:ascii="Arial" w:hAnsi="Arial" w:cs="Arial"/>
                <w:sz w:val="20"/>
                <w:szCs w:val="20"/>
              </w:rPr>
              <w:fldChar w:fldCharType="begin"/>
            </w:r>
            <w:r w:rsidRPr="00D800F0">
              <w:rPr>
                <w:rFonts w:ascii="Arial" w:hAnsi="Arial" w:cs="Arial"/>
                <w:sz w:val="20"/>
                <w:szCs w:val="20"/>
              </w:rPr>
              <w:instrText xml:space="preserve"> REF _Ref146992528 \r \h  \* MERGEFORMAT </w:instrText>
            </w:r>
            <w:r w:rsidRPr="00D800F0">
              <w:rPr>
                <w:rFonts w:ascii="Arial" w:hAnsi="Arial" w:cs="Arial"/>
                <w:sz w:val="20"/>
                <w:szCs w:val="20"/>
              </w:rPr>
            </w:r>
            <w:r w:rsidRPr="00D800F0">
              <w:rPr>
                <w:rFonts w:ascii="Arial" w:hAnsi="Arial" w:cs="Arial"/>
                <w:sz w:val="20"/>
                <w:szCs w:val="20"/>
              </w:rPr>
              <w:fldChar w:fldCharType="separate"/>
            </w:r>
            <w:r w:rsidRPr="00D800F0">
              <w:rPr>
                <w:rFonts w:ascii="Arial" w:hAnsi="Arial" w:cs="Arial"/>
                <w:sz w:val="20"/>
                <w:szCs w:val="20"/>
              </w:rPr>
              <w:t>E.2</w:t>
            </w:r>
            <w:r w:rsidRPr="00D800F0">
              <w:rPr>
                <w:rFonts w:ascii="Arial" w:hAnsi="Arial" w:cs="Arial"/>
                <w:sz w:val="20"/>
                <w:szCs w:val="20"/>
              </w:rPr>
              <w:fldChar w:fldCharType="end"/>
            </w:r>
            <w:r w:rsidRPr="00D800F0">
              <w:rPr>
                <w:rFonts w:ascii="Arial" w:hAnsi="Arial" w:cs="Arial"/>
                <w:sz w:val="20"/>
                <w:szCs w:val="20"/>
              </w:rPr>
              <w:t>) of the wind farm and the market price:</w:t>
            </w:r>
          </w:p>
          <w:p w14:paraId="2E5A8F73" w14:textId="77777777" w:rsidR="00DA7E40" w:rsidRPr="00D800F0" w:rsidRDefault="00DA7E40" w:rsidP="0000614D">
            <w:pPr>
              <w:rPr>
                <w:rFonts w:ascii="Arial" w:hAnsi="Arial" w:cs="Arial"/>
                <w:sz w:val="20"/>
                <w:szCs w:val="20"/>
              </w:rPr>
            </w:pPr>
          </w:p>
          <w:p w14:paraId="633E058B" w14:textId="77777777" w:rsidR="00DA7E40" w:rsidRPr="00D800F0" w:rsidRDefault="00000000" w:rsidP="0000614D">
            <w:pPr>
              <w:rPr>
                <w:rFonts w:ascii="Arial" w:hAnsi="Arial" w:cs="Arial"/>
                <w:b/>
                <w:bCs/>
                <w:sz w:val="20"/>
                <w:szCs w:val="20"/>
              </w:rPr>
            </w:pPr>
            <m:oMathPara>
              <m:oMath>
                <m:sSub>
                  <m:sSubPr>
                    <m:ctrlPr>
                      <w:rPr>
                        <w:rFonts w:ascii="Cambria Math" w:hAnsi="Cambria Math" w:cs="Arial"/>
                        <w:b/>
                        <w:bCs/>
                        <w:i/>
                        <w:sz w:val="20"/>
                        <w:szCs w:val="20"/>
                      </w:rPr>
                    </m:ctrlPr>
                  </m:sSubPr>
                  <m:e>
                    <m:r>
                      <m:rPr>
                        <m:sty m:val="bi"/>
                      </m:rPr>
                      <w:rPr>
                        <w:rFonts w:ascii="Cambria Math" w:hAnsi="Cambria Math" w:cs="Arial"/>
                        <w:sz w:val="20"/>
                        <w:szCs w:val="20"/>
                      </w:rPr>
                      <m:t>S</m:t>
                    </m:r>
                  </m:e>
                  <m:sub>
                    <m:r>
                      <m:rPr>
                        <m:sty m:val="bi"/>
                      </m:rPr>
                      <w:rPr>
                        <w:rFonts w:ascii="Cambria Math" w:hAnsi="Cambria Math" w:cs="Arial"/>
                        <w:sz w:val="20"/>
                        <w:szCs w:val="20"/>
                      </w:rPr>
                      <m:t>el</m:t>
                    </m:r>
                  </m:sub>
                </m:sSub>
                <m:d>
                  <m:dPr>
                    <m:ctrlPr>
                      <w:rPr>
                        <w:rFonts w:ascii="Cambria Math" w:hAnsi="Cambria Math" w:cs="Arial"/>
                        <w:b/>
                        <w:bCs/>
                        <w:i/>
                        <w:sz w:val="20"/>
                        <w:szCs w:val="20"/>
                      </w:rPr>
                    </m:ctrlPr>
                  </m:dPr>
                  <m:e>
                    <m:r>
                      <m:rPr>
                        <m:sty m:val="bi"/>
                      </m:rPr>
                      <w:rPr>
                        <w:rFonts w:ascii="Cambria Math" w:hAnsi="Cambria Math" w:cs="Arial"/>
                        <w:sz w:val="20"/>
                        <w:szCs w:val="20"/>
                      </w:rPr>
                      <m:t>T</m:t>
                    </m:r>
                  </m:e>
                </m:d>
                <m:r>
                  <w:rPr>
                    <w:rFonts w:ascii="Cambria Math" w:hAnsi="Cambria Math" w:cs="Arial"/>
                    <w:sz w:val="20"/>
                    <w:szCs w:val="20"/>
                  </w:rPr>
                  <m:t>=</m:t>
                </m:r>
                <m:d>
                  <m:dPr>
                    <m:begChr m:val="["/>
                    <m:endChr m:val="]"/>
                    <m:ctrlPr>
                      <w:rPr>
                        <w:rFonts w:ascii="Cambria Math" w:hAnsi="Cambria Math" w:cs="Arial"/>
                        <w:i/>
                        <w:sz w:val="20"/>
                        <w:szCs w:val="20"/>
                      </w:rPr>
                    </m:ctrlPr>
                  </m:dPr>
                  <m:e>
                    <m:r>
                      <m:rPr>
                        <m:sty m:val="bi"/>
                      </m:rPr>
                      <w:rPr>
                        <w:rFonts w:ascii="Cambria Math" w:hAnsi="Cambria Math" w:cs="Arial"/>
                        <w:sz w:val="20"/>
                        <w:szCs w:val="20"/>
                      </w:rPr>
                      <m:t>C</m:t>
                    </m:r>
                    <m:sSub>
                      <m:sSubPr>
                        <m:ctrlPr>
                          <w:rPr>
                            <w:rFonts w:ascii="Cambria Math" w:hAnsi="Cambria Math" w:cs="Arial"/>
                            <w:b/>
                            <w:bCs/>
                            <w:i/>
                            <w:sz w:val="20"/>
                            <w:szCs w:val="20"/>
                          </w:rPr>
                        </m:ctrlPr>
                      </m:sSubPr>
                      <m:e>
                        <m:r>
                          <m:rPr>
                            <m:sty m:val="bi"/>
                          </m:rPr>
                          <w:rPr>
                            <w:rFonts w:ascii="Cambria Math" w:hAnsi="Cambria Math" w:cs="Arial"/>
                            <w:sz w:val="20"/>
                            <w:szCs w:val="20"/>
                          </w:rPr>
                          <m:t>F</m:t>
                        </m:r>
                      </m:e>
                      <m:sub>
                        <m:r>
                          <m:rPr>
                            <m:sty m:val="bi"/>
                          </m:rPr>
                          <w:rPr>
                            <w:rFonts w:ascii="Cambria Math" w:hAnsi="Cambria Math" w:cs="Arial"/>
                            <w:sz w:val="20"/>
                            <w:szCs w:val="20"/>
                          </w:rPr>
                          <m:t>monthly</m:t>
                        </m:r>
                      </m:sub>
                    </m:sSub>
                    <m:d>
                      <m:dPr>
                        <m:ctrlPr>
                          <w:rPr>
                            <w:rFonts w:ascii="Cambria Math" w:hAnsi="Cambria Math" w:cs="Arial"/>
                            <w:b/>
                            <w:bCs/>
                            <w:i/>
                            <w:sz w:val="20"/>
                            <w:szCs w:val="20"/>
                          </w:rPr>
                        </m:ctrlPr>
                      </m:dPr>
                      <m:e>
                        <m:r>
                          <m:rPr>
                            <m:sty m:val="b"/>
                          </m:rPr>
                          <w:rPr>
                            <w:rFonts w:ascii="Cambria Math" w:hAnsi="Cambria Math" w:cs="Arial"/>
                            <w:sz w:val="20"/>
                            <w:szCs w:val="20"/>
                          </w:rPr>
                          <m:t>Γ</m:t>
                        </m:r>
                        <m:ctrlPr>
                          <w:rPr>
                            <w:rFonts w:ascii="Cambria Math" w:hAnsi="Cambria Math" w:cs="Arial"/>
                            <w:b/>
                            <w:bCs/>
                            <w:sz w:val="20"/>
                            <w:szCs w:val="20"/>
                          </w:rPr>
                        </m:ctrlPr>
                      </m:e>
                    </m:d>
                    <m:r>
                      <w:rPr>
                        <w:rFonts w:ascii="Cambria Math" w:hAnsi="Cambria Math" w:cs="Arial"/>
                        <w:sz w:val="20"/>
                        <w:szCs w:val="20"/>
                      </w:rPr>
                      <m:t>*</m:t>
                    </m:r>
                    <m:r>
                      <m:rPr>
                        <m:sty m:val="bi"/>
                      </m:rPr>
                      <w:rPr>
                        <w:rFonts w:ascii="Cambria Math" w:hAnsi="Cambria Math" w:cs="Arial"/>
                        <w:sz w:val="20"/>
                        <w:szCs w:val="20"/>
                      </w:rPr>
                      <m:t xml:space="preserve">w- </m:t>
                    </m:r>
                    <m:sSub>
                      <m:sSubPr>
                        <m:ctrlPr>
                          <w:rPr>
                            <w:rFonts w:ascii="Cambria Math" w:hAnsi="Cambria Math" w:cs="Arial"/>
                            <w:b/>
                            <w:bCs/>
                            <w:i/>
                            <w:sz w:val="20"/>
                            <w:szCs w:val="20"/>
                          </w:rPr>
                        </m:ctrlPr>
                      </m:sSubPr>
                      <m:e>
                        <m:r>
                          <m:rPr>
                            <m:sty m:val="bi"/>
                          </m:rPr>
                          <w:rPr>
                            <w:rFonts w:ascii="Cambria Math" w:hAnsi="Cambria Math" w:cs="Arial"/>
                            <w:sz w:val="20"/>
                            <w:szCs w:val="20"/>
                          </w:rPr>
                          <m:t>w</m:t>
                        </m:r>
                      </m:e>
                      <m:sub>
                        <m:r>
                          <m:rPr>
                            <m:sty m:val="bi"/>
                          </m:rPr>
                          <w:rPr>
                            <w:rFonts w:ascii="Cambria Math" w:hAnsi="Cambria Math" w:cs="Arial"/>
                            <w:sz w:val="20"/>
                            <w:szCs w:val="20"/>
                          </w:rPr>
                          <m:t>montly</m:t>
                        </m:r>
                      </m:sub>
                    </m:sSub>
                    <m:d>
                      <m:dPr>
                        <m:ctrlPr>
                          <w:rPr>
                            <w:rFonts w:ascii="Cambria Math" w:hAnsi="Cambria Math" w:cs="Arial"/>
                            <w:b/>
                            <w:bCs/>
                            <w:i/>
                            <w:sz w:val="20"/>
                            <w:szCs w:val="20"/>
                          </w:rPr>
                        </m:ctrlPr>
                      </m:dPr>
                      <m:e>
                        <m:r>
                          <m:rPr>
                            <m:sty m:val="b"/>
                          </m:rPr>
                          <w:rPr>
                            <w:rFonts w:ascii="Cambria Math" w:hAnsi="Cambria Math" w:cs="Arial"/>
                            <w:sz w:val="20"/>
                            <w:szCs w:val="20"/>
                          </w:rPr>
                          <m:t>Γ</m:t>
                        </m:r>
                        <m:ctrlPr>
                          <w:rPr>
                            <w:rFonts w:ascii="Cambria Math" w:hAnsi="Cambria Math" w:cs="Arial"/>
                            <w:b/>
                            <w:bCs/>
                            <w:sz w:val="20"/>
                            <w:szCs w:val="20"/>
                          </w:rPr>
                        </m:ctrlPr>
                      </m:e>
                    </m:d>
                    <m:ctrlPr>
                      <w:rPr>
                        <w:rFonts w:ascii="Cambria Math" w:hAnsi="Cambria Math" w:cs="Arial"/>
                        <w:b/>
                        <w:bCs/>
                        <w:sz w:val="20"/>
                        <w:szCs w:val="20"/>
                      </w:rPr>
                    </m:ctrlPr>
                  </m:e>
                </m:d>
                <m:r>
                  <m:rPr>
                    <m:sty m:val="b"/>
                  </m:rPr>
                  <w:rPr>
                    <w:rFonts w:ascii="Cambria Math" w:hAnsi="Cambria Math" w:cs="Arial"/>
                    <w:sz w:val="20"/>
                    <w:szCs w:val="20"/>
                  </w:rPr>
                  <m:t>*max[LCO</m:t>
                </m:r>
                <m:sSub>
                  <m:sSubPr>
                    <m:ctrlPr>
                      <w:rPr>
                        <w:rFonts w:ascii="Cambria Math" w:hAnsi="Cambria Math" w:cs="Arial"/>
                        <w:b/>
                        <w:bCs/>
                        <w:sz w:val="20"/>
                        <w:szCs w:val="20"/>
                      </w:rPr>
                    </m:ctrlPr>
                  </m:sSubPr>
                  <m:e>
                    <m:r>
                      <m:rPr>
                        <m:sty m:val="b"/>
                      </m:rPr>
                      <w:rPr>
                        <w:rFonts w:ascii="Cambria Math" w:hAnsi="Cambria Math" w:cs="Arial"/>
                        <w:sz w:val="20"/>
                        <w:szCs w:val="20"/>
                      </w:rPr>
                      <m:t>E</m:t>
                    </m:r>
                  </m:e>
                  <m:sub>
                    <m:r>
                      <m:rPr>
                        <m:sty m:val="b"/>
                      </m:rPr>
                      <w:rPr>
                        <w:rFonts w:ascii="Cambria Math" w:hAnsi="Cambria Math" w:cs="Arial"/>
                        <w:sz w:val="20"/>
                        <w:szCs w:val="20"/>
                      </w:rPr>
                      <m:t>wind farm only</m:t>
                    </m:r>
                  </m:sub>
                </m:sSub>
                <m:r>
                  <m:rPr>
                    <m:sty m:val="b"/>
                  </m:rPr>
                  <w:rPr>
                    <w:rFonts w:ascii="Cambria Math" w:hAnsi="Cambria Math" w:cs="Arial"/>
                    <w:sz w:val="20"/>
                    <w:szCs w:val="20"/>
                  </w:rPr>
                  <m:t xml:space="preserve">, </m:t>
                </m:r>
                <m:sSub>
                  <m:sSubPr>
                    <m:ctrlPr>
                      <w:rPr>
                        <w:rFonts w:ascii="Cambria Math" w:hAnsi="Cambria Math" w:cs="Arial"/>
                        <w:b/>
                        <w:bCs/>
                        <w:sz w:val="20"/>
                        <w:szCs w:val="20"/>
                      </w:rPr>
                    </m:ctrlPr>
                  </m:sSubPr>
                  <m:e>
                    <m:r>
                      <m:rPr>
                        <m:sty m:val="bi"/>
                      </m:rPr>
                      <w:rPr>
                        <w:rFonts w:ascii="Cambria Math" w:hAnsi="Cambria Math" w:cs="Arial"/>
                        <w:sz w:val="20"/>
                        <w:szCs w:val="20"/>
                      </w:rPr>
                      <m:t>P</m:t>
                    </m:r>
                  </m:e>
                  <m:sub>
                    <m:r>
                      <m:rPr>
                        <m:sty m:val="bi"/>
                      </m:rPr>
                      <w:rPr>
                        <w:rFonts w:ascii="Cambria Math" w:hAnsi="Cambria Math" w:cs="Arial"/>
                        <w:sz w:val="20"/>
                        <w:szCs w:val="20"/>
                      </w:rPr>
                      <m:t>Electricity</m:t>
                    </m:r>
                  </m:sub>
                </m:sSub>
                <m:d>
                  <m:dPr>
                    <m:ctrlPr>
                      <w:rPr>
                        <w:rFonts w:ascii="Cambria Math" w:hAnsi="Cambria Math" w:cs="Arial"/>
                        <w:b/>
                        <w:bCs/>
                        <w:sz w:val="20"/>
                        <w:szCs w:val="20"/>
                      </w:rPr>
                    </m:ctrlPr>
                  </m:dPr>
                  <m:e>
                    <m:r>
                      <m:rPr>
                        <m:sty m:val="bi"/>
                      </m:rPr>
                      <w:rPr>
                        <w:rFonts w:ascii="Cambria Math" w:hAnsi="Cambria Math" w:cs="Arial"/>
                        <w:sz w:val="20"/>
                        <w:szCs w:val="20"/>
                      </w:rPr>
                      <m:t>T</m:t>
                    </m:r>
                  </m:e>
                </m:d>
                <m:r>
                  <m:rPr>
                    <m:sty m:val="b"/>
                  </m:rPr>
                  <w:rPr>
                    <w:rFonts w:ascii="Cambria Math" w:hAnsi="Cambria Math" w:cs="Arial"/>
                    <w:sz w:val="20"/>
                    <w:szCs w:val="20"/>
                  </w:rPr>
                  <m:t>*1000]</m:t>
                </m:r>
              </m:oMath>
            </m:oMathPara>
          </w:p>
          <w:p w14:paraId="5D678C5F" w14:textId="77777777" w:rsidR="00DA7E40" w:rsidRPr="00D800F0" w:rsidRDefault="00DA7E40" w:rsidP="0000614D">
            <w:pPr>
              <w:rPr>
                <w:rFonts w:ascii="Arial" w:hAnsi="Arial" w:cs="Arial"/>
                <w:sz w:val="20"/>
                <w:szCs w:val="20"/>
              </w:rPr>
            </w:pPr>
          </w:p>
          <w:p w14:paraId="68810169" w14:textId="77777777" w:rsidR="00DA7E40" w:rsidRPr="00D800F0" w:rsidRDefault="00DA7E40" w:rsidP="0000614D">
            <w:pPr>
              <w:rPr>
                <w:rFonts w:ascii="Arial" w:hAnsi="Arial" w:cs="Arial"/>
                <w:b/>
                <w:bCs/>
                <w:sz w:val="20"/>
                <w:szCs w:val="20"/>
              </w:rPr>
            </w:pPr>
            <w:r w:rsidRPr="00D800F0">
              <w:rPr>
                <w:rFonts w:ascii="Arial" w:hAnsi="Arial" w:cs="Arial"/>
                <w:sz w:val="20"/>
                <w:szCs w:val="20"/>
              </w:rPr>
              <w:t xml:space="preserve">So that </w:t>
            </w:r>
            <m:oMath>
              <m:r>
                <m:rPr>
                  <m:sty m:val="bi"/>
                </m:rPr>
                <w:rPr>
                  <w:rFonts w:ascii="Cambria Math" w:hAnsi="Cambria Math" w:cs="Arial"/>
                  <w:sz w:val="20"/>
                  <w:szCs w:val="20"/>
                </w:rPr>
                <m:t>MDOPEX(T)</m:t>
              </m:r>
            </m:oMath>
            <w:r w:rsidRPr="00D800F0">
              <w:rPr>
                <w:rFonts w:ascii="Arial" w:hAnsi="Arial" w:cs="Arial"/>
                <w:sz w:val="20"/>
                <w:szCs w:val="20"/>
              </w:rPr>
              <w:t xml:space="preserve"> is increased by </w:t>
            </w:r>
            <m:oMath>
              <m:sSub>
                <m:sSubPr>
                  <m:ctrlPr>
                    <w:rPr>
                      <w:rFonts w:ascii="Cambria Math" w:hAnsi="Cambria Math" w:cs="Arial"/>
                      <w:b/>
                      <w:bCs/>
                      <w:i/>
                      <w:sz w:val="20"/>
                      <w:szCs w:val="20"/>
                    </w:rPr>
                  </m:ctrlPr>
                </m:sSubPr>
                <m:e>
                  <m:r>
                    <m:rPr>
                      <m:sty m:val="bi"/>
                    </m:rPr>
                    <w:rPr>
                      <w:rFonts w:ascii="Cambria Math" w:hAnsi="Cambria Math" w:cs="Arial"/>
                      <w:sz w:val="20"/>
                      <w:szCs w:val="20"/>
                    </w:rPr>
                    <m:t>S</m:t>
                  </m:r>
                </m:e>
                <m:sub>
                  <m:r>
                    <m:rPr>
                      <m:sty m:val="bi"/>
                    </m:rPr>
                    <w:rPr>
                      <w:rFonts w:ascii="Cambria Math" w:hAnsi="Cambria Math" w:cs="Arial"/>
                      <w:sz w:val="20"/>
                      <w:szCs w:val="20"/>
                    </w:rPr>
                    <m:t>el</m:t>
                  </m:r>
                </m:sub>
              </m:sSub>
              <m:d>
                <m:dPr>
                  <m:ctrlPr>
                    <w:rPr>
                      <w:rFonts w:ascii="Cambria Math" w:hAnsi="Cambria Math" w:cs="Arial"/>
                      <w:b/>
                      <w:bCs/>
                      <w:i/>
                      <w:sz w:val="20"/>
                      <w:szCs w:val="20"/>
                    </w:rPr>
                  </m:ctrlPr>
                </m:dPr>
                <m:e>
                  <m:r>
                    <m:rPr>
                      <m:sty m:val="bi"/>
                    </m:rPr>
                    <w:rPr>
                      <w:rFonts w:ascii="Cambria Math" w:hAnsi="Cambria Math" w:cs="Arial"/>
                      <w:sz w:val="20"/>
                      <w:szCs w:val="20"/>
                    </w:rPr>
                    <m:t>T</m:t>
                  </m:r>
                </m:e>
              </m:d>
            </m:oMath>
            <w:r w:rsidRPr="00D800F0">
              <w:rPr>
                <w:rFonts w:ascii="Arial" w:hAnsi="Arial" w:cs="Arial"/>
                <w:b/>
                <w:bCs/>
                <w:sz w:val="20"/>
                <w:szCs w:val="20"/>
              </w:rPr>
              <w:t xml:space="preserve">. </w:t>
            </w:r>
          </w:p>
        </w:tc>
      </w:tr>
      <w:tr w:rsidR="00DA7E40" w:rsidRPr="00D800F0" w14:paraId="3A2CF285" w14:textId="77777777" w:rsidTr="0000614D">
        <w:trPr>
          <w:trHeight w:val="647"/>
        </w:trPr>
        <w:tc>
          <w:tcPr>
            <w:tcW w:w="1215" w:type="pct"/>
          </w:tcPr>
          <w:p w14:paraId="3E6E6B90" w14:textId="77777777" w:rsidR="00DA7E40" w:rsidRPr="00D800F0" w:rsidRDefault="00DA7E40" w:rsidP="0000614D">
            <w:pPr>
              <w:rPr>
                <w:rFonts w:ascii="Arial" w:hAnsi="Arial" w:cs="Arial"/>
                <w:sz w:val="20"/>
                <w:szCs w:val="20"/>
              </w:rPr>
            </w:pPr>
            <w:r w:rsidRPr="00D800F0">
              <w:rPr>
                <w:rFonts w:ascii="Arial" w:hAnsi="Arial" w:cs="Arial"/>
                <w:sz w:val="20"/>
                <w:szCs w:val="20"/>
              </w:rPr>
              <w:lastRenderedPageBreak/>
              <w:t>Battery and wind farm have replacement costs</w:t>
            </w:r>
          </w:p>
        </w:tc>
        <w:tc>
          <w:tcPr>
            <w:tcW w:w="888" w:type="pct"/>
          </w:tcPr>
          <w:p w14:paraId="2D21401E" w14:textId="77777777" w:rsidR="00DA7E40" w:rsidRPr="00D800F0" w:rsidRDefault="00DA7E40" w:rsidP="0000614D">
            <w:pPr>
              <w:rPr>
                <w:rFonts w:ascii="Arial" w:hAnsi="Arial" w:cs="Arial"/>
                <w:sz w:val="20"/>
                <w:szCs w:val="20"/>
              </w:rPr>
            </w:pPr>
            <w:r w:rsidRPr="00D800F0">
              <w:rPr>
                <w:rFonts w:ascii="Arial" w:hAnsi="Arial" w:cs="Arial"/>
                <w:sz w:val="20"/>
                <w:szCs w:val="20"/>
              </w:rPr>
              <w:t>MIOPEX</w:t>
            </w:r>
          </w:p>
        </w:tc>
        <w:tc>
          <w:tcPr>
            <w:tcW w:w="2897" w:type="pct"/>
          </w:tcPr>
          <w:p w14:paraId="6FA57957" w14:textId="77777777" w:rsidR="00DA7E40" w:rsidRPr="00D800F0" w:rsidRDefault="00DA7E40" w:rsidP="0000614D">
            <w:pPr>
              <w:rPr>
                <w:rFonts w:ascii="Arial" w:hAnsi="Arial" w:cs="Arial"/>
                <w:sz w:val="20"/>
                <w:szCs w:val="20"/>
              </w:rPr>
            </w:pPr>
            <w:r w:rsidRPr="00D800F0">
              <w:rPr>
                <w:rFonts w:ascii="Arial" w:hAnsi="Arial" w:cs="Arial"/>
                <w:sz w:val="20"/>
                <w:szCs w:val="20"/>
              </w:rPr>
              <w:t xml:space="preserve">Every </w:t>
            </w:r>
            <m:oMath>
              <m:sSub>
                <m:sSubPr>
                  <m:ctrlPr>
                    <w:rPr>
                      <w:rFonts w:ascii="Cambria Math" w:hAnsi="Cambria Math" w:cs="Arial"/>
                      <w:b/>
                      <w:bCs/>
                      <w:i/>
                      <w:sz w:val="20"/>
                      <w:szCs w:val="20"/>
                    </w:rPr>
                  </m:ctrlPr>
                </m:sSubPr>
                <m:e>
                  <m:r>
                    <m:rPr>
                      <m:sty m:val="bi"/>
                    </m:rPr>
                    <w:rPr>
                      <w:rFonts w:ascii="Cambria Math" w:hAnsi="Cambria Math" w:cs="Arial"/>
                      <w:sz w:val="20"/>
                      <w:szCs w:val="20"/>
                    </w:rPr>
                    <m:t>L</m:t>
                  </m:r>
                </m:e>
                <m:sub>
                  <m:r>
                    <m:rPr>
                      <m:sty m:val="bi"/>
                    </m:rPr>
                    <w:rPr>
                      <w:rFonts w:ascii="Cambria Math" w:hAnsi="Cambria Math" w:cs="Arial"/>
                      <w:sz w:val="20"/>
                      <w:szCs w:val="20"/>
                    </w:rPr>
                    <m:t>battery</m:t>
                  </m:r>
                </m:sub>
              </m:sSub>
            </m:oMath>
            <w:r w:rsidRPr="00D800F0">
              <w:rPr>
                <w:rFonts w:ascii="Arial" w:hAnsi="Arial" w:cs="Arial"/>
                <w:sz w:val="20"/>
                <w:szCs w:val="20"/>
              </w:rPr>
              <w:t xml:space="preserve"> and </w:t>
            </w:r>
            <m:oMath>
              <m:sSub>
                <m:sSubPr>
                  <m:ctrlPr>
                    <w:rPr>
                      <w:rFonts w:ascii="Cambria Math" w:hAnsi="Cambria Math" w:cs="Arial"/>
                      <w:b/>
                      <w:bCs/>
                      <w:i/>
                      <w:sz w:val="20"/>
                      <w:szCs w:val="20"/>
                    </w:rPr>
                  </m:ctrlPr>
                </m:sSubPr>
                <m:e>
                  <m:r>
                    <m:rPr>
                      <m:sty m:val="bi"/>
                    </m:rPr>
                    <w:rPr>
                      <w:rFonts w:ascii="Cambria Math" w:hAnsi="Cambria Math" w:cs="Arial"/>
                      <w:sz w:val="20"/>
                      <w:szCs w:val="20"/>
                    </w:rPr>
                    <m:t>L</m:t>
                  </m:r>
                </m:e>
                <m:sub>
                  <m:r>
                    <m:rPr>
                      <m:sty m:val="bi"/>
                    </m:rPr>
                    <w:rPr>
                      <w:rFonts w:ascii="Cambria Math" w:hAnsi="Cambria Math" w:cs="Arial"/>
                      <w:sz w:val="20"/>
                      <w:szCs w:val="20"/>
                    </w:rPr>
                    <m:t>wind</m:t>
                  </m:r>
                </m:sub>
              </m:sSub>
            </m:oMath>
            <w:r w:rsidRPr="00D800F0">
              <w:rPr>
                <w:rFonts w:ascii="Arial" w:hAnsi="Arial" w:cs="Arial"/>
                <w:sz w:val="20"/>
                <w:szCs w:val="20"/>
              </w:rPr>
              <w:t xml:space="preserve"> the uninstalled equipment cost of the wind and battery farm is incurred. We make this assumption as the project lifetime of wind farm and battery storage is shorter than AP</w:t>
            </w:r>
            <w:r w:rsidRPr="00D800F0">
              <w:rPr>
                <w:rStyle w:val="FootnoteReference"/>
                <w:rFonts w:ascii="Arial" w:hAnsi="Arial" w:cs="Arial"/>
                <w:sz w:val="20"/>
                <w:szCs w:val="20"/>
              </w:rPr>
              <w:footnoteReference w:id="6"/>
            </w:r>
            <w:r w:rsidRPr="00D800F0">
              <w:rPr>
                <w:rFonts w:ascii="Arial" w:hAnsi="Arial" w:cs="Arial"/>
                <w:sz w:val="20"/>
                <w:szCs w:val="20"/>
              </w:rPr>
              <w:t xml:space="preserve">. </w:t>
            </w:r>
          </w:p>
        </w:tc>
      </w:tr>
    </w:tbl>
    <w:p w14:paraId="6960B227" w14:textId="77777777" w:rsidR="00DA7E40" w:rsidRPr="00D800F0" w:rsidRDefault="00DA7E40" w:rsidP="006864F3">
      <w:pPr>
        <w:pStyle w:val="Heading4"/>
        <w:rPr>
          <w:rFonts w:ascii="Arial" w:hAnsi="Arial" w:cs="Arial"/>
        </w:rPr>
      </w:pPr>
      <w:bookmarkStart w:id="75" w:name="_Ref146464486"/>
      <w:r w:rsidRPr="00D800F0">
        <w:rPr>
          <w:rFonts w:ascii="Arial" w:hAnsi="Arial" w:cs="Arial"/>
        </w:rPr>
        <w:t>Tax credits for scenario C.</w:t>
      </w:r>
      <w:bookmarkEnd w:id="75"/>
      <w:r w:rsidRPr="00D800F0">
        <w:rPr>
          <w:rFonts w:ascii="Arial" w:hAnsi="Arial" w:cs="Arial"/>
        </w:rPr>
        <w:t xml:space="preserve"> </w:t>
      </w:r>
    </w:p>
    <w:p w14:paraId="3D9F7A34" w14:textId="77777777" w:rsidR="00DA7E40" w:rsidRPr="00D800F0" w:rsidRDefault="00DA7E40" w:rsidP="00DA7E40">
      <w:pPr>
        <w:rPr>
          <w:rFonts w:ascii="Arial" w:hAnsi="Arial" w:cs="Arial"/>
          <w:lang w:eastAsia="en-GB"/>
        </w:rPr>
      </w:pPr>
      <w:r w:rsidRPr="00D800F0">
        <w:rPr>
          <w:rFonts w:ascii="Arial" w:hAnsi="Arial" w:cs="Arial"/>
          <w:lang w:eastAsia="en-GB"/>
        </w:rPr>
        <w:t>The decision between 48E and 45Y is found below:</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990"/>
      </w:tblGrid>
      <w:tr w:rsidR="00DA7E40" w:rsidRPr="00D800F0" w14:paraId="2DE6440A" w14:textId="77777777" w:rsidTr="0000614D">
        <w:tc>
          <w:tcPr>
            <w:tcW w:w="8455" w:type="dxa"/>
            <w:vAlign w:val="center"/>
          </w:tcPr>
          <w:p w14:paraId="2A1FF648" w14:textId="77777777" w:rsidR="00DA7E40" w:rsidRPr="00D800F0" w:rsidRDefault="00000000" w:rsidP="0000614D">
            <w:pPr>
              <w:jc w:val="center"/>
              <w:rPr>
                <w:rFonts w:ascii="Arial" w:eastAsiaTheme="minorEastAsia" w:hAnsi="Arial" w:cs="Arial"/>
              </w:rPr>
            </w:pPr>
            <m:oMathPara>
              <m:oMath>
                <m:func>
                  <m:funcPr>
                    <m:ctrlPr>
                      <w:rPr>
                        <w:rFonts w:ascii="Cambria Math" w:hAnsi="Cambria Math" w:cs="Arial"/>
                        <w:i/>
                      </w:rPr>
                    </m:ctrlPr>
                  </m:funcPr>
                  <m:fName>
                    <m:r>
                      <m:rPr>
                        <m:sty m:val="p"/>
                      </m:rPr>
                      <w:rPr>
                        <w:rFonts w:ascii="Cambria Math" w:hAnsi="Cambria Math" w:cs="Arial"/>
                      </w:rPr>
                      <m:t>max</m:t>
                    </m:r>
                  </m:fName>
                  <m:e>
                    <m:d>
                      <m:dPr>
                        <m:begChr m:val="["/>
                        <m:endChr m:val="]"/>
                        <m:ctrlPr>
                          <w:rPr>
                            <w:rFonts w:ascii="Cambria Math" w:hAnsi="Cambria Math" w:cs="Arial"/>
                            <w:i/>
                          </w:rPr>
                        </m:ctrlPr>
                      </m:dPr>
                      <m:e>
                        <m:eqArr>
                          <m:eqArrPr>
                            <m:ctrlPr>
                              <w:rPr>
                                <w:rFonts w:ascii="Cambria Math" w:hAnsi="Cambria Math" w:cs="Arial"/>
                                <w:i/>
                              </w:rPr>
                            </m:ctrlPr>
                          </m:eqArrPr>
                          <m:e>
                            <m:sSub>
                              <m:sSubPr>
                                <m:ctrlPr>
                                  <w:rPr>
                                    <w:rFonts w:ascii="Cambria Math" w:hAnsi="Cambria Math" w:cs="Arial"/>
                                    <w:b/>
                                    <w:bCs/>
                                    <w:i/>
                                  </w:rPr>
                                </m:ctrlPr>
                              </m:sSubPr>
                              <m:e>
                                <m:r>
                                  <m:rPr>
                                    <m:scr m:val="script"/>
                                    <m:sty m:val="bi"/>
                                  </m:rPr>
                                  <w:rPr>
                                    <w:rFonts w:ascii="Cambria Math" w:hAnsi="Cambria Math" w:cs="Arial"/>
                                  </w:rPr>
                                  <m:t>H</m:t>
                                </m:r>
                              </m:e>
                              <m:sub>
                                <m:r>
                                  <m:rPr>
                                    <m:sty m:val="bi"/>
                                  </m:rPr>
                                  <w:rPr>
                                    <w:rFonts w:ascii="Cambria Math" w:hAnsi="Cambria Math" w:cs="Arial"/>
                                  </w:rPr>
                                  <m:t>CE</m:t>
                                </m:r>
                              </m:sub>
                            </m:sSub>
                            <m:d>
                              <m:dPr>
                                <m:begChr m:val="["/>
                                <m:endChr m:val="]"/>
                                <m:ctrlPr>
                                  <w:rPr>
                                    <w:rFonts w:ascii="Cambria Math" w:hAnsi="Cambria Math" w:cs="Arial"/>
                                    <w:b/>
                                    <w:bCs/>
                                    <w:i/>
                                  </w:rPr>
                                </m:ctrlPr>
                              </m:dPr>
                              <m:e>
                                <m:r>
                                  <m:rPr>
                                    <m:sty m:val="b"/>
                                  </m:rPr>
                                  <w:rPr>
                                    <w:rFonts w:ascii="Cambria Math" w:eastAsiaTheme="minorEastAsia" w:hAnsi="Cambria Math" w:cs="Arial"/>
                                  </w:rPr>
                                  <m:t xml:space="preserve"> </m:t>
                                </m:r>
                                <m:f>
                                  <m:fPr>
                                    <m:ctrlPr>
                                      <w:rPr>
                                        <w:rFonts w:ascii="Cambria Math" w:hAnsi="Cambria Math" w:cs="Arial"/>
                                        <w:i/>
                                      </w:rPr>
                                    </m:ctrlPr>
                                  </m:fPr>
                                  <m:num>
                                    <m:r>
                                      <m:rPr>
                                        <m:sty m:val="bi"/>
                                      </m:rPr>
                                      <w:rPr>
                                        <w:rFonts w:ascii="Cambria Math" w:hAnsi="Cambria Math" w:cs="Arial"/>
                                      </w:rPr>
                                      <m:t>48</m:t>
                                    </m:r>
                                    <m:r>
                                      <m:rPr>
                                        <m:sty m:val="bi"/>
                                      </m:rPr>
                                      <w:rPr>
                                        <w:rFonts w:ascii="Cambria Math" w:hAnsi="Cambria Math" w:cs="Arial"/>
                                      </w:rPr>
                                      <m:t>E</m:t>
                                    </m:r>
                                    <m:r>
                                      <w:rPr>
                                        <w:rFonts w:ascii="Cambria Math" w:hAnsi="Cambria Math" w:cs="Arial"/>
                                      </w:rPr>
                                      <m:t>*</m:t>
                                    </m:r>
                                    <m:d>
                                      <m:dPr>
                                        <m:ctrlPr>
                                          <w:rPr>
                                            <w:rFonts w:ascii="Cambria Math" w:hAnsi="Cambria Math" w:cs="Arial"/>
                                            <w:i/>
                                          </w:rPr>
                                        </m:ctrlPr>
                                      </m:dPr>
                                      <m:e>
                                        <m:sSub>
                                          <m:sSubPr>
                                            <m:ctrlPr>
                                              <w:rPr>
                                                <w:rFonts w:ascii="Cambria Math" w:hAnsi="Cambria Math" w:cs="Arial"/>
                                                <w:bCs/>
                                              </w:rPr>
                                            </m:ctrlPr>
                                          </m:sSubPr>
                                          <m:e>
                                            <m:r>
                                              <m:rPr>
                                                <m:sty m:val="bi"/>
                                              </m:rPr>
                                              <w:rPr>
                                                <w:rFonts w:ascii="Cambria Math" w:hAnsi="Cambria Math" w:cs="Arial"/>
                                              </w:rPr>
                                              <m:t>COST</m:t>
                                            </m:r>
                                          </m:e>
                                          <m:sub>
                                            <m:r>
                                              <m:rPr>
                                                <m:sty m:val="bi"/>
                                              </m:rPr>
                                              <w:rPr>
                                                <w:rFonts w:ascii="Cambria Math" w:hAnsi="Cambria Math" w:cs="Arial"/>
                                              </w:rPr>
                                              <m:t>wind</m:t>
                                            </m:r>
                                          </m:sub>
                                        </m:sSub>
                                        <m:r>
                                          <m:rPr>
                                            <m:sty m:val="p"/>
                                          </m:rPr>
                                          <w:rPr>
                                            <w:rFonts w:ascii="Cambria Math" w:hAnsi="Cambria Math" w:cs="Arial"/>
                                          </w:rPr>
                                          <m:t>×</m:t>
                                        </m:r>
                                        <m:r>
                                          <m:rPr>
                                            <m:sty m:val="bi"/>
                                          </m:rPr>
                                          <w:rPr>
                                            <w:rFonts w:ascii="Cambria Math" w:hAnsi="Cambria Math" w:cs="Arial"/>
                                          </w:rPr>
                                          <m:t>w</m:t>
                                        </m:r>
                                        <m:r>
                                          <m:rPr>
                                            <m:sty m:val="p"/>
                                          </m:rPr>
                                          <w:rPr>
                                            <w:rFonts w:ascii="Cambria Math" w:hAnsi="Cambria Math" w:cs="Arial"/>
                                          </w:rPr>
                                          <m:t>+</m:t>
                                        </m:r>
                                        <m:sSub>
                                          <m:sSubPr>
                                            <m:ctrlPr>
                                              <w:rPr>
                                                <w:rFonts w:ascii="Cambria Math" w:hAnsi="Cambria Math" w:cs="Arial"/>
                                                <w:bCs/>
                                              </w:rPr>
                                            </m:ctrlPr>
                                          </m:sSubPr>
                                          <m:e>
                                            <m:r>
                                              <m:rPr>
                                                <m:sty m:val="bi"/>
                                              </m:rPr>
                                              <w:rPr>
                                                <w:rFonts w:ascii="Cambria Math" w:hAnsi="Cambria Math" w:cs="Arial"/>
                                              </w:rPr>
                                              <m:t>COST</m:t>
                                            </m:r>
                                          </m:e>
                                          <m:sub>
                                            <m:r>
                                              <m:rPr>
                                                <m:sty m:val="bi"/>
                                              </m:rPr>
                                              <w:rPr>
                                                <w:rFonts w:ascii="Cambria Math" w:hAnsi="Cambria Math" w:cs="Arial"/>
                                              </w:rPr>
                                              <m:t>battery</m:t>
                                            </m:r>
                                          </m:sub>
                                        </m:sSub>
                                        <m:r>
                                          <m:rPr>
                                            <m:sty m:val="p"/>
                                          </m:rPr>
                                          <w:rPr>
                                            <w:rFonts w:ascii="Cambria Math" w:hAnsi="Cambria Math" w:cs="Arial"/>
                                          </w:rPr>
                                          <m:t>×</m:t>
                                        </m:r>
                                        <m:r>
                                          <m:rPr>
                                            <m:sty m:val="bi"/>
                                          </m:rPr>
                                          <w:rPr>
                                            <w:rFonts w:ascii="Cambria Math" w:hAnsi="Cambria Math" w:cs="Arial"/>
                                          </w:rPr>
                                          <m:t>b</m:t>
                                        </m:r>
                                      </m:e>
                                    </m:d>
                                  </m:num>
                                  <m:den>
                                    <m:sSup>
                                      <m:sSupPr>
                                        <m:ctrlPr>
                                          <w:rPr>
                                            <w:rFonts w:ascii="Cambria Math" w:hAnsi="Cambria Math" w:cs="Arial"/>
                                            <w:i/>
                                          </w:rPr>
                                        </m:ctrlPr>
                                      </m:sSupPr>
                                      <m:e>
                                        <m:d>
                                          <m:dPr>
                                            <m:ctrlPr>
                                              <w:rPr>
                                                <w:rFonts w:ascii="Cambria Math" w:hAnsi="Cambria Math" w:cs="Arial"/>
                                                <w:b/>
                                                <w:bCs/>
                                                <w:i/>
                                              </w:rPr>
                                            </m:ctrlPr>
                                          </m:dPr>
                                          <m:e>
                                            <m:r>
                                              <m:rPr>
                                                <m:sty m:val="bi"/>
                                              </m:rPr>
                                              <w:rPr>
                                                <w:rFonts w:ascii="Cambria Math" w:hAnsi="Cambria Math" w:cs="Arial"/>
                                              </w:rPr>
                                              <m:t>1+</m:t>
                                            </m:r>
                                            <m:sSub>
                                              <m:sSubPr>
                                                <m:ctrlPr>
                                                  <w:rPr>
                                                    <w:rFonts w:ascii="Cambria Math" w:hAnsi="Cambria Math" w:cs="Arial"/>
                                                    <w:b/>
                                                    <w:bCs/>
                                                    <w:i/>
                                                  </w:rPr>
                                                </m:ctrlPr>
                                              </m:sSubPr>
                                              <m:e>
                                                <m:r>
                                                  <m:rPr>
                                                    <m:sty m:val="bi"/>
                                                  </m:rPr>
                                                  <w:rPr>
                                                    <w:rFonts w:ascii="Cambria Math" w:hAnsi="Cambria Math" w:cs="Arial"/>
                                                  </w:rPr>
                                                  <m:t>d</m:t>
                                                </m:r>
                                              </m:e>
                                              <m:sub>
                                                <m:r>
                                                  <m:rPr>
                                                    <m:sty m:val="bi"/>
                                                  </m:rPr>
                                                  <w:rPr>
                                                    <w:rFonts w:ascii="Cambria Math" w:hAnsi="Cambria Math" w:cs="Arial"/>
                                                  </w:rPr>
                                                  <m:t>r</m:t>
                                                </m:r>
                                              </m:sub>
                                            </m:sSub>
                                          </m:e>
                                        </m:d>
                                      </m:e>
                                      <m:sup>
                                        <m:r>
                                          <m:rPr>
                                            <m:sty m:val="bi"/>
                                          </m:rPr>
                                          <w:rPr>
                                            <w:rFonts w:ascii="Cambria Math" w:hAnsi="Cambria Math" w:cs="Arial"/>
                                          </w:rPr>
                                          <m:t>S+C</m:t>
                                        </m:r>
                                      </m:sup>
                                    </m:sSup>
                                  </m:den>
                                </m:f>
                                <m:ctrlPr>
                                  <w:rPr>
                                    <w:rFonts w:ascii="Cambria Math" w:hAnsi="Cambria Math" w:cs="Arial"/>
                                    <w:i/>
                                  </w:rPr>
                                </m:ctrlPr>
                              </m:e>
                            </m:d>
                            <m:r>
                              <w:rPr>
                                <w:rFonts w:ascii="Cambria Math" w:hAnsi="Cambria Math" w:cs="Arial"/>
                              </w:rPr>
                              <m:t>,</m:t>
                            </m:r>
                          </m:e>
                          <m:e>
                            <m:nary>
                              <m:naryPr>
                                <m:chr m:val="∑"/>
                                <m:limLoc m:val="undOvr"/>
                                <m:ctrlPr>
                                  <w:rPr>
                                    <w:rFonts w:ascii="Cambria Math" w:hAnsi="Cambria Math" w:cs="Arial"/>
                                    <w:i/>
                                  </w:rPr>
                                </m:ctrlPr>
                              </m:naryPr>
                              <m:sub>
                                <m:r>
                                  <m:rPr>
                                    <m:sty m:val="bi"/>
                                  </m:rPr>
                                  <w:rPr>
                                    <w:rFonts w:ascii="Cambria Math" w:hAnsi="Cambria Math" w:cs="Arial"/>
                                  </w:rPr>
                                  <m:t>T=S+C</m:t>
                                </m:r>
                              </m:sub>
                              <m:sup>
                                <m:r>
                                  <m:rPr>
                                    <m:sty m:val="bi"/>
                                  </m:rPr>
                                  <w:rPr>
                                    <w:rFonts w:ascii="Cambria Math" w:hAnsi="Cambria Math" w:cs="Arial"/>
                                  </w:rPr>
                                  <m:t>L+S+C</m:t>
                                </m:r>
                              </m:sup>
                              <m:e>
                                <m:sSub>
                                  <m:sSubPr>
                                    <m:ctrlPr>
                                      <w:rPr>
                                        <w:rFonts w:ascii="Cambria Math" w:hAnsi="Cambria Math" w:cs="Arial"/>
                                        <w:b/>
                                        <w:bCs/>
                                        <w:i/>
                                      </w:rPr>
                                    </m:ctrlPr>
                                  </m:sSubPr>
                                  <m:e>
                                    <m:r>
                                      <m:rPr>
                                        <m:scr m:val="script"/>
                                        <m:sty m:val="bi"/>
                                      </m:rPr>
                                      <w:rPr>
                                        <w:rFonts w:ascii="Cambria Math" w:hAnsi="Cambria Math" w:cs="Arial"/>
                                      </w:rPr>
                                      <m:t>H</m:t>
                                    </m:r>
                                  </m:e>
                                  <m:sub>
                                    <m:r>
                                      <m:rPr>
                                        <m:sty m:val="bi"/>
                                      </m:rPr>
                                      <w:rPr>
                                        <w:rFonts w:ascii="Cambria Math" w:hAnsi="Cambria Math" w:cs="Arial"/>
                                      </w:rPr>
                                      <m:t>CE</m:t>
                                    </m:r>
                                  </m:sub>
                                </m:sSub>
                                <m:r>
                                  <m:rPr>
                                    <m:sty m:val="bi"/>
                                  </m:rPr>
                                  <w:rPr>
                                    <w:rFonts w:ascii="Cambria Math" w:hAnsi="Cambria Math" w:cs="Arial"/>
                                  </w:rPr>
                                  <m:t> </m:t>
                                </m:r>
                                <m:d>
                                  <m:dPr>
                                    <m:begChr m:val="["/>
                                    <m:endChr m:val="]"/>
                                    <m:ctrlPr>
                                      <w:rPr>
                                        <w:rFonts w:ascii="Cambria Math" w:hAnsi="Cambria Math" w:cs="Arial"/>
                                        <w:i/>
                                      </w:rPr>
                                    </m:ctrlPr>
                                  </m:dPr>
                                  <m:e>
                                    <m:f>
                                      <m:fPr>
                                        <m:ctrlPr>
                                          <w:rPr>
                                            <w:rFonts w:ascii="Cambria Math" w:hAnsi="Cambria Math" w:cs="Arial"/>
                                            <w:b/>
                                            <w:bCs/>
                                            <w:i/>
                                          </w:rPr>
                                        </m:ctrlPr>
                                      </m:fPr>
                                      <m:num>
                                        <m:r>
                                          <m:rPr>
                                            <m:sty m:val="bi"/>
                                          </m:rPr>
                                          <w:rPr>
                                            <w:rFonts w:ascii="Cambria Math" w:hAnsi="Cambria Math" w:cs="Arial"/>
                                          </w:rPr>
                                          <m:t>w</m:t>
                                        </m:r>
                                        <m:d>
                                          <m:dPr>
                                            <m:ctrlPr>
                                              <w:rPr>
                                                <w:rFonts w:ascii="Cambria Math" w:hAnsi="Cambria Math" w:cs="Arial"/>
                                              </w:rPr>
                                            </m:ctrlPr>
                                          </m:dPr>
                                          <m:e>
                                            <m:r>
                                              <m:rPr>
                                                <m:sty m:val="b"/>
                                              </m:rPr>
                                              <w:rPr>
                                                <w:rFonts w:ascii="Cambria Math" w:hAnsi="Cambria Math" w:cs="Arial"/>
                                              </w:rPr>
                                              <m:t>Γ</m:t>
                                            </m:r>
                                          </m:e>
                                        </m:d>
                                        <m:r>
                                          <m:rPr>
                                            <m:sty m:val="bi"/>
                                          </m:rPr>
                                          <w:rPr>
                                            <w:rFonts w:ascii="Cambria Math" w:hAnsi="Cambria Math" w:cs="Arial"/>
                                          </w:rPr>
                                          <m:t>×45</m:t>
                                        </m:r>
                                        <m:r>
                                          <m:rPr>
                                            <m:sty m:val="bi"/>
                                          </m:rPr>
                                          <w:rPr>
                                            <w:rFonts w:ascii="Cambria Math" w:hAnsi="Cambria Math" w:cs="Arial"/>
                                          </w:rPr>
                                          <m:t>Y(T)</m:t>
                                        </m:r>
                                        <m:ctrlPr>
                                          <w:rPr>
                                            <w:rFonts w:ascii="Cambria Math" w:hAnsi="Cambria Math" w:cs="Arial"/>
                                            <w:i/>
                                          </w:rPr>
                                        </m:ctrlPr>
                                      </m:num>
                                      <m:den>
                                        <m:sSup>
                                          <m:sSupPr>
                                            <m:ctrlPr>
                                              <w:rPr>
                                                <w:rFonts w:ascii="Cambria Math" w:hAnsi="Cambria Math" w:cs="Arial"/>
                                                <w:i/>
                                              </w:rPr>
                                            </m:ctrlPr>
                                          </m:sSupPr>
                                          <m:e>
                                            <m:d>
                                              <m:dPr>
                                                <m:ctrlPr>
                                                  <w:rPr>
                                                    <w:rFonts w:ascii="Cambria Math" w:hAnsi="Cambria Math" w:cs="Arial"/>
                                                    <w:b/>
                                                    <w:bCs/>
                                                    <w:i/>
                                                  </w:rPr>
                                                </m:ctrlPr>
                                              </m:dPr>
                                              <m:e>
                                                <m:r>
                                                  <m:rPr>
                                                    <m:sty m:val="bi"/>
                                                  </m:rPr>
                                                  <w:rPr>
                                                    <w:rFonts w:ascii="Cambria Math" w:hAnsi="Cambria Math" w:cs="Arial"/>
                                                  </w:rPr>
                                                  <m:t>1+</m:t>
                                                </m:r>
                                                <m:sSub>
                                                  <m:sSubPr>
                                                    <m:ctrlPr>
                                                      <w:rPr>
                                                        <w:rFonts w:ascii="Cambria Math" w:hAnsi="Cambria Math" w:cs="Arial"/>
                                                        <w:b/>
                                                        <w:bCs/>
                                                        <w:i/>
                                                      </w:rPr>
                                                    </m:ctrlPr>
                                                  </m:sSubPr>
                                                  <m:e>
                                                    <m:r>
                                                      <m:rPr>
                                                        <m:sty m:val="bi"/>
                                                      </m:rPr>
                                                      <w:rPr>
                                                        <w:rFonts w:ascii="Cambria Math" w:hAnsi="Cambria Math" w:cs="Arial"/>
                                                      </w:rPr>
                                                      <m:t>d</m:t>
                                                    </m:r>
                                                  </m:e>
                                                  <m:sub>
                                                    <m:r>
                                                      <m:rPr>
                                                        <m:sty m:val="bi"/>
                                                      </m:rPr>
                                                      <w:rPr>
                                                        <w:rFonts w:ascii="Cambria Math" w:hAnsi="Cambria Math" w:cs="Arial"/>
                                                      </w:rPr>
                                                      <m:t>r</m:t>
                                                    </m:r>
                                                  </m:sub>
                                                </m:sSub>
                                              </m:e>
                                            </m:d>
                                          </m:e>
                                          <m:sup>
                                            <m:r>
                                              <m:rPr>
                                                <m:sty m:val="bi"/>
                                              </m:rPr>
                                              <w:rPr>
                                                <w:rFonts w:ascii="Cambria Math" w:hAnsi="Cambria Math" w:cs="Arial"/>
                                              </w:rPr>
                                              <m:t>T-S</m:t>
                                            </m:r>
                                          </m:sup>
                                        </m:sSup>
                                      </m:den>
                                    </m:f>
                                    <m:ctrlPr>
                                      <w:rPr>
                                        <w:rFonts w:ascii="Cambria Math" w:hAnsi="Cambria Math" w:cs="Arial"/>
                                        <w:b/>
                                        <w:bCs/>
                                        <w:i/>
                                      </w:rPr>
                                    </m:ctrlPr>
                                  </m:e>
                                </m:d>
                              </m:e>
                            </m:nary>
                          </m:e>
                        </m:eqArr>
                      </m:e>
                    </m:d>
                  </m:e>
                </m:func>
              </m:oMath>
            </m:oMathPara>
          </w:p>
          <w:p w14:paraId="2737F662" w14:textId="77777777" w:rsidR="00DA7E40" w:rsidRPr="00D800F0" w:rsidRDefault="00DA7E40" w:rsidP="0000614D">
            <w:pPr>
              <w:jc w:val="center"/>
              <w:rPr>
                <w:rFonts w:ascii="Arial" w:hAnsi="Arial" w:cs="Arial"/>
                <w:bCs/>
              </w:rPr>
            </w:pPr>
          </w:p>
        </w:tc>
        <w:tc>
          <w:tcPr>
            <w:tcW w:w="990" w:type="dxa"/>
            <w:vAlign w:val="center"/>
          </w:tcPr>
          <w:p w14:paraId="28F3D95B" w14:textId="77777777" w:rsidR="00DA7E40" w:rsidRPr="00D800F0" w:rsidRDefault="00DA7E40" w:rsidP="0000614D">
            <w:pPr>
              <w:pStyle w:val="Caption"/>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E</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1</w:t>
            </w:r>
            <w:r w:rsidRPr="00D800F0">
              <w:rPr>
                <w:rFonts w:ascii="Arial" w:hAnsi="Arial" w:cs="Arial"/>
                <w:noProof/>
              </w:rPr>
              <w:fldChar w:fldCharType="end"/>
            </w:r>
            <w:r w:rsidRPr="00D800F0">
              <w:rPr>
                <w:rFonts w:ascii="Arial" w:hAnsi="Arial" w:cs="Arial"/>
              </w:rPr>
              <w:t>)</w:t>
            </w:r>
          </w:p>
        </w:tc>
      </w:tr>
    </w:tbl>
    <w:p w14:paraId="75CCEE26" w14:textId="77777777" w:rsidR="00DA7E40" w:rsidRPr="00D800F0" w:rsidRDefault="00DA7E40" w:rsidP="00DA7E40">
      <w:pPr>
        <w:ind w:firstLine="720"/>
        <w:rPr>
          <w:rFonts w:ascii="Arial" w:eastAsiaTheme="minorEastAsia" w:hAnsi="Arial" w:cs="Arial"/>
          <w:lang w:eastAsia="en-GB"/>
        </w:rPr>
      </w:pPr>
      <m:oMath>
        <m:r>
          <m:rPr>
            <m:sty m:val="bi"/>
          </m:rPr>
          <w:rPr>
            <w:rFonts w:ascii="Cambria Math" w:eastAsiaTheme="minorEastAsia" w:hAnsi="Cambria Math" w:cs="Arial"/>
            <w:lang w:eastAsia="en-GB"/>
          </w:rPr>
          <m:t>48</m:t>
        </m:r>
        <m:r>
          <m:rPr>
            <m:sty m:val="bi"/>
          </m:rPr>
          <w:rPr>
            <w:rFonts w:ascii="Cambria Math" w:eastAsiaTheme="minorEastAsia" w:hAnsi="Cambria Math" w:cs="Arial"/>
            <w:lang w:eastAsia="en-GB"/>
          </w:rPr>
          <m:t>E</m:t>
        </m:r>
      </m:oMath>
      <w:r w:rsidRPr="00D800F0">
        <w:rPr>
          <w:rFonts w:ascii="Arial" w:eastAsiaTheme="minorEastAsia" w:hAnsi="Arial" w:cs="Arial"/>
          <w:b/>
          <w:bCs/>
          <w:lang w:eastAsia="en-GB"/>
        </w:rPr>
        <w:t xml:space="preserve"> </w:t>
      </w:r>
      <w:r w:rsidRPr="00D800F0">
        <w:rPr>
          <w:rFonts w:ascii="Arial" w:eastAsiaTheme="minorEastAsia" w:hAnsi="Arial" w:cs="Arial"/>
          <w:lang w:eastAsia="en-GB"/>
        </w:rPr>
        <w:t xml:space="preserve">credits are redeemed at the start of operation and are discounted to the present value. We assume </w:t>
      </w:r>
      <m:oMath>
        <m:r>
          <m:rPr>
            <m:sty m:val="bi"/>
          </m:rPr>
          <w:rPr>
            <w:rFonts w:ascii="Cambria Math" w:eastAsiaTheme="minorEastAsia" w:hAnsi="Cambria Math" w:cs="Arial"/>
            <w:lang w:eastAsia="en-GB"/>
          </w:rPr>
          <m:t>48</m:t>
        </m:r>
        <m:r>
          <m:rPr>
            <m:sty m:val="bi"/>
          </m:rPr>
          <w:rPr>
            <w:rFonts w:ascii="Cambria Math" w:eastAsiaTheme="minorEastAsia" w:hAnsi="Cambria Math" w:cs="Arial"/>
            <w:lang w:eastAsia="en-GB"/>
          </w:rPr>
          <m:t>E</m:t>
        </m:r>
      </m:oMath>
      <w:r w:rsidRPr="00D800F0">
        <w:rPr>
          <w:rFonts w:ascii="Arial" w:eastAsiaTheme="minorEastAsia" w:hAnsi="Arial" w:cs="Arial"/>
          <w:b/>
          <w:bCs/>
          <w:lang w:eastAsia="en-GB"/>
        </w:rPr>
        <w:t xml:space="preserve"> </w:t>
      </w:r>
      <w:r w:rsidRPr="00D800F0">
        <w:rPr>
          <w:rFonts w:ascii="Arial" w:eastAsiaTheme="minorEastAsia" w:hAnsi="Arial" w:cs="Arial"/>
          <w:lang w:eastAsia="en-GB"/>
        </w:rPr>
        <w:t>credits also cover investments in the battery system.</w:t>
      </w:r>
    </w:p>
    <w:p w14:paraId="51D922B0" w14:textId="39A7EA2A" w:rsidR="00DA7E40" w:rsidRPr="00D800F0" w:rsidRDefault="00DA7E40" w:rsidP="00DA7E40">
      <w:pPr>
        <w:ind w:firstLine="720"/>
        <w:rPr>
          <w:rFonts w:ascii="Arial" w:eastAsiaTheme="minorEastAsia" w:hAnsi="Arial" w:cs="Arial"/>
          <w:lang w:eastAsia="en-GB"/>
        </w:rPr>
      </w:pPr>
      <m:oMath>
        <m:r>
          <m:rPr>
            <m:sty m:val="bi"/>
          </m:rPr>
          <w:rPr>
            <w:rFonts w:ascii="Cambria Math" w:hAnsi="Cambria Math" w:cs="Arial"/>
            <w:lang w:eastAsia="en-GB"/>
          </w:rPr>
          <m:t>45</m:t>
        </m:r>
        <m:r>
          <m:rPr>
            <m:sty m:val="bi"/>
          </m:rPr>
          <w:rPr>
            <w:rFonts w:ascii="Cambria Math" w:hAnsi="Cambria Math" w:cs="Arial"/>
            <w:lang w:eastAsia="en-GB"/>
          </w:rPr>
          <m:t>Y</m:t>
        </m:r>
      </m:oMath>
      <w:r w:rsidRPr="00D800F0">
        <w:rPr>
          <w:rFonts w:ascii="Arial" w:eastAsiaTheme="minorEastAsia" w:hAnsi="Arial" w:cs="Arial"/>
          <w:b/>
          <w:bCs/>
          <w:lang w:eastAsia="en-GB"/>
        </w:rPr>
        <w:t xml:space="preserve"> </w:t>
      </w:r>
      <w:r w:rsidRPr="00D800F0">
        <w:rPr>
          <w:rFonts w:ascii="Arial" w:eastAsiaTheme="minorEastAsia" w:hAnsi="Arial" w:cs="Arial"/>
          <w:lang w:eastAsia="en-GB"/>
        </w:rPr>
        <w:t xml:space="preserve">credits are spread out across time, hence the summation term. </w:t>
      </w:r>
      <m:oMath>
        <m:r>
          <m:rPr>
            <m:sty m:val="bi"/>
          </m:rPr>
          <w:rPr>
            <w:rFonts w:ascii="Cambria Math" w:hAnsi="Cambria Math" w:cs="Arial"/>
            <w:lang w:eastAsia="en-GB"/>
          </w:rPr>
          <m:t>45</m:t>
        </m:r>
        <m:r>
          <m:rPr>
            <m:sty m:val="bi"/>
          </m:rPr>
          <w:rPr>
            <w:rFonts w:ascii="Cambria Math" w:hAnsi="Cambria Math" w:cs="Arial"/>
            <w:lang w:eastAsia="en-GB"/>
          </w:rPr>
          <m:t>Y</m:t>
        </m:r>
        <m:d>
          <m:dPr>
            <m:endChr m:val="|"/>
            <m:ctrlPr>
              <w:rPr>
                <w:rFonts w:ascii="Cambria Math" w:hAnsi="Cambria Math" w:cs="Arial"/>
                <w:b/>
                <w:bCs/>
                <w:i/>
                <w:lang w:eastAsia="en-GB"/>
              </w:rPr>
            </m:ctrlPr>
          </m:dPr>
          <m:e>
            <m:r>
              <m:rPr>
                <m:sty m:val="bi"/>
              </m:rPr>
              <w:rPr>
                <w:rFonts w:ascii="Cambria Math" w:hAnsi="Cambria Math" w:cs="Arial"/>
                <w:lang w:eastAsia="en-GB"/>
              </w:rPr>
              <m:t xml:space="preserve">T </m:t>
            </m:r>
          </m:e>
        </m:d>
        <m:r>
          <m:rPr>
            <m:sty m:val="bi"/>
          </m:rPr>
          <w:rPr>
            <w:rFonts w:ascii="Cambria Math" w:hAnsi="Cambria Math" w:cs="Arial"/>
            <w:lang w:eastAsia="en-GB"/>
          </w:rPr>
          <m:t>S+C≤T≤S+C+</m:t>
        </m:r>
        <m:sSub>
          <m:sSubPr>
            <m:ctrlPr>
              <w:rPr>
                <w:rFonts w:ascii="Cambria Math" w:hAnsi="Cambria Math" w:cs="Arial"/>
                <w:b/>
                <w:bCs/>
                <w:i/>
                <w:lang w:eastAsia="en-GB"/>
              </w:rPr>
            </m:ctrlPr>
          </m:sSubPr>
          <m:e>
            <m:r>
              <m:rPr>
                <m:sty m:val="bi"/>
              </m:rPr>
              <w:rPr>
                <w:rFonts w:ascii="Cambria Math" w:hAnsi="Cambria Math" w:cs="Arial"/>
                <w:lang w:eastAsia="en-GB"/>
              </w:rPr>
              <m:t>E</m:t>
            </m:r>
          </m:e>
          <m:sub>
            <m:r>
              <m:rPr>
                <m:sty m:val="bi"/>
              </m:rPr>
              <w:rPr>
                <w:rFonts w:ascii="Cambria Math" w:hAnsi="Cambria Math" w:cs="Arial"/>
                <w:lang w:eastAsia="en-GB"/>
              </w:rPr>
              <m:t>45</m:t>
            </m:r>
            <m:r>
              <m:rPr>
                <m:sty m:val="bi"/>
              </m:rPr>
              <w:rPr>
                <w:rFonts w:ascii="Cambria Math" w:hAnsi="Cambria Math" w:cs="Arial"/>
                <w:lang w:eastAsia="en-GB"/>
              </w:rPr>
              <m:t>Y</m:t>
            </m:r>
          </m:sub>
        </m:sSub>
        <m:r>
          <m:rPr>
            <m:sty m:val="bi"/>
          </m:rPr>
          <w:rPr>
            <w:rFonts w:ascii="Cambria Math" w:hAnsi="Cambria Math" w:cs="Arial"/>
            <w:lang w:eastAsia="en-GB"/>
          </w:rPr>
          <m:t>)</m:t>
        </m:r>
      </m:oMath>
      <w:r w:rsidRPr="00D800F0">
        <w:rPr>
          <w:rFonts w:ascii="Arial" w:eastAsiaTheme="minorEastAsia" w:hAnsi="Arial" w:cs="Arial"/>
          <w:b/>
          <w:bCs/>
          <w:lang w:eastAsia="en-GB"/>
        </w:rPr>
        <w:t xml:space="preserve"> </w:t>
      </w:r>
      <w:r w:rsidRPr="00D800F0">
        <w:rPr>
          <w:rFonts w:ascii="Arial" w:eastAsiaTheme="minorEastAsia" w:hAnsi="Arial" w:cs="Arial"/>
          <w:lang w:eastAsia="en-GB"/>
        </w:rPr>
        <w:t xml:space="preserve">is non-zero and zero whenever </w:t>
      </w:r>
      <m:oMath>
        <m:r>
          <m:rPr>
            <m:sty m:val="bi"/>
          </m:rPr>
          <w:rPr>
            <w:rFonts w:ascii="Cambria Math" w:eastAsiaTheme="minorEastAsia" w:hAnsi="Cambria Math" w:cs="Arial"/>
            <w:lang w:eastAsia="en-GB"/>
          </w:rPr>
          <m:t xml:space="preserve">T </m:t>
        </m:r>
        <m:r>
          <w:rPr>
            <w:rFonts w:ascii="Cambria Math" w:eastAsiaTheme="minorEastAsia" w:hAnsi="Cambria Math" w:cs="Arial"/>
            <w:lang w:eastAsia="en-GB"/>
          </w:rPr>
          <m:t>∉</m:t>
        </m:r>
        <m:r>
          <m:rPr>
            <m:sty m:val="bi"/>
          </m:rPr>
          <w:rPr>
            <w:rFonts w:ascii="Cambria Math" w:eastAsiaTheme="minorEastAsia" w:hAnsi="Cambria Math" w:cs="Arial"/>
            <w:lang w:eastAsia="en-GB"/>
          </w:rPr>
          <m:t>S</m:t>
        </m:r>
        <m:r>
          <m:rPr>
            <m:sty m:val="bi"/>
          </m:rPr>
          <w:rPr>
            <w:rFonts w:ascii="Cambria Math" w:hAnsi="Cambria Math" w:cs="Arial"/>
            <w:lang w:eastAsia="en-GB"/>
          </w:rPr>
          <m:t>+C≤T≤S+C+</m:t>
        </m:r>
        <m:sSub>
          <m:sSubPr>
            <m:ctrlPr>
              <w:rPr>
                <w:rFonts w:ascii="Cambria Math" w:hAnsi="Cambria Math" w:cs="Arial"/>
                <w:b/>
                <w:bCs/>
                <w:i/>
                <w:lang w:eastAsia="en-GB"/>
              </w:rPr>
            </m:ctrlPr>
          </m:sSubPr>
          <m:e>
            <m:r>
              <m:rPr>
                <m:sty m:val="bi"/>
              </m:rPr>
              <w:rPr>
                <w:rFonts w:ascii="Cambria Math" w:hAnsi="Cambria Math" w:cs="Arial"/>
                <w:lang w:eastAsia="en-GB"/>
              </w:rPr>
              <m:t>E</m:t>
            </m:r>
          </m:e>
          <m:sub>
            <m:r>
              <m:rPr>
                <m:sty m:val="bi"/>
              </m:rPr>
              <w:rPr>
                <w:rFonts w:ascii="Cambria Math" w:hAnsi="Cambria Math" w:cs="Arial"/>
                <w:lang w:eastAsia="en-GB"/>
              </w:rPr>
              <m:t>45</m:t>
            </m:r>
            <m:r>
              <m:rPr>
                <m:sty m:val="bi"/>
              </m:rPr>
              <w:rPr>
                <w:rFonts w:ascii="Cambria Math" w:hAnsi="Cambria Math" w:cs="Arial"/>
                <w:lang w:eastAsia="en-GB"/>
              </w:rPr>
              <m:t>Y</m:t>
            </m:r>
          </m:sub>
        </m:sSub>
      </m:oMath>
      <w:r w:rsidRPr="00D800F0">
        <w:rPr>
          <w:rFonts w:ascii="Arial" w:eastAsiaTheme="minorEastAsia" w:hAnsi="Arial" w:cs="Arial"/>
          <w:lang w:eastAsia="en-GB"/>
        </w:rPr>
        <w:t xml:space="preserve">. The lifetime of 45Y credits, </w:t>
      </w:r>
      <m:oMath>
        <m:sSub>
          <m:sSubPr>
            <m:ctrlPr>
              <w:rPr>
                <w:rFonts w:ascii="Cambria Math" w:hAnsi="Cambria Math" w:cs="Arial"/>
                <w:b/>
                <w:bCs/>
                <w:i/>
                <w:lang w:eastAsia="en-GB"/>
              </w:rPr>
            </m:ctrlPr>
          </m:sSubPr>
          <m:e>
            <m:r>
              <m:rPr>
                <m:sty m:val="bi"/>
              </m:rPr>
              <w:rPr>
                <w:rFonts w:ascii="Cambria Math" w:hAnsi="Cambria Math" w:cs="Arial"/>
                <w:lang w:eastAsia="en-GB"/>
              </w:rPr>
              <m:t>E</m:t>
            </m:r>
          </m:e>
          <m:sub>
            <m:r>
              <m:rPr>
                <m:sty m:val="bi"/>
              </m:rPr>
              <w:rPr>
                <w:rFonts w:ascii="Cambria Math" w:hAnsi="Cambria Math" w:cs="Arial"/>
                <w:lang w:eastAsia="en-GB"/>
              </w:rPr>
              <m:t>45</m:t>
            </m:r>
            <m:r>
              <m:rPr>
                <m:sty m:val="bi"/>
              </m:rPr>
              <w:rPr>
                <w:rFonts w:ascii="Cambria Math" w:hAnsi="Cambria Math" w:cs="Arial"/>
                <w:lang w:eastAsia="en-GB"/>
              </w:rPr>
              <m:t>Y</m:t>
            </m:r>
          </m:sub>
        </m:sSub>
      </m:oMath>
      <w:r w:rsidRPr="00D800F0">
        <w:rPr>
          <w:rFonts w:ascii="Arial" w:eastAsiaTheme="minorEastAsia" w:hAnsi="Arial" w:cs="Arial"/>
          <w:b/>
          <w:bCs/>
          <w:lang w:eastAsia="en-GB"/>
        </w:rPr>
        <w:t>,</w:t>
      </w:r>
      <w:r w:rsidRPr="00D800F0">
        <w:rPr>
          <w:rFonts w:ascii="Arial" w:eastAsiaTheme="minorEastAsia" w:hAnsi="Arial" w:cs="Arial"/>
          <w:lang w:eastAsia="en-GB"/>
        </w:rPr>
        <w:t xml:space="preserve">  is determined to be when the grid emits 75% less than the 2022 grid. We first estimated this through </w:t>
      </w:r>
      <m:oMath>
        <m:f>
          <m:fPr>
            <m:ctrlPr>
              <w:rPr>
                <w:rFonts w:ascii="Cambria Math" w:eastAsiaTheme="minorEastAsia" w:hAnsi="Cambria Math" w:cs="Arial"/>
                <w:b/>
                <w:bCs/>
                <w:i/>
              </w:rPr>
            </m:ctrlPr>
          </m:fPr>
          <m:num>
            <m:r>
              <m:rPr>
                <m:sty m:val="bi"/>
              </m:rPr>
              <w:rPr>
                <w:rFonts w:ascii="Cambria Math" w:hAnsi="Cambria Math" w:cs="Arial"/>
              </w:rPr>
              <m:t>C</m:t>
            </m:r>
            <m:sSub>
              <m:sSubPr>
                <m:ctrlPr>
                  <w:rPr>
                    <w:rFonts w:ascii="Cambria Math" w:hAnsi="Cambria Math" w:cs="Arial"/>
                    <w:b/>
                    <w:bCs/>
                  </w:rPr>
                </m:ctrlPr>
              </m:sSubPr>
              <m:e>
                <m:r>
                  <m:rPr>
                    <m:sty m:val="bi"/>
                  </m:rPr>
                  <w:rPr>
                    <w:rFonts w:ascii="Cambria Math" w:hAnsi="Cambria Math" w:cs="Arial"/>
                  </w:rPr>
                  <m:t>I</m:t>
                </m:r>
              </m:e>
              <m:sub>
                <m:r>
                  <m:rPr>
                    <m:sty m:val="bi"/>
                  </m:rPr>
                  <w:rPr>
                    <w:rFonts w:ascii="Cambria Math" w:hAnsi="Cambria Math" w:cs="Arial"/>
                  </w:rPr>
                  <m:t>AP AEC</m:t>
                </m:r>
              </m:sub>
            </m:sSub>
            <m:d>
              <m:dPr>
                <m:ctrlPr>
                  <w:rPr>
                    <w:rFonts w:ascii="Cambria Math" w:hAnsi="Cambria Math" w:cs="Arial"/>
                    <w:b/>
                    <w:bCs/>
                  </w:rPr>
                </m:ctrlPr>
              </m:dPr>
              <m:e>
                <m:r>
                  <m:rPr>
                    <m:sty m:val="bi"/>
                  </m:rPr>
                  <w:rPr>
                    <w:rFonts w:ascii="Cambria Math" w:hAnsi="Cambria Math" w:cs="Arial"/>
                  </w:rPr>
                  <m:t>T</m:t>
                </m:r>
              </m:e>
            </m:d>
            <m:ctrlPr>
              <w:rPr>
                <w:rFonts w:ascii="Cambria Math" w:eastAsiaTheme="minorEastAsia" w:hAnsi="Cambria Math" w:cs="Arial"/>
                <w:i/>
                <w:lang w:eastAsia="en-GB"/>
              </w:rPr>
            </m:ctrlPr>
          </m:num>
          <m:den>
            <m:r>
              <m:rPr>
                <m:sty m:val="bi"/>
              </m:rPr>
              <w:rPr>
                <w:rFonts w:ascii="Cambria Math" w:hAnsi="Cambria Math" w:cs="Arial"/>
              </w:rPr>
              <m:t>C</m:t>
            </m:r>
            <m:sSub>
              <m:sSubPr>
                <m:ctrlPr>
                  <w:rPr>
                    <w:rFonts w:ascii="Cambria Math" w:hAnsi="Cambria Math" w:cs="Arial"/>
                    <w:b/>
                    <w:bCs/>
                  </w:rPr>
                </m:ctrlPr>
              </m:sSubPr>
              <m:e>
                <m:r>
                  <m:rPr>
                    <m:sty m:val="bi"/>
                  </m:rPr>
                  <w:rPr>
                    <w:rFonts w:ascii="Cambria Math" w:hAnsi="Cambria Math" w:cs="Arial"/>
                  </w:rPr>
                  <m:t>I</m:t>
                </m:r>
              </m:e>
              <m:sub>
                <m:r>
                  <m:rPr>
                    <m:sty m:val="bi"/>
                  </m:rPr>
                  <w:rPr>
                    <w:rFonts w:ascii="Cambria Math" w:hAnsi="Cambria Math" w:cs="Arial"/>
                  </w:rPr>
                  <m:t>AP AEC</m:t>
                </m:r>
              </m:sub>
            </m:sSub>
            <m:r>
              <m:rPr>
                <m:sty m:val="b"/>
              </m:rPr>
              <w:rPr>
                <w:rFonts w:ascii="Cambria Math" w:hAnsi="Cambria Math" w:cs="Arial"/>
              </w:rPr>
              <m:t>(</m:t>
            </m:r>
            <m:r>
              <m:rPr>
                <m:sty m:val="bi"/>
              </m:rPr>
              <w:rPr>
                <w:rFonts w:ascii="Cambria Math" w:hAnsi="Cambria Math" w:cs="Arial"/>
              </w:rPr>
              <m:t>T=0</m:t>
            </m:r>
            <m:r>
              <m:rPr>
                <m:sty m:val="b"/>
              </m:rPr>
              <w:rPr>
                <w:rFonts w:ascii="Cambria Math" w:hAnsi="Cambria Math" w:cs="Arial"/>
              </w:rPr>
              <m:t>)</m:t>
            </m:r>
          </m:den>
        </m:f>
        <m:r>
          <m:rPr>
            <m:sty m:val="bi"/>
          </m:rPr>
          <w:rPr>
            <w:rFonts w:ascii="Cambria Math" w:eastAsiaTheme="minorEastAsia" w:hAnsi="Cambria Math" w:cs="Arial"/>
          </w:rPr>
          <m:t>=0.25</m:t>
        </m:r>
      </m:oMath>
      <w:r w:rsidRPr="00D800F0">
        <w:rPr>
          <w:rFonts w:ascii="Arial" w:eastAsiaTheme="minorEastAsia" w:hAnsi="Arial" w:cs="Arial"/>
          <w:b/>
          <w:bCs/>
        </w:rPr>
        <w:t xml:space="preserve"> </w:t>
      </w:r>
      <w:r w:rsidRPr="00D800F0">
        <w:rPr>
          <w:rFonts w:ascii="Arial" w:eastAsiaTheme="minorEastAsia" w:hAnsi="Arial" w:cs="Arial"/>
        </w:rPr>
        <w:t xml:space="preserve">since </w:t>
      </w:r>
      <m:oMath>
        <m:f>
          <m:fPr>
            <m:ctrlPr>
              <w:rPr>
                <w:rFonts w:ascii="Cambria Math" w:eastAsiaTheme="minorEastAsia" w:hAnsi="Cambria Math" w:cs="Arial"/>
                <w:b/>
                <w:bCs/>
                <w:i/>
              </w:rPr>
            </m:ctrlPr>
          </m:fPr>
          <m:num>
            <m:r>
              <m:rPr>
                <m:sty m:val="bi"/>
              </m:rPr>
              <w:rPr>
                <w:rFonts w:ascii="Cambria Math" w:eastAsiaTheme="minorEastAsia" w:hAnsi="Cambria Math" w:cs="Arial"/>
              </w:rPr>
              <m:t>C</m:t>
            </m:r>
            <m:sSub>
              <m:sSubPr>
                <m:ctrlPr>
                  <w:rPr>
                    <w:rFonts w:ascii="Cambria Math" w:eastAsiaTheme="minorEastAsia" w:hAnsi="Cambria Math" w:cs="Arial"/>
                    <w:b/>
                    <w:bCs/>
                    <w:i/>
                  </w:rPr>
                </m:ctrlPr>
              </m:sSubPr>
              <m:e>
                <m:r>
                  <m:rPr>
                    <m:sty m:val="bi"/>
                  </m:rPr>
                  <w:rPr>
                    <w:rFonts w:ascii="Cambria Math" w:eastAsiaTheme="minorEastAsia" w:hAnsi="Cambria Math" w:cs="Arial"/>
                  </w:rPr>
                  <m:t>I</m:t>
                </m:r>
              </m:e>
              <m:sub>
                <m:r>
                  <m:rPr>
                    <m:sty m:val="bi"/>
                  </m:rPr>
                  <w:rPr>
                    <w:rFonts w:ascii="Cambria Math" w:eastAsiaTheme="minorEastAsia" w:hAnsi="Cambria Math" w:cs="Arial"/>
                  </w:rPr>
                  <m:t>grid</m:t>
                </m:r>
              </m:sub>
            </m:sSub>
            <m:d>
              <m:dPr>
                <m:ctrlPr>
                  <w:rPr>
                    <w:rFonts w:ascii="Cambria Math" w:eastAsiaTheme="minorEastAsia" w:hAnsi="Cambria Math" w:cs="Arial"/>
                    <w:b/>
                    <w:bCs/>
                    <w:i/>
                  </w:rPr>
                </m:ctrlPr>
              </m:dPr>
              <m:e>
                <m:r>
                  <m:rPr>
                    <m:sty m:val="bi"/>
                  </m:rPr>
                  <w:rPr>
                    <w:rFonts w:ascii="Cambria Math" w:eastAsiaTheme="minorEastAsia" w:hAnsi="Cambria Math" w:cs="Arial"/>
                  </w:rPr>
                  <m:t>T</m:t>
                </m:r>
              </m:e>
            </m:d>
          </m:num>
          <m:den>
            <m:r>
              <m:rPr>
                <m:sty m:val="bi"/>
              </m:rPr>
              <w:rPr>
                <w:rFonts w:ascii="Cambria Math" w:eastAsiaTheme="minorEastAsia" w:hAnsi="Cambria Math" w:cs="Arial"/>
              </w:rPr>
              <m:t>C</m:t>
            </m:r>
            <m:sSub>
              <m:sSubPr>
                <m:ctrlPr>
                  <w:rPr>
                    <w:rFonts w:ascii="Cambria Math" w:eastAsiaTheme="minorEastAsia" w:hAnsi="Cambria Math" w:cs="Arial"/>
                    <w:b/>
                    <w:bCs/>
                    <w:i/>
                  </w:rPr>
                </m:ctrlPr>
              </m:sSubPr>
              <m:e>
                <m:r>
                  <m:rPr>
                    <m:sty m:val="bi"/>
                  </m:rPr>
                  <w:rPr>
                    <w:rFonts w:ascii="Cambria Math" w:eastAsiaTheme="minorEastAsia" w:hAnsi="Cambria Math" w:cs="Arial"/>
                  </w:rPr>
                  <m:t>I</m:t>
                </m:r>
              </m:e>
              <m:sub>
                <m:r>
                  <m:rPr>
                    <m:sty m:val="bi"/>
                  </m:rPr>
                  <w:rPr>
                    <w:rFonts w:ascii="Cambria Math" w:eastAsiaTheme="minorEastAsia" w:hAnsi="Cambria Math" w:cs="Arial"/>
                  </w:rPr>
                  <m:t>grid</m:t>
                </m:r>
              </m:sub>
            </m:sSub>
            <m:r>
              <m:rPr>
                <m:sty m:val="bi"/>
              </m:rPr>
              <w:rPr>
                <w:rFonts w:ascii="Cambria Math" w:eastAsiaTheme="minorEastAsia" w:hAnsi="Cambria Math" w:cs="Arial"/>
              </w:rPr>
              <m:t>(T=0)</m:t>
            </m:r>
          </m:den>
        </m:f>
        <m:r>
          <m:rPr>
            <m:sty m:val="bi"/>
          </m:rPr>
          <w:rPr>
            <w:rFonts w:ascii="Cambria Math" w:eastAsiaTheme="minorEastAsia" w:hAnsi="Cambria Math" w:cs="Arial"/>
          </w:rPr>
          <m:t>∝</m:t>
        </m:r>
        <m:f>
          <m:fPr>
            <m:ctrlPr>
              <w:rPr>
                <w:rFonts w:ascii="Cambria Math" w:eastAsiaTheme="minorEastAsia" w:hAnsi="Cambria Math" w:cs="Arial"/>
                <w:b/>
                <w:bCs/>
                <w:i/>
              </w:rPr>
            </m:ctrlPr>
          </m:fPr>
          <m:num>
            <m:r>
              <m:rPr>
                <m:sty m:val="bi"/>
              </m:rPr>
              <w:rPr>
                <w:rFonts w:ascii="Cambria Math" w:hAnsi="Cambria Math" w:cs="Arial"/>
              </w:rPr>
              <m:t>C</m:t>
            </m:r>
            <m:sSub>
              <m:sSubPr>
                <m:ctrlPr>
                  <w:rPr>
                    <w:rFonts w:ascii="Cambria Math" w:hAnsi="Cambria Math" w:cs="Arial"/>
                    <w:b/>
                    <w:bCs/>
                  </w:rPr>
                </m:ctrlPr>
              </m:sSubPr>
              <m:e>
                <m:r>
                  <m:rPr>
                    <m:sty m:val="bi"/>
                  </m:rPr>
                  <w:rPr>
                    <w:rFonts w:ascii="Cambria Math" w:hAnsi="Cambria Math" w:cs="Arial"/>
                  </w:rPr>
                  <m:t>I</m:t>
                </m:r>
              </m:e>
              <m:sub>
                <m:r>
                  <m:rPr>
                    <m:sty m:val="bi"/>
                  </m:rPr>
                  <w:rPr>
                    <w:rFonts w:ascii="Cambria Math" w:hAnsi="Cambria Math" w:cs="Arial"/>
                  </w:rPr>
                  <m:t>AP AEC</m:t>
                </m:r>
              </m:sub>
            </m:sSub>
            <m:d>
              <m:dPr>
                <m:ctrlPr>
                  <w:rPr>
                    <w:rFonts w:ascii="Cambria Math" w:hAnsi="Cambria Math" w:cs="Arial"/>
                    <w:b/>
                    <w:bCs/>
                  </w:rPr>
                </m:ctrlPr>
              </m:dPr>
              <m:e>
                <m:r>
                  <m:rPr>
                    <m:sty m:val="bi"/>
                  </m:rPr>
                  <w:rPr>
                    <w:rFonts w:ascii="Cambria Math" w:hAnsi="Cambria Math" w:cs="Arial"/>
                  </w:rPr>
                  <m:t>T</m:t>
                </m:r>
              </m:e>
            </m:d>
            <m:ctrlPr>
              <w:rPr>
                <w:rFonts w:ascii="Cambria Math" w:eastAsiaTheme="minorEastAsia" w:hAnsi="Cambria Math" w:cs="Arial"/>
                <w:b/>
                <w:bCs/>
                <w:i/>
                <w:lang w:eastAsia="en-GB"/>
              </w:rPr>
            </m:ctrlPr>
          </m:num>
          <m:den>
            <m:r>
              <m:rPr>
                <m:sty m:val="bi"/>
              </m:rPr>
              <w:rPr>
                <w:rFonts w:ascii="Cambria Math" w:hAnsi="Cambria Math" w:cs="Arial"/>
              </w:rPr>
              <m:t>C</m:t>
            </m:r>
            <m:sSub>
              <m:sSubPr>
                <m:ctrlPr>
                  <w:rPr>
                    <w:rFonts w:ascii="Cambria Math" w:hAnsi="Cambria Math" w:cs="Arial"/>
                    <w:b/>
                    <w:bCs/>
                  </w:rPr>
                </m:ctrlPr>
              </m:sSubPr>
              <m:e>
                <m:r>
                  <m:rPr>
                    <m:sty m:val="bi"/>
                  </m:rPr>
                  <w:rPr>
                    <w:rFonts w:ascii="Cambria Math" w:hAnsi="Cambria Math" w:cs="Arial"/>
                  </w:rPr>
                  <m:t>I</m:t>
                </m:r>
              </m:e>
              <m:sub>
                <m:r>
                  <m:rPr>
                    <m:sty m:val="bi"/>
                  </m:rPr>
                  <w:rPr>
                    <w:rFonts w:ascii="Cambria Math" w:hAnsi="Cambria Math" w:cs="Arial"/>
                  </w:rPr>
                  <m:t>AP AEC</m:t>
                </m:r>
              </m:sub>
            </m:sSub>
            <m:r>
              <m:rPr>
                <m:sty m:val="b"/>
              </m:rPr>
              <w:rPr>
                <w:rFonts w:ascii="Cambria Math" w:hAnsi="Cambria Math" w:cs="Arial"/>
              </w:rPr>
              <m:t>(</m:t>
            </m:r>
            <m:r>
              <m:rPr>
                <m:sty m:val="bi"/>
              </m:rPr>
              <w:rPr>
                <w:rFonts w:ascii="Cambria Math" w:hAnsi="Cambria Math" w:cs="Arial"/>
              </w:rPr>
              <m:t>T=0</m:t>
            </m:r>
            <m:r>
              <m:rPr>
                <m:sty m:val="b"/>
              </m:rPr>
              <w:rPr>
                <w:rFonts w:ascii="Cambria Math" w:hAnsi="Cambria Math" w:cs="Arial"/>
              </w:rPr>
              <m:t>)</m:t>
            </m:r>
          </m:den>
        </m:f>
      </m:oMath>
      <w:r w:rsidRPr="00D800F0">
        <w:rPr>
          <w:rFonts w:ascii="Arial" w:eastAsiaTheme="minorEastAsia" w:hAnsi="Arial" w:cs="Arial"/>
          <w:b/>
          <w:bCs/>
        </w:rPr>
        <w:t xml:space="preserve"> </w:t>
      </w:r>
      <w:r w:rsidRPr="00D800F0">
        <w:rPr>
          <w:rFonts w:ascii="Arial" w:eastAsiaTheme="minorEastAsia" w:hAnsi="Arial" w:cs="Arial"/>
        </w:rPr>
        <w:t>because AP AEC’s CI only varies with electricity. We find that grid emissions, according to the AEO2023, do not reach that level until after 2050 (EIA, 2023</w:t>
      </w:r>
      <w:r w:rsidR="00A61D93" w:rsidRPr="00D800F0">
        <w:rPr>
          <w:rFonts w:ascii="Arial" w:eastAsiaTheme="minorEastAsia" w:hAnsi="Arial" w:cs="Arial"/>
        </w:rPr>
        <w:t>a</w:t>
      </w:r>
      <w:r w:rsidRPr="00D800F0">
        <w:rPr>
          <w:rFonts w:ascii="Arial" w:eastAsiaTheme="minorEastAsia" w:hAnsi="Arial" w:cs="Arial"/>
        </w:rPr>
        <w:t xml:space="preserve">). For simplicity, we assume </w:t>
      </w:r>
      <m:oMath>
        <m:r>
          <m:rPr>
            <m:sty m:val="bi"/>
          </m:rPr>
          <w:rPr>
            <w:rFonts w:ascii="Cambria Math" w:eastAsiaTheme="minorEastAsia" w:hAnsi="Cambria Math" w:cs="Arial"/>
          </w:rPr>
          <m:t>2023</m:t>
        </m:r>
        <m:r>
          <m:rPr>
            <m:sty m:val="bi"/>
          </m:rPr>
          <w:rPr>
            <w:rFonts w:ascii="Cambria Math" w:hAnsi="Cambria Math" w:cs="Arial"/>
            <w:lang w:eastAsia="en-GB"/>
          </w:rPr>
          <m:t>+</m:t>
        </m:r>
        <m:f>
          <m:fPr>
            <m:ctrlPr>
              <w:rPr>
                <w:rFonts w:ascii="Cambria Math" w:eastAsiaTheme="minorEastAsia" w:hAnsi="Cambria Math" w:cs="Arial"/>
                <w:b/>
                <w:bCs/>
                <w:i/>
                <w:lang w:eastAsia="en-GB"/>
              </w:rPr>
            </m:ctrlPr>
          </m:fPr>
          <m:num>
            <m:sSub>
              <m:sSubPr>
                <m:ctrlPr>
                  <w:rPr>
                    <w:rFonts w:ascii="Cambria Math" w:hAnsi="Cambria Math" w:cs="Arial"/>
                    <w:b/>
                    <w:bCs/>
                    <w:i/>
                    <w:lang w:eastAsia="en-GB"/>
                  </w:rPr>
                </m:ctrlPr>
              </m:sSubPr>
              <m:e>
                <m:r>
                  <m:rPr>
                    <m:sty m:val="bi"/>
                  </m:rPr>
                  <w:rPr>
                    <w:rFonts w:ascii="Cambria Math" w:hAnsi="Cambria Math" w:cs="Arial"/>
                    <w:lang w:eastAsia="en-GB"/>
                  </w:rPr>
                  <m:t>E</m:t>
                </m:r>
              </m:e>
              <m:sub>
                <m:r>
                  <m:rPr>
                    <m:sty m:val="bi"/>
                  </m:rPr>
                  <w:rPr>
                    <w:rFonts w:ascii="Cambria Math" w:hAnsi="Cambria Math" w:cs="Arial"/>
                    <w:lang w:eastAsia="en-GB"/>
                  </w:rPr>
                  <m:t>45</m:t>
                </m:r>
                <m:r>
                  <m:rPr>
                    <m:sty m:val="bi"/>
                  </m:rPr>
                  <w:rPr>
                    <w:rFonts w:ascii="Cambria Math" w:hAnsi="Cambria Math" w:cs="Arial"/>
                    <w:lang w:eastAsia="en-GB"/>
                  </w:rPr>
                  <m:t>Y</m:t>
                </m:r>
              </m:sub>
            </m:sSub>
            <m:r>
              <m:rPr>
                <m:sty m:val="bi"/>
              </m:rPr>
              <w:rPr>
                <w:rFonts w:ascii="Cambria Math" w:hAnsi="Cambria Math" w:cs="Arial"/>
                <w:lang w:eastAsia="en-GB"/>
              </w:rPr>
              <m:t>+S+C</m:t>
            </m:r>
          </m:num>
          <m:den>
            <m:r>
              <m:rPr>
                <m:sty m:val="bi"/>
              </m:rPr>
              <w:rPr>
                <w:rFonts w:ascii="Cambria Math" w:eastAsiaTheme="minorEastAsia" w:hAnsi="Cambria Math" w:cs="Arial"/>
                <w:lang w:eastAsia="en-GB"/>
              </w:rPr>
              <m:t>12</m:t>
            </m:r>
          </m:den>
        </m:f>
        <m:r>
          <m:rPr>
            <m:sty m:val="bi"/>
          </m:rPr>
          <w:rPr>
            <w:rFonts w:ascii="Cambria Math" w:eastAsiaTheme="minorEastAsia" w:hAnsi="Cambria Math" w:cs="Arial"/>
            <w:lang w:eastAsia="en-GB"/>
          </w:rPr>
          <m:t>=2050</m:t>
        </m:r>
      </m:oMath>
      <w:r w:rsidRPr="00D800F0">
        <w:rPr>
          <w:rFonts w:ascii="Arial" w:eastAsiaTheme="minorEastAsia" w:hAnsi="Arial" w:cs="Arial"/>
          <w:b/>
          <w:bCs/>
          <w:lang w:eastAsia="en-GB"/>
        </w:rPr>
        <w:t xml:space="preserve"> </w:t>
      </w:r>
      <w:r w:rsidRPr="00D800F0">
        <w:rPr>
          <w:rFonts w:ascii="Arial" w:eastAsiaTheme="minorEastAsia" w:hAnsi="Arial" w:cs="Arial"/>
          <w:lang w:eastAsia="en-GB"/>
        </w:rPr>
        <w:t xml:space="preserve">so that </w:t>
      </w:r>
      <m:oMath>
        <m:sSub>
          <m:sSubPr>
            <m:ctrlPr>
              <w:rPr>
                <w:rFonts w:ascii="Cambria Math" w:hAnsi="Cambria Math" w:cs="Arial"/>
                <w:b/>
                <w:bCs/>
                <w:i/>
                <w:lang w:eastAsia="en-GB"/>
              </w:rPr>
            </m:ctrlPr>
          </m:sSubPr>
          <m:e>
            <m:r>
              <m:rPr>
                <m:sty m:val="bi"/>
              </m:rPr>
              <w:rPr>
                <w:rFonts w:ascii="Cambria Math" w:hAnsi="Cambria Math" w:cs="Arial"/>
                <w:lang w:eastAsia="en-GB"/>
              </w:rPr>
              <m:t>E</m:t>
            </m:r>
          </m:e>
          <m:sub>
            <m:r>
              <m:rPr>
                <m:sty m:val="bi"/>
              </m:rPr>
              <w:rPr>
                <w:rFonts w:ascii="Cambria Math" w:hAnsi="Cambria Math" w:cs="Arial"/>
                <w:lang w:eastAsia="en-GB"/>
              </w:rPr>
              <m:t>45</m:t>
            </m:r>
            <m:r>
              <m:rPr>
                <m:sty m:val="bi"/>
              </m:rPr>
              <w:rPr>
                <w:rFonts w:ascii="Cambria Math" w:hAnsi="Cambria Math" w:cs="Arial"/>
                <w:lang w:eastAsia="en-GB"/>
              </w:rPr>
              <m:t>Y</m:t>
            </m:r>
          </m:sub>
        </m:sSub>
      </m:oMath>
      <w:r w:rsidRPr="00D800F0">
        <w:rPr>
          <w:rFonts w:ascii="Arial" w:eastAsiaTheme="minorEastAsia" w:hAnsi="Arial" w:cs="Arial"/>
          <w:b/>
          <w:bCs/>
          <w:lang w:eastAsia="en-GB"/>
        </w:rPr>
        <w:t xml:space="preserve"> </w:t>
      </w:r>
      <w:r w:rsidRPr="00D800F0">
        <w:rPr>
          <w:rFonts w:ascii="Arial" w:eastAsiaTheme="minorEastAsia" w:hAnsi="Arial" w:cs="Arial"/>
          <w:lang w:eastAsia="en-GB"/>
        </w:rPr>
        <w:t>is a free variable that ensures</w:t>
      </w:r>
      <w:r w:rsidRPr="00D800F0">
        <w:rPr>
          <w:rFonts w:ascii="Arial" w:eastAsiaTheme="minorEastAsia" w:hAnsi="Arial" w:cs="Arial"/>
          <w:b/>
          <w:bCs/>
          <w:lang w:eastAsia="en-GB"/>
        </w:rPr>
        <w:t xml:space="preserve"> </w:t>
      </w:r>
      <m:oMath>
        <m:r>
          <m:rPr>
            <m:sty m:val="bi"/>
          </m:rPr>
          <w:rPr>
            <w:rFonts w:ascii="Cambria Math" w:hAnsi="Cambria Math" w:cs="Arial"/>
            <w:lang w:eastAsia="en-GB"/>
          </w:rPr>
          <m:t>45Y(T)</m:t>
        </m:r>
      </m:oMath>
      <w:r w:rsidRPr="00D800F0">
        <w:rPr>
          <w:rFonts w:ascii="Arial" w:eastAsiaTheme="minorEastAsia" w:hAnsi="Arial" w:cs="Arial"/>
          <w:b/>
          <w:bCs/>
          <w:lang w:eastAsia="en-GB"/>
        </w:rPr>
        <w:t xml:space="preserve"> </w:t>
      </w:r>
      <w:r w:rsidRPr="00D800F0">
        <w:rPr>
          <w:rFonts w:ascii="Arial" w:eastAsiaTheme="minorEastAsia" w:hAnsi="Arial" w:cs="Arial"/>
          <w:lang w:eastAsia="en-GB"/>
        </w:rPr>
        <w:t>is zero after 2050.</w:t>
      </w:r>
    </w:p>
    <w:p w14:paraId="12148F95" w14:textId="7CF05FE1" w:rsidR="00DA7E40" w:rsidRPr="00D800F0" w:rsidRDefault="00DA7E40" w:rsidP="00DA7E40">
      <w:pPr>
        <w:ind w:firstLine="720"/>
        <w:rPr>
          <w:rFonts w:ascii="Arial" w:eastAsiaTheme="minorEastAsia" w:hAnsi="Arial" w:cs="Arial"/>
          <w:lang w:eastAsia="en-GB"/>
        </w:rPr>
      </w:pPr>
      <w:r w:rsidRPr="00D800F0">
        <w:rPr>
          <w:rFonts w:ascii="Arial" w:eastAsiaTheme="minorEastAsia" w:hAnsi="Arial" w:cs="Arial"/>
          <w:lang w:eastAsia="en-GB"/>
        </w:rPr>
        <w:t xml:space="preserve">Once a tax credit program is chosen, the tax credits are added to the total tax credits. In the case of 48E, </w:t>
      </w:r>
      <w:r w:rsidRPr="00D800F0">
        <w:rPr>
          <w:rFonts w:ascii="Arial" w:eastAsiaTheme="minorEastAsia" w:hAnsi="Arial" w:cs="Arial"/>
          <w:lang w:eastAsia="en-GB"/>
        </w:rPr>
        <w:fldChar w:fldCharType="begin"/>
      </w:r>
      <w:r w:rsidRPr="00D800F0">
        <w:rPr>
          <w:rFonts w:ascii="Arial" w:eastAsiaTheme="minorEastAsia" w:hAnsi="Arial" w:cs="Arial"/>
          <w:lang w:eastAsia="en-GB"/>
        </w:rPr>
        <w:instrText xml:space="preserve"> REF _Ref146526028 \h </w:instrText>
      </w:r>
      <w:r w:rsidR="00D800F0">
        <w:rPr>
          <w:rFonts w:ascii="Arial" w:eastAsiaTheme="minorEastAsia" w:hAnsi="Arial" w:cs="Arial"/>
          <w:lang w:eastAsia="en-GB"/>
        </w:rPr>
        <w:instrText xml:space="preserve"> \* MERGEFORMAT </w:instrText>
      </w:r>
      <w:r w:rsidRPr="00D800F0">
        <w:rPr>
          <w:rFonts w:ascii="Arial" w:eastAsiaTheme="minorEastAsia" w:hAnsi="Arial" w:cs="Arial"/>
          <w:lang w:eastAsia="en-GB"/>
        </w:rPr>
      </w:r>
      <w:r w:rsidRPr="00D800F0">
        <w:rPr>
          <w:rFonts w:ascii="Arial" w:eastAsiaTheme="minorEastAsia" w:hAnsi="Arial" w:cs="Arial"/>
          <w:lang w:eastAsia="en-GB"/>
        </w:rPr>
        <w:fldChar w:fldCharType="separate"/>
      </w:r>
      <w:r w:rsidRPr="00D800F0">
        <w:rPr>
          <w:rFonts w:ascii="Arial" w:hAnsi="Arial" w:cs="Arial"/>
        </w:rPr>
        <w:t>(</w:t>
      </w:r>
      <w:r w:rsidRPr="00D800F0">
        <w:rPr>
          <w:rFonts w:ascii="Arial" w:hAnsi="Arial" w:cs="Arial"/>
          <w:noProof/>
        </w:rPr>
        <w:t>E</w:t>
      </w:r>
      <w:r w:rsidRPr="00D800F0">
        <w:rPr>
          <w:rFonts w:ascii="Arial" w:hAnsi="Arial" w:cs="Arial"/>
        </w:rPr>
        <w:t>.</w:t>
      </w:r>
      <w:r w:rsidRPr="00D800F0">
        <w:rPr>
          <w:rFonts w:ascii="Arial" w:hAnsi="Arial" w:cs="Arial"/>
          <w:noProof/>
        </w:rPr>
        <w:t>2)</w:t>
      </w:r>
      <w:r w:rsidRPr="00D800F0">
        <w:rPr>
          <w:rFonts w:ascii="Arial" w:eastAsiaTheme="minorEastAsia" w:hAnsi="Arial" w:cs="Arial"/>
          <w:lang w:eastAsia="en-GB"/>
        </w:rPr>
        <w:fldChar w:fldCharType="end"/>
      </w:r>
      <w:r w:rsidRPr="00D800F0">
        <w:rPr>
          <w:rFonts w:ascii="Arial" w:eastAsiaTheme="minorEastAsia" w:hAnsi="Arial" w:cs="Arial"/>
          <w:lang w:eastAsia="en-GB"/>
        </w:rPr>
        <w:t xml:space="preserve"> is used. </w:t>
      </w:r>
      <w:r w:rsidRPr="00D800F0">
        <w:rPr>
          <w:rFonts w:ascii="Arial" w:eastAsiaTheme="minorEastAsia" w:hAnsi="Arial" w:cs="Arial"/>
          <w:lang w:eastAsia="en-GB"/>
        </w:rPr>
        <w:fldChar w:fldCharType="begin"/>
      </w:r>
      <w:r w:rsidRPr="00D800F0">
        <w:rPr>
          <w:rFonts w:ascii="Arial" w:eastAsiaTheme="minorEastAsia" w:hAnsi="Arial" w:cs="Arial"/>
          <w:lang w:eastAsia="en-GB"/>
        </w:rPr>
        <w:instrText xml:space="preserve"> REF _Ref146526033 \h </w:instrText>
      </w:r>
      <w:r w:rsidR="00D800F0">
        <w:rPr>
          <w:rFonts w:ascii="Arial" w:eastAsiaTheme="minorEastAsia" w:hAnsi="Arial" w:cs="Arial"/>
          <w:lang w:eastAsia="en-GB"/>
        </w:rPr>
        <w:instrText xml:space="preserve"> \* MERGEFORMAT </w:instrText>
      </w:r>
      <w:r w:rsidRPr="00D800F0">
        <w:rPr>
          <w:rFonts w:ascii="Arial" w:eastAsiaTheme="minorEastAsia" w:hAnsi="Arial" w:cs="Arial"/>
          <w:lang w:eastAsia="en-GB"/>
        </w:rPr>
      </w:r>
      <w:r w:rsidRPr="00D800F0">
        <w:rPr>
          <w:rFonts w:ascii="Arial" w:eastAsiaTheme="minorEastAsia" w:hAnsi="Arial" w:cs="Arial"/>
          <w:lang w:eastAsia="en-GB"/>
        </w:rPr>
        <w:fldChar w:fldCharType="separate"/>
      </w:r>
      <w:r w:rsidRPr="00D800F0">
        <w:rPr>
          <w:rFonts w:ascii="Arial" w:hAnsi="Arial" w:cs="Arial"/>
        </w:rPr>
        <w:t>(</w:t>
      </w:r>
      <w:r w:rsidRPr="00D800F0">
        <w:rPr>
          <w:rFonts w:ascii="Arial" w:hAnsi="Arial" w:cs="Arial"/>
          <w:noProof/>
        </w:rPr>
        <w:t>E</w:t>
      </w:r>
      <w:r w:rsidRPr="00D800F0">
        <w:rPr>
          <w:rFonts w:ascii="Arial" w:hAnsi="Arial" w:cs="Arial"/>
        </w:rPr>
        <w:t>.</w:t>
      </w:r>
      <w:r w:rsidRPr="00D800F0">
        <w:rPr>
          <w:rFonts w:ascii="Arial" w:hAnsi="Arial" w:cs="Arial"/>
          <w:noProof/>
        </w:rPr>
        <w:t>3)</w:t>
      </w:r>
      <w:r w:rsidRPr="00D800F0">
        <w:rPr>
          <w:rFonts w:ascii="Arial" w:eastAsiaTheme="minorEastAsia" w:hAnsi="Arial" w:cs="Arial"/>
          <w:lang w:eastAsia="en-GB"/>
        </w:rPr>
        <w:fldChar w:fldCharType="end"/>
      </w:r>
      <w:r w:rsidRPr="00D800F0">
        <w:rPr>
          <w:rFonts w:ascii="Arial" w:eastAsiaTheme="minorEastAsia" w:hAnsi="Arial" w:cs="Arial"/>
          <w:lang w:eastAsia="en-GB"/>
        </w:rPr>
        <w:t xml:space="preserve"> is used when 45Y is larger than 48E.</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990"/>
      </w:tblGrid>
      <w:tr w:rsidR="00DA7E40" w:rsidRPr="00D800F0" w14:paraId="3BC6E880" w14:textId="77777777" w:rsidTr="0000614D">
        <w:tc>
          <w:tcPr>
            <w:tcW w:w="8455" w:type="dxa"/>
            <w:vAlign w:val="center"/>
          </w:tcPr>
          <w:p w14:paraId="39D51235" w14:textId="77777777" w:rsidR="00DA7E40" w:rsidRPr="00D800F0" w:rsidRDefault="00DA7E40" w:rsidP="0000614D">
            <w:pPr>
              <w:ind w:firstLine="360"/>
              <w:jc w:val="center"/>
              <w:rPr>
                <w:rFonts w:ascii="Arial" w:eastAsiaTheme="minorEastAsia" w:hAnsi="Arial" w:cs="Arial"/>
                <w:b/>
                <w:bCs/>
              </w:rPr>
            </w:pPr>
            <m:oMathPara>
              <m:oMath>
                <m:r>
                  <m:rPr>
                    <m:sty m:val="bi"/>
                  </m:rPr>
                  <w:rPr>
                    <w:rFonts w:ascii="Cambria Math" w:eastAsiaTheme="minorEastAsia" w:hAnsi="Cambria Math" w:cs="Arial"/>
                  </w:rPr>
                  <m:t>Credit</m:t>
                </m:r>
                <m:sSub>
                  <m:sSubPr>
                    <m:ctrlPr>
                      <w:rPr>
                        <w:rFonts w:ascii="Cambria Math" w:eastAsiaTheme="minorEastAsia" w:hAnsi="Cambria Math" w:cs="Arial"/>
                        <w:b/>
                        <w:bCs/>
                        <w:i/>
                      </w:rPr>
                    </m:ctrlPr>
                  </m:sSubPr>
                  <m:e>
                    <m:r>
                      <m:rPr>
                        <m:sty m:val="bi"/>
                      </m:rPr>
                      <w:rPr>
                        <w:rFonts w:ascii="Cambria Math" w:eastAsiaTheme="minorEastAsia" w:hAnsi="Cambria Math" w:cs="Arial"/>
                      </w:rPr>
                      <m:t>s</m:t>
                    </m:r>
                  </m:e>
                  <m:sub>
                    <m:r>
                      <m:rPr>
                        <m:sty m:val="bi"/>
                      </m:rPr>
                      <w:rPr>
                        <w:rFonts w:ascii="Cambria Math" w:eastAsiaTheme="minorEastAsia" w:hAnsi="Cambria Math" w:cs="Arial"/>
                      </w:rPr>
                      <m:t>C</m:t>
                    </m:r>
                    <m:sSub>
                      <m:sSubPr>
                        <m:ctrlPr>
                          <w:rPr>
                            <w:rFonts w:ascii="Cambria Math" w:eastAsiaTheme="minorEastAsia" w:hAnsi="Cambria Math" w:cs="Arial"/>
                            <w:b/>
                            <w:bCs/>
                            <w:i/>
                          </w:rPr>
                        </m:ctrlPr>
                      </m:sSubPr>
                      <m:e>
                        <m:r>
                          <m:rPr>
                            <m:sty m:val="bi"/>
                          </m:rPr>
                          <w:rPr>
                            <w:rFonts w:ascii="Cambria Math" w:eastAsiaTheme="minorEastAsia" w:hAnsi="Cambria Math" w:cs="Arial"/>
                          </w:rPr>
                          <m:t>E</m:t>
                        </m:r>
                      </m:e>
                      <m:sub>
                        <m:r>
                          <m:rPr>
                            <m:sty m:val="bi"/>
                          </m:rPr>
                          <w:rPr>
                            <w:rFonts w:ascii="Cambria Math" w:eastAsiaTheme="minorEastAsia" w:hAnsi="Cambria Math" w:cs="Arial"/>
                          </w:rPr>
                          <m:t>scenario C</m:t>
                        </m:r>
                      </m:sub>
                    </m:sSub>
                  </m:sub>
                </m:sSub>
                <m:d>
                  <m:dPr>
                    <m:ctrlPr>
                      <w:rPr>
                        <w:rFonts w:ascii="Cambria Math" w:eastAsiaTheme="minorEastAsia" w:hAnsi="Cambria Math" w:cs="Arial"/>
                        <w:b/>
                        <w:bCs/>
                        <w:i/>
                      </w:rPr>
                    </m:ctrlPr>
                  </m:dPr>
                  <m:e>
                    <m:r>
                      <m:rPr>
                        <m:sty m:val="bi"/>
                      </m:rPr>
                      <w:rPr>
                        <w:rFonts w:ascii="Cambria Math" w:eastAsiaTheme="minorEastAsia" w:hAnsi="Cambria Math" w:cs="Arial"/>
                      </w:rPr>
                      <m:t>T</m:t>
                    </m:r>
                  </m:e>
                </m:d>
                <m:r>
                  <m:rPr>
                    <m:sty m:val="bi"/>
                  </m:rPr>
                  <w:rPr>
                    <w:rFonts w:ascii="Cambria Math" w:eastAsiaTheme="minorEastAsia" w:hAnsi="Cambria Math" w:cs="Arial"/>
                  </w:rPr>
                  <m:t>=Credit</m:t>
                </m:r>
                <m:sSub>
                  <m:sSubPr>
                    <m:ctrlPr>
                      <w:rPr>
                        <w:rFonts w:ascii="Cambria Math" w:eastAsiaTheme="minorEastAsia" w:hAnsi="Cambria Math" w:cs="Arial"/>
                        <w:b/>
                        <w:bCs/>
                        <w:i/>
                      </w:rPr>
                    </m:ctrlPr>
                  </m:sSubPr>
                  <m:e>
                    <m:r>
                      <m:rPr>
                        <m:sty m:val="bi"/>
                      </m:rPr>
                      <w:rPr>
                        <w:rFonts w:ascii="Cambria Math" w:eastAsiaTheme="minorEastAsia" w:hAnsi="Cambria Math" w:cs="Arial"/>
                      </w:rPr>
                      <m:t>s</m:t>
                    </m:r>
                  </m:e>
                  <m:sub>
                    <m:r>
                      <m:rPr>
                        <m:sty m:val="bi"/>
                      </m:rPr>
                      <w:rPr>
                        <w:rFonts w:ascii="Cambria Math" w:eastAsiaTheme="minorEastAsia" w:hAnsi="Cambria Math" w:cs="Arial"/>
                      </w:rPr>
                      <m:t>CE</m:t>
                    </m:r>
                  </m:sub>
                </m:sSub>
                <m:d>
                  <m:dPr>
                    <m:ctrlPr>
                      <w:rPr>
                        <w:rFonts w:ascii="Cambria Math" w:eastAsiaTheme="minorEastAsia" w:hAnsi="Cambria Math" w:cs="Arial"/>
                        <w:b/>
                        <w:bCs/>
                        <w:i/>
                      </w:rPr>
                    </m:ctrlPr>
                  </m:dPr>
                  <m:e>
                    <m:r>
                      <m:rPr>
                        <m:sty m:val="bi"/>
                      </m:rPr>
                      <w:rPr>
                        <w:rFonts w:ascii="Cambria Math" w:eastAsiaTheme="minorEastAsia" w:hAnsi="Cambria Math" w:cs="Arial"/>
                      </w:rPr>
                      <m:t>T</m:t>
                    </m:r>
                  </m:e>
                </m:d>
                <m:r>
                  <m:rPr>
                    <m:sty m:val="bi"/>
                  </m:rPr>
                  <w:rPr>
                    <w:rFonts w:ascii="Cambria Math" w:eastAsiaTheme="minorEastAsia" w:hAnsi="Cambria Math" w:cs="Arial"/>
                  </w:rPr>
                  <m:t>+</m:t>
                </m:r>
              </m:oMath>
            </m:oMathPara>
          </w:p>
          <w:p w14:paraId="3E28553E" w14:textId="77777777" w:rsidR="00DA7E40" w:rsidRPr="00D800F0" w:rsidRDefault="00DA7E40" w:rsidP="0000614D">
            <w:pPr>
              <w:ind w:firstLine="360"/>
              <w:jc w:val="center"/>
              <w:rPr>
                <w:rFonts w:ascii="Arial" w:eastAsiaTheme="minorEastAsia" w:hAnsi="Arial" w:cs="Arial"/>
                <w:b/>
                <w:bCs/>
              </w:rPr>
            </w:pPr>
            <m:oMathPara>
              <m:oMath>
                <m:r>
                  <m:rPr>
                    <m:sty m:val="bi"/>
                  </m:rPr>
                  <w:rPr>
                    <w:rFonts w:ascii="Cambria Math" w:eastAsiaTheme="minorEastAsia" w:hAnsi="Cambria Math" w:cs="Arial"/>
                  </w:rPr>
                  <m:t>if</m:t>
                </m:r>
                <m:d>
                  <m:dPr>
                    <m:ctrlPr>
                      <w:rPr>
                        <w:rFonts w:ascii="Cambria Math" w:eastAsiaTheme="minorEastAsia" w:hAnsi="Cambria Math" w:cs="Arial"/>
                        <w:b/>
                        <w:bCs/>
                        <w:i/>
                      </w:rPr>
                    </m:ctrlPr>
                  </m:dPr>
                  <m:e>
                    <m:r>
                      <m:rPr>
                        <m:sty m:val="bi"/>
                      </m:rPr>
                      <w:rPr>
                        <w:rFonts w:ascii="Cambria Math" w:eastAsiaTheme="minorEastAsia" w:hAnsi="Cambria Math" w:cs="Arial"/>
                      </w:rPr>
                      <m:t xml:space="preserve">T=S+C, </m:t>
                    </m:r>
                    <m:sSub>
                      <m:sSubPr>
                        <m:ctrlPr>
                          <w:rPr>
                            <w:rFonts w:ascii="Cambria Math" w:hAnsi="Cambria Math" w:cs="Arial"/>
                            <w:b/>
                            <w:bCs/>
                            <w:i/>
                          </w:rPr>
                        </m:ctrlPr>
                      </m:sSubPr>
                      <m:e>
                        <m:r>
                          <m:rPr>
                            <m:scr m:val="script"/>
                            <m:sty m:val="bi"/>
                          </m:rPr>
                          <w:rPr>
                            <w:rFonts w:ascii="Cambria Math" w:hAnsi="Cambria Math" w:cs="Arial"/>
                          </w:rPr>
                          <m:t>H</m:t>
                        </m:r>
                      </m:e>
                      <m:sub>
                        <m:r>
                          <m:rPr>
                            <m:sty m:val="bi"/>
                          </m:rPr>
                          <w:rPr>
                            <w:rFonts w:ascii="Cambria Math" w:hAnsi="Cambria Math" w:cs="Arial"/>
                          </w:rPr>
                          <m:t>CE</m:t>
                        </m:r>
                      </m:sub>
                    </m:sSub>
                    <m:d>
                      <m:dPr>
                        <m:begChr m:val="["/>
                        <m:endChr m:val="]"/>
                        <m:ctrlPr>
                          <w:rPr>
                            <w:rFonts w:ascii="Cambria Math" w:hAnsi="Cambria Math" w:cs="Arial"/>
                            <w:b/>
                            <w:bCs/>
                            <w:i/>
                          </w:rPr>
                        </m:ctrlPr>
                      </m:dPr>
                      <m:e>
                        <m:r>
                          <m:rPr>
                            <m:sty m:val="b"/>
                          </m:rPr>
                          <w:rPr>
                            <w:rFonts w:ascii="Cambria Math" w:eastAsiaTheme="minorEastAsia" w:hAnsi="Cambria Math" w:cs="Arial"/>
                          </w:rPr>
                          <m:t xml:space="preserve"> </m:t>
                        </m:r>
                        <m:r>
                          <m:rPr>
                            <m:sty m:val="bi"/>
                          </m:rPr>
                          <w:rPr>
                            <w:rFonts w:ascii="Cambria Math" w:hAnsi="Cambria Math" w:cs="Arial"/>
                          </w:rPr>
                          <m:t>48</m:t>
                        </m:r>
                        <m:r>
                          <m:rPr>
                            <m:sty m:val="bi"/>
                          </m:rPr>
                          <w:rPr>
                            <w:rFonts w:ascii="Cambria Math" w:hAnsi="Cambria Math" w:cs="Arial"/>
                          </w:rPr>
                          <m:t>E*</m:t>
                        </m:r>
                        <m:d>
                          <m:dPr>
                            <m:ctrlPr>
                              <w:rPr>
                                <w:rFonts w:ascii="Cambria Math" w:hAnsi="Cambria Math" w:cs="Arial"/>
                                <w:b/>
                                <w:bCs/>
                                <w:i/>
                              </w:rPr>
                            </m:ctrlPr>
                          </m:dPr>
                          <m:e>
                            <m:sSub>
                              <m:sSubPr>
                                <m:ctrlPr>
                                  <w:rPr>
                                    <w:rFonts w:ascii="Cambria Math" w:hAnsi="Cambria Math" w:cs="Arial"/>
                                    <w:b/>
                                    <w:bCs/>
                                  </w:rPr>
                                </m:ctrlPr>
                              </m:sSubPr>
                              <m:e>
                                <m:r>
                                  <m:rPr>
                                    <m:sty m:val="bi"/>
                                  </m:rPr>
                                  <w:rPr>
                                    <w:rFonts w:ascii="Cambria Math" w:hAnsi="Cambria Math" w:cs="Arial"/>
                                  </w:rPr>
                                  <m:t>COST</m:t>
                                </m:r>
                              </m:e>
                              <m:sub>
                                <m:r>
                                  <m:rPr>
                                    <m:sty m:val="bi"/>
                                  </m:rPr>
                                  <w:rPr>
                                    <w:rFonts w:ascii="Cambria Math" w:hAnsi="Cambria Math" w:cs="Arial"/>
                                  </w:rPr>
                                  <m:t>wind</m:t>
                                </m:r>
                              </m:sub>
                            </m:sSub>
                            <m:r>
                              <m:rPr>
                                <m:sty m:val="b"/>
                              </m:rPr>
                              <w:rPr>
                                <w:rFonts w:ascii="Cambria Math" w:hAnsi="Cambria Math" w:cs="Arial"/>
                              </w:rPr>
                              <m:t>×</m:t>
                            </m:r>
                            <m:r>
                              <m:rPr>
                                <m:sty m:val="bi"/>
                              </m:rPr>
                              <w:rPr>
                                <w:rFonts w:ascii="Cambria Math" w:hAnsi="Cambria Math" w:cs="Arial"/>
                              </w:rPr>
                              <m:t>w</m:t>
                            </m:r>
                            <m:r>
                              <m:rPr>
                                <m:sty m:val="b"/>
                              </m:rPr>
                              <w:rPr>
                                <w:rFonts w:ascii="Cambria Math" w:hAnsi="Cambria Math" w:cs="Arial"/>
                              </w:rPr>
                              <m:t>+</m:t>
                            </m:r>
                            <m:sSub>
                              <m:sSubPr>
                                <m:ctrlPr>
                                  <w:rPr>
                                    <w:rFonts w:ascii="Cambria Math" w:hAnsi="Cambria Math" w:cs="Arial"/>
                                    <w:b/>
                                    <w:bCs/>
                                  </w:rPr>
                                </m:ctrlPr>
                              </m:sSubPr>
                              <m:e>
                                <m:r>
                                  <m:rPr>
                                    <m:sty m:val="bi"/>
                                  </m:rPr>
                                  <w:rPr>
                                    <w:rFonts w:ascii="Cambria Math" w:hAnsi="Cambria Math" w:cs="Arial"/>
                                  </w:rPr>
                                  <m:t>COST</m:t>
                                </m:r>
                              </m:e>
                              <m:sub>
                                <m:r>
                                  <m:rPr>
                                    <m:sty m:val="bi"/>
                                  </m:rPr>
                                  <w:rPr>
                                    <w:rFonts w:ascii="Cambria Math" w:hAnsi="Cambria Math" w:cs="Arial"/>
                                  </w:rPr>
                                  <m:t>battery</m:t>
                                </m:r>
                              </m:sub>
                            </m:sSub>
                            <m:r>
                              <m:rPr>
                                <m:sty m:val="b"/>
                              </m:rPr>
                              <w:rPr>
                                <w:rFonts w:ascii="Cambria Math" w:hAnsi="Cambria Math" w:cs="Arial"/>
                              </w:rPr>
                              <m:t>×</m:t>
                            </m:r>
                            <m:r>
                              <m:rPr>
                                <m:sty m:val="bi"/>
                              </m:rPr>
                              <w:rPr>
                                <w:rFonts w:ascii="Cambria Math" w:hAnsi="Cambria Math" w:cs="Arial"/>
                              </w:rPr>
                              <m:t>b</m:t>
                            </m:r>
                          </m:e>
                        </m:d>
                        <m:r>
                          <m:rPr>
                            <m:sty m:val="bi"/>
                          </m:rPr>
                          <w:rPr>
                            <w:rFonts w:ascii="Cambria Math" w:hAnsi="Cambria Math" w:cs="Arial"/>
                          </w:rPr>
                          <m:t xml:space="preserve"> </m:t>
                        </m:r>
                      </m:e>
                    </m:d>
                    <m:ctrlPr>
                      <w:rPr>
                        <w:rFonts w:ascii="Cambria Math" w:hAnsi="Cambria Math" w:cs="Arial"/>
                        <w:b/>
                        <w:bCs/>
                        <w:i/>
                      </w:rPr>
                    </m:ctrlPr>
                  </m:e>
                </m:d>
              </m:oMath>
            </m:oMathPara>
          </w:p>
        </w:tc>
        <w:tc>
          <w:tcPr>
            <w:tcW w:w="990" w:type="dxa"/>
            <w:vAlign w:val="center"/>
          </w:tcPr>
          <w:p w14:paraId="2C5B0B22" w14:textId="77777777" w:rsidR="00DA7E40" w:rsidRPr="00D800F0" w:rsidRDefault="00DA7E40" w:rsidP="0000614D">
            <w:pPr>
              <w:pStyle w:val="Caption"/>
              <w:jc w:val="center"/>
              <w:rPr>
                <w:rFonts w:ascii="Arial" w:hAnsi="Arial" w:cs="Arial"/>
              </w:rPr>
            </w:pPr>
            <w:bookmarkStart w:id="76" w:name="_Ref146386800"/>
            <w:bookmarkStart w:id="77" w:name="_Ref146526028"/>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E</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2</w:t>
            </w:r>
            <w:r w:rsidRPr="00D800F0">
              <w:rPr>
                <w:rFonts w:ascii="Arial" w:hAnsi="Arial" w:cs="Arial"/>
                <w:noProof/>
              </w:rPr>
              <w:fldChar w:fldCharType="end"/>
            </w:r>
            <w:bookmarkEnd w:id="76"/>
            <w:r w:rsidRPr="00D800F0">
              <w:rPr>
                <w:rFonts w:ascii="Arial" w:hAnsi="Arial" w:cs="Arial"/>
                <w:noProof/>
              </w:rPr>
              <w:t>)</w:t>
            </w:r>
            <w:bookmarkEnd w:id="77"/>
          </w:p>
        </w:tc>
      </w:tr>
      <w:tr w:rsidR="00DA7E40" w:rsidRPr="00D800F0" w14:paraId="064CE20A" w14:textId="77777777" w:rsidTr="0000614D">
        <w:trPr>
          <w:trHeight w:val="927"/>
        </w:trPr>
        <w:tc>
          <w:tcPr>
            <w:tcW w:w="8455" w:type="dxa"/>
            <w:vAlign w:val="center"/>
          </w:tcPr>
          <w:p w14:paraId="58D24579" w14:textId="77777777" w:rsidR="00DA7E40" w:rsidRPr="00D800F0" w:rsidRDefault="00DA7E40" w:rsidP="0000614D">
            <w:pPr>
              <w:ind w:firstLine="360"/>
              <w:jc w:val="center"/>
              <w:rPr>
                <w:rFonts w:ascii="Arial" w:eastAsiaTheme="minorEastAsia" w:hAnsi="Arial" w:cs="Arial"/>
                <w:b/>
                <w:bCs/>
              </w:rPr>
            </w:pPr>
            <m:oMathPara>
              <m:oMath>
                <m:r>
                  <m:rPr>
                    <m:sty m:val="bi"/>
                  </m:rPr>
                  <w:rPr>
                    <w:rFonts w:ascii="Cambria Math" w:eastAsiaTheme="minorEastAsia" w:hAnsi="Cambria Math" w:cs="Arial"/>
                  </w:rPr>
                  <m:t>Credit</m:t>
                </m:r>
                <m:sSub>
                  <m:sSubPr>
                    <m:ctrlPr>
                      <w:rPr>
                        <w:rFonts w:ascii="Cambria Math" w:eastAsiaTheme="minorEastAsia" w:hAnsi="Cambria Math" w:cs="Arial"/>
                        <w:b/>
                        <w:bCs/>
                        <w:i/>
                      </w:rPr>
                    </m:ctrlPr>
                  </m:sSubPr>
                  <m:e>
                    <m:r>
                      <m:rPr>
                        <m:sty m:val="bi"/>
                      </m:rPr>
                      <w:rPr>
                        <w:rFonts w:ascii="Cambria Math" w:eastAsiaTheme="minorEastAsia" w:hAnsi="Cambria Math" w:cs="Arial"/>
                      </w:rPr>
                      <m:t>s</m:t>
                    </m:r>
                  </m:e>
                  <m:sub>
                    <m:r>
                      <m:rPr>
                        <m:sty m:val="bi"/>
                      </m:rPr>
                      <w:rPr>
                        <w:rFonts w:ascii="Cambria Math" w:eastAsiaTheme="minorEastAsia" w:hAnsi="Cambria Math" w:cs="Arial"/>
                      </w:rPr>
                      <m:t>C</m:t>
                    </m:r>
                    <m:sSub>
                      <m:sSubPr>
                        <m:ctrlPr>
                          <w:rPr>
                            <w:rFonts w:ascii="Cambria Math" w:eastAsiaTheme="minorEastAsia" w:hAnsi="Cambria Math" w:cs="Arial"/>
                            <w:b/>
                            <w:bCs/>
                            <w:i/>
                          </w:rPr>
                        </m:ctrlPr>
                      </m:sSubPr>
                      <m:e>
                        <m:r>
                          <m:rPr>
                            <m:sty m:val="bi"/>
                          </m:rPr>
                          <w:rPr>
                            <w:rFonts w:ascii="Cambria Math" w:eastAsiaTheme="minorEastAsia" w:hAnsi="Cambria Math" w:cs="Arial"/>
                          </w:rPr>
                          <m:t>E</m:t>
                        </m:r>
                      </m:e>
                      <m:sub>
                        <m:r>
                          <m:rPr>
                            <m:sty m:val="bi"/>
                          </m:rPr>
                          <w:rPr>
                            <w:rFonts w:ascii="Cambria Math" w:eastAsiaTheme="minorEastAsia" w:hAnsi="Cambria Math" w:cs="Arial"/>
                          </w:rPr>
                          <m:t>scenario C</m:t>
                        </m:r>
                      </m:sub>
                    </m:sSub>
                  </m:sub>
                </m:sSub>
                <m:d>
                  <m:dPr>
                    <m:ctrlPr>
                      <w:rPr>
                        <w:rFonts w:ascii="Cambria Math" w:eastAsiaTheme="minorEastAsia" w:hAnsi="Cambria Math" w:cs="Arial"/>
                        <w:b/>
                        <w:bCs/>
                        <w:i/>
                      </w:rPr>
                    </m:ctrlPr>
                  </m:dPr>
                  <m:e>
                    <m:r>
                      <m:rPr>
                        <m:sty m:val="bi"/>
                      </m:rPr>
                      <w:rPr>
                        <w:rFonts w:ascii="Cambria Math" w:eastAsiaTheme="minorEastAsia" w:hAnsi="Cambria Math" w:cs="Arial"/>
                      </w:rPr>
                      <m:t>T</m:t>
                    </m:r>
                  </m:e>
                </m:d>
                <m:r>
                  <m:rPr>
                    <m:sty m:val="bi"/>
                  </m:rPr>
                  <w:rPr>
                    <w:rFonts w:ascii="Cambria Math" w:eastAsiaTheme="minorEastAsia" w:hAnsi="Cambria Math" w:cs="Arial"/>
                  </w:rPr>
                  <m:t>=Credit</m:t>
                </m:r>
                <m:sSub>
                  <m:sSubPr>
                    <m:ctrlPr>
                      <w:rPr>
                        <w:rFonts w:ascii="Cambria Math" w:eastAsiaTheme="minorEastAsia" w:hAnsi="Cambria Math" w:cs="Arial"/>
                        <w:b/>
                        <w:bCs/>
                        <w:i/>
                      </w:rPr>
                    </m:ctrlPr>
                  </m:sSubPr>
                  <m:e>
                    <m:r>
                      <m:rPr>
                        <m:sty m:val="bi"/>
                      </m:rPr>
                      <w:rPr>
                        <w:rFonts w:ascii="Cambria Math" w:eastAsiaTheme="minorEastAsia" w:hAnsi="Cambria Math" w:cs="Arial"/>
                      </w:rPr>
                      <m:t>s</m:t>
                    </m:r>
                  </m:e>
                  <m:sub>
                    <m:r>
                      <m:rPr>
                        <m:sty m:val="bi"/>
                      </m:rPr>
                      <w:rPr>
                        <w:rFonts w:ascii="Cambria Math" w:eastAsiaTheme="minorEastAsia" w:hAnsi="Cambria Math" w:cs="Arial"/>
                      </w:rPr>
                      <m:t>CE</m:t>
                    </m:r>
                  </m:sub>
                </m:sSub>
                <m:d>
                  <m:dPr>
                    <m:ctrlPr>
                      <w:rPr>
                        <w:rFonts w:ascii="Cambria Math" w:eastAsiaTheme="minorEastAsia" w:hAnsi="Cambria Math" w:cs="Arial"/>
                        <w:b/>
                        <w:bCs/>
                        <w:i/>
                      </w:rPr>
                    </m:ctrlPr>
                  </m:dPr>
                  <m:e>
                    <m:r>
                      <m:rPr>
                        <m:sty m:val="bi"/>
                      </m:rPr>
                      <w:rPr>
                        <w:rFonts w:ascii="Cambria Math" w:eastAsiaTheme="minorEastAsia" w:hAnsi="Cambria Math" w:cs="Arial"/>
                      </w:rPr>
                      <m:t>T</m:t>
                    </m:r>
                  </m:e>
                </m:d>
                <m:r>
                  <m:rPr>
                    <m:sty m:val="bi"/>
                  </m:rPr>
                  <w:rPr>
                    <w:rFonts w:ascii="Cambria Math" w:eastAsiaTheme="minorEastAsia" w:hAnsi="Cambria Math" w:cs="Arial"/>
                  </w:rPr>
                  <m:t>+</m:t>
                </m:r>
                <m:sSub>
                  <m:sSubPr>
                    <m:ctrlPr>
                      <w:rPr>
                        <w:rFonts w:ascii="Cambria Math" w:hAnsi="Cambria Math" w:cs="Arial"/>
                        <w:b/>
                        <w:bCs/>
                        <w:i/>
                      </w:rPr>
                    </m:ctrlPr>
                  </m:sSubPr>
                  <m:e>
                    <m:r>
                      <m:rPr>
                        <m:scr m:val="script"/>
                        <m:sty m:val="bi"/>
                      </m:rPr>
                      <w:rPr>
                        <w:rFonts w:ascii="Cambria Math" w:hAnsi="Cambria Math" w:cs="Arial"/>
                      </w:rPr>
                      <m:t>H</m:t>
                    </m:r>
                  </m:e>
                  <m:sub>
                    <m:r>
                      <m:rPr>
                        <m:sty m:val="bi"/>
                      </m:rPr>
                      <w:rPr>
                        <w:rFonts w:ascii="Cambria Math" w:hAnsi="Cambria Math" w:cs="Arial"/>
                      </w:rPr>
                      <m:t>CE</m:t>
                    </m:r>
                  </m:sub>
                </m:sSub>
                <m:d>
                  <m:dPr>
                    <m:begChr m:val="["/>
                    <m:endChr m:val="]"/>
                    <m:ctrlPr>
                      <w:rPr>
                        <w:rFonts w:ascii="Cambria Math" w:hAnsi="Cambria Math" w:cs="Arial"/>
                        <w:b/>
                        <w:bCs/>
                        <w:i/>
                      </w:rPr>
                    </m:ctrlPr>
                  </m:dPr>
                  <m:e>
                    <m:r>
                      <m:rPr>
                        <m:sty m:val="b"/>
                      </m:rPr>
                      <w:rPr>
                        <w:rFonts w:ascii="Cambria Math" w:eastAsiaTheme="minorEastAsia" w:hAnsi="Cambria Math" w:cs="Arial"/>
                      </w:rPr>
                      <m:t xml:space="preserve"> </m:t>
                    </m:r>
                    <m:r>
                      <m:rPr>
                        <m:sty m:val="bi"/>
                      </m:rPr>
                      <w:rPr>
                        <w:rFonts w:ascii="Cambria Math" w:hAnsi="Cambria Math" w:cs="Arial"/>
                      </w:rPr>
                      <m:t>w</m:t>
                    </m:r>
                    <m:d>
                      <m:dPr>
                        <m:ctrlPr>
                          <w:rPr>
                            <w:rFonts w:ascii="Cambria Math" w:hAnsi="Cambria Math" w:cs="Arial"/>
                          </w:rPr>
                        </m:ctrlPr>
                      </m:dPr>
                      <m:e>
                        <m:r>
                          <m:rPr>
                            <m:sty m:val="b"/>
                          </m:rPr>
                          <w:rPr>
                            <w:rFonts w:ascii="Cambria Math" w:hAnsi="Cambria Math" w:cs="Arial"/>
                          </w:rPr>
                          <m:t>Γ</m:t>
                        </m:r>
                      </m:e>
                    </m:d>
                    <m:r>
                      <m:rPr>
                        <m:sty m:val="bi"/>
                      </m:rPr>
                      <w:rPr>
                        <w:rFonts w:ascii="Cambria Math" w:hAnsi="Cambria Math" w:cs="Arial"/>
                      </w:rPr>
                      <m:t>×45</m:t>
                    </m:r>
                    <m:r>
                      <m:rPr>
                        <m:sty m:val="bi"/>
                      </m:rPr>
                      <w:rPr>
                        <w:rFonts w:ascii="Cambria Math" w:hAnsi="Cambria Math" w:cs="Arial"/>
                      </w:rPr>
                      <m:t>Y(T)</m:t>
                    </m:r>
                  </m:e>
                </m:d>
              </m:oMath>
            </m:oMathPara>
          </w:p>
        </w:tc>
        <w:tc>
          <w:tcPr>
            <w:tcW w:w="990" w:type="dxa"/>
            <w:vAlign w:val="center"/>
          </w:tcPr>
          <w:p w14:paraId="15C01E08" w14:textId="77777777" w:rsidR="00DA7E40" w:rsidRPr="00D800F0" w:rsidRDefault="00DA7E40" w:rsidP="0000614D">
            <w:pPr>
              <w:pStyle w:val="Caption"/>
              <w:jc w:val="center"/>
              <w:rPr>
                <w:rFonts w:ascii="Arial" w:hAnsi="Arial" w:cs="Arial"/>
              </w:rPr>
            </w:pPr>
            <w:bookmarkStart w:id="78" w:name="_Ref146386821"/>
            <w:bookmarkStart w:id="79" w:name="_Ref146526033"/>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E</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3</w:t>
            </w:r>
            <w:r w:rsidRPr="00D800F0">
              <w:rPr>
                <w:rFonts w:ascii="Arial" w:hAnsi="Arial" w:cs="Arial"/>
                <w:noProof/>
              </w:rPr>
              <w:fldChar w:fldCharType="end"/>
            </w:r>
            <w:bookmarkEnd w:id="78"/>
            <w:r w:rsidRPr="00D800F0">
              <w:rPr>
                <w:rFonts w:ascii="Arial" w:hAnsi="Arial" w:cs="Arial"/>
                <w:noProof/>
              </w:rPr>
              <w:t>)</w:t>
            </w:r>
            <w:bookmarkEnd w:id="79"/>
          </w:p>
        </w:tc>
      </w:tr>
    </w:tbl>
    <w:p w14:paraId="4E8857E6" w14:textId="77777777" w:rsidR="00DA7E40" w:rsidRPr="00D800F0" w:rsidRDefault="00DA7E40" w:rsidP="00DA7E40">
      <w:pPr>
        <w:rPr>
          <w:rFonts w:ascii="Arial" w:eastAsiaTheme="minorEastAsia" w:hAnsi="Arial" w:cs="Arial"/>
          <w:b/>
          <w:bCs/>
          <w:lang w:eastAsia="en-GB"/>
        </w:rPr>
      </w:pPr>
    </w:p>
    <w:p w14:paraId="5FA0EA38" w14:textId="77777777" w:rsidR="00DA7E40" w:rsidRPr="00D800F0" w:rsidRDefault="00DA7E40" w:rsidP="006864F3">
      <w:pPr>
        <w:pStyle w:val="Heading3"/>
        <w:rPr>
          <w:rFonts w:ascii="Arial" w:hAnsi="Arial" w:cs="Arial"/>
        </w:rPr>
      </w:pPr>
      <w:bookmarkStart w:id="80" w:name="_Ref146992528"/>
      <w:bookmarkStart w:id="81" w:name="_Toc148296636"/>
      <w:r w:rsidRPr="00D800F0">
        <w:rPr>
          <w:rFonts w:ascii="Arial" w:hAnsi="Arial" w:cs="Arial"/>
        </w:rPr>
        <w:t>Scenario C: Power Purchase Agreement (PPA)</w:t>
      </w:r>
      <w:bookmarkEnd w:id="80"/>
      <w:bookmarkEnd w:id="81"/>
    </w:p>
    <w:p w14:paraId="3B46541D" w14:textId="2C9B4223" w:rsidR="00DA7E40" w:rsidRPr="00D800F0" w:rsidRDefault="00DA7E40" w:rsidP="00DA7E40">
      <w:pPr>
        <w:rPr>
          <w:rFonts w:ascii="Arial" w:hAnsi="Arial" w:cs="Arial"/>
          <w:lang w:eastAsia="en-GB"/>
        </w:rPr>
      </w:pPr>
      <w:r w:rsidRPr="00D800F0">
        <w:rPr>
          <w:rFonts w:ascii="Arial" w:hAnsi="Arial" w:cs="Arial"/>
          <w:lang w:eastAsia="en-GB"/>
        </w:rPr>
        <w:t xml:space="preserve">The electricity price in scenario C becomes the LCOE of the hybrid wind farm and what we call the PPA price. The rest of this section describes how the PPA price was calculated. The PPA values can be found in </w:t>
      </w:r>
      <w:r w:rsidRPr="00D800F0">
        <w:rPr>
          <w:rFonts w:ascii="Arial" w:hAnsi="Arial" w:cs="Arial"/>
          <w:lang w:eastAsia="en-GB"/>
        </w:rPr>
        <w:fldChar w:fldCharType="begin"/>
      </w:r>
      <w:r w:rsidRPr="00D800F0">
        <w:rPr>
          <w:rFonts w:ascii="Arial" w:hAnsi="Arial" w:cs="Arial"/>
          <w:lang w:eastAsia="en-GB"/>
        </w:rPr>
        <w:instrText xml:space="preserve"> REF _Ref146478993 \h </w:instrText>
      </w:r>
      <w:r w:rsidR="00D800F0">
        <w:rPr>
          <w:rFonts w:ascii="Arial" w:hAnsi="Arial" w:cs="Arial"/>
          <w:lang w:eastAsia="en-GB"/>
        </w:rPr>
        <w:instrText xml:space="preserve"> \* MERGEFORMAT </w:instrText>
      </w:r>
      <w:r w:rsidRPr="00D800F0">
        <w:rPr>
          <w:rFonts w:ascii="Arial" w:hAnsi="Arial" w:cs="Arial"/>
          <w:lang w:eastAsia="en-GB"/>
        </w:rPr>
      </w:r>
      <w:r w:rsidRPr="00D800F0">
        <w:rPr>
          <w:rFonts w:ascii="Arial" w:hAnsi="Arial" w:cs="Arial"/>
          <w:lang w:eastAsia="en-GB"/>
        </w:rPr>
        <w:fldChar w:fldCharType="separate"/>
      </w:r>
      <w:r w:rsidRPr="00D800F0">
        <w:rPr>
          <w:rFonts w:ascii="Arial" w:hAnsi="Arial" w:cs="Arial"/>
        </w:rPr>
        <w:t xml:space="preserve">Table </w:t>
      </w:r>
      <w:r w:rsidRPr="00D800F0">
        <w:rPr>
          <w:rFonts w:ascii="Arial" w:hAnsi="Arial" w:cs="Arial"/>
          <w:noProof/>
        </w:rPr>
        <w:t>E</w:t>
      </w:r>
      <w:r w:rsidRPr="00D800F0">
        <w:rPr>
          <w:rFonts w:ascii="Arial" w:hAnsi="Arial" w:cs="Arial"/>
        </w:rPr>
        <w:noBreakHyphen/>
      </w:r>
      <w:r w:rsidRPr="00D800F0">
        <w:rPr>
          <w:rFonts w:ascii="Arial" w:hAnsi="Arial" w:cs="Arial"/>
          <w:noProof/>
        </w:rPr>
        <w:t>5</w:t>
      </w:r>
      <w:r w:rsidRPr="00D800F0">
        <w:rPr>
          <w:rFonts w:ascii="Arial" w:hAnsi="Arial" w:cs="Arial"/>
          <w:lang w:eastAsia="en-GB"/>
        </w:rPr>
        <w:fldChar w:fldCharType="end"/>
      </w:r>
      <w:r w:rsidRPr="00D800F0">
        <w:rPr>
          <w:rFonts w:ascii="Arial" w:hAnsi="Arial" w:cs="Arial"/>
          <w:lang w:eastAsia="en-GB"/>
        </w:rPr>
        <w:t>.</w:t>
      </w:r>
    </w:p>
    <w:p w14:paraId="1415BA59" w14:textId="77777777" w:rsidR="00DA7E40" w:rsidRPr="00D800F0" w:rsidRDefault="00DA7E40" w:rsidP="00DA7E40">
      <w:pPr>
        <w:rPr>
          <w:rFonts w:ascii="Arial" w:hAnsi="Arial" w:cs="Arial"/>
          <w:lang w:eastAsia="en-GB"/>
        </w:rPr>
      </w:pPr>
      <w:r w:rsidRPr="00D800F0">
        <w:rPr>
          <w:rFonts w:ascii="Arial" w:hAnsi="Arial" w:cs="Arial"/>
          <w:lang w:eastAsia="en-GB"/>
        </w:rPr>
        <w:lastRenderedPageBreak/>
        <w:t>The levelized cost method applied to the hybrid wind farm system is initially the same method as the baseline AP NPV model with an additional step to minimize the absolute value of the NPV by iterating through the levelized cost (LCOE or PPA price).</w:t>
      </w:r>
    </w:p>
    <w:p w14:paraId="209AABB2" w14:textId="77777777" w:rsidR="00DA7E40" w:rsidRPr="00D800F0" w:rsidRDefault="00DA7E40" w:rsidP="00DA7E40">
      <w:pPr>
        <w:pStyle w:val="Caption"/>
        <w:rPr>
          <w:rFonts w:ascii="Arial" w:hAnsi="Arial" w:cs="Arial"/>
        </w:rPr>
      </w:pPr>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E</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4</w:t>
      </w:r>
      <w:r w:rsidRPr="00D800F0">
        <w:rPr>
          <w:rFonts w:ascii="Arial" w:hAnsi="Arial" w:cs="Arial"/>
          <w:noProof/>
        </w:rPr>
        <w:fldChar w:fldCharType="end"/>
      </w:r>
      <w:r w:rsidRPr="00D800F0">
        <w:rPr>
          <w:rFonts w:ascii="Arial" w:hAnsi="Arial" w:cs="Arial"/>
        </w:rPr>
        <w:t xml:space="preserve">: Changes to the baseline model to enable scenario C. All changes apply to the low-carbon technologies. AP SMR stays the same as the baseline. </w:t>
      </w:r>
    </w:p>
    <w:tbl>
      <w:tblPr>
        <w:tblStyle w:val="TableGrid"/>
        <w:tblW w:w="5102" w:type="pct"/>
        <w:tblInd w:w="-275" w:type="dxa"/>
        <w:tblLook w:val="04A0" w:firstRow="1" w:lastRow="0" w:firstColumn="1" w:lastColumn="0" w:noHBand="0" w:noVBand="1"/>
      </w:tblPr>
      <w:tblGrid>
        <w:gridCol w:w="2431"/>
        <w:gridCol w:w="1710"/>
        <w:gridCol w:w="5400"/>
      </w:tblGrid>
      <w:tr w:rsidR="00DA7E40" w:rsidRPr="00D800F0" w14:paraId="39D025EC" w14:textId="77777777" w:rsidTr="0000614D">
        <w:tc>
          <w:tcPr>
            <w:tcW w:w="1274" w:type="pct"/>
          </w:tcPr>
          <w:p w14:paraId="68B98A74" w14:textId="77777777" w:rsidR="00DA7E40" w:rsidRPr="00D800F0" w:rsidRDefault="00DA7E40" w:rsidP="0000614D">
            <w:pPr>
              <w:rPr>
                <w:rFonts w:ascii="Arial" w:hAnsi="Arial" w:cs="Arial"/>
                <w:i/>
                <w:iCs/>
              </w:rPr>
            </w:pPr>
            <w:r w:rsidRPr="00D800F0">
              <w:rPr>
                <w:rFonts w:ascii="Arial" w:hAnsi="Arial" w:cs="Arial"/>
                <w:i/>
                <w:iCs/>
              </w:rPr>
              <w:t>Change</w:t>
            </w:r>
          </w:p>
        </w:tc>
        <w:tc>
          <w:tcPr>
            <w:tcW w:w="896" w:type="pct"/>
          </w:tcPr>
          <w:p w14:paraId="31016639" w14:textId="77777777" w:rsidR="00DA7E40" w:rsidRPr="00D800F0" w:rsidRDefault="00DA7E40" w:rsidP="0000614D">
            <w:pPr>
              <w:rPr>
                <w:rFonts w:ascii="Arial" w:hAnsi="Arial" w:cs="Arial"/>
                <w:i/>
                <w:iCs/>
              </w:rPr>
            </w:pPr>
            <w:r w:rsidRPr="00D800F0">
              <w:rPr>
                <w:rFonts w:ascii="Arial" w:hAnsi="Arial" w:cs="Arial"/>
                <w:i/>
                <w:iCs/>
              </w:rPr>
              <w:t>Module Affected</w:t>
            </w:r>
          </w:p>
        </w:tc>
        <w:tc>
          <w:tcPr>
            <w:tcW w:w="2830" w:type="pct"/>
          </w:tcPr>
          <w:p w14:paraId="1DBB69A2" w14:textId="77777777" w:rsidR="00DA7E40" w:rsidRPr="00D800F0" w:rsidRDefault="00DA7E40" w:rsidP="0000614D">
            <w:pPr>
              <w:rPr>
                <w:rFonts w:ascii="Arial" w:hAnsi="Arial" w:cs="Arial"/>
                <w:i/>
                <w:iCs/>
              </w:rPr>
            </w:pPr>
            <w:r w:rsidRPr="00D800F0">
              <w:rPr>
                <w:rFonts w:ascii="Arial" w:hAnsi="Arial" w:cs="Arial"/>
                <w:i/>
                <w:iCs/>
              </w:rPr>
              <w:t>Description</w:t>
            </w:r>
          </w:p>
        </w:tc>
      </w:tr>
      <w:tr w:rsidR="00DA7E40" w:rsidRPr="00D800F0" w14:paraId="4D3E9034" w14:textId="77777777" w:rsidTr="0000614D">
        <w:tc>
          <w:tcPr>
            <w:tcW w:w="5000" w:type="pct"/>
            <w:gridSpan w:val="3"/>
          </w:tcPr>
          <w:p w14:paraId="014B9FD0" w14:textId="77777777" w:rsidR="00DA7E40" w:rsidRPr="00D800F0" w:rsidRDefault="00DA7E40" w:rsidP="0000614D">
            <w:pPr>
              <w:jc w:val="center"/>
              <w:rPr>
                <w:rFonts w:ascii="Arial" w:hAnsi="Arial" w:cs="Arial"/>
                <w:b/>
                <w:bCs/>
              </w:rPr>
            </w:pPr>
            <w:r w:rsidRPr="00D800F0">
              <w:rPr>
                <w:rFonts w:ascii="Arial" w:hAnsi="Arial" w:cs="Arial"/>
                <w:b/>
                <w:bCs/>
              </w:rPr>
              <w:t>Changes to the AP Model</w:t>
            </w:r>
          </w:p>
        </w:tc>
      </w:tr>
      <w:tr w:rsidR="00DA7E40" w:rsidRPr="00D800F0" w14:paraId="5875AE50" w14:textId="77777777" w:rsidTr="0000614D">
        <w:tc>
          <w:tcPr>
            <w:tcW w:w="1274" w:type="pct"/>
          </w:tcPr>
          <w:p w14:paraId="742F0A15" w14:textId="77777777" w:rsidR="00DA7E40" w:rsidRPr="00D800F0" w:rsidRDefault="00DA7E40" w:rsidP="0000614D">
            <w:pPr>
              <w:rPr>
                <w:rFonts w:ascii="Arial" w:hAnsi="Arial" w:cs="Arial"/>
              </w:rPr>
            </w:pPr>
            <w:r w:rsidRPr="00D800F0">
              <w:rPr>
                <w:rFonts w:ascii="Arial" w:hAnsi="Arial" w:cs="Arial"/>
              </w:rPr>
              <w:t>Change in the electricity price</w:t>
            </w:r>
          </w:p>
        </w:tc>
        <w:tc>
          <w:tcPr>
            <w:tcW w:w="896" w:type="pct"/>
          </w:tcPr>
          <w:p w14:paraId="4BA2C236" w14:textId="77777777" w:rsidR="00DA7E40" w:rsidRPr="00D800F0" w:rsidRDefault="00DA7E40" w:rsidP="0000614D">
            <w:pPr>
              <w:rPr>
                <w:rFonts w:ascii="Arial" w:hAnsi="Arial" w:cs="Arial"/>
              </w:rPr>
            </w:pPr>
            <w:r w:rsidRPr="00D800F0">
              <w:rPr>
                <w:rFonts w:ascii="Arial" w:hAnsi="Arial" w:cs="Arial"/>
              </w:rPr>
              <w:t>MDOPEX</w:t>
            </w:r>
          </w:p>
        </w:tc>
        <w:tc>
          <w:tcPr>
            <w:tcW w:w="2830" w:type="pct"/>
          </w:tcPr>
          <w:p w14:paraId="3E0171C0" w14:textId="77777777" w:rsidR="00DA7E40" w:rsidRPr="00D800F0" w:rsidRDefault="00DA7E40" w:rsidP="0000614D">
            <w:pPr>
              <w:rPr>
                <w:rFonts w:ascii="Arial" w:hAnsi="Arial" w:cs="Arial"/>
              </w:rPr>
            </w:pPr>
            <w:r w:rsidRPr="00D800F0">
              <w:rPr>
                <w:rFonts w:ascii="Arial" w:hAnsi="Arial" w:cs="Arial"/>
              </w:rPr>
              <w:t xml:space="preserve">The new electricity price corresponds to the LCOE of the hybrid wind farm. </w:t>
            </w:r>
          </w:p>
        </w:tc>
      </w:tr>
      <w:tr w:rsidR="00DA7E40" w:rsidRPr="00D800F0" w14:paraId="4AA10DEB" w14:textId="77777777" w:rsidTr="0000614D">
        <w:tc>
          <w:tcPr>
            <w:tcW w:w="5000" w:type="pct"/>
            <w:gridSpan w:val="3"/>
          </w:tcPr>
          <w:p w14:paraId="35AD0B8E" w14:textId="77777777" w:rsidR="00DA7E40" w:rsidRPr="00D800F0" w:rsidRDefault="00DA7E40" w:rsidP="0000614D">
            <w:pPr>
              <w:jc w:val="center"/>
              <w:rPr>
                <w:rFonts w:ascii="Arial" w:hAnsi="Arial" w:cs="Arial"/>
                <w:b/>
                <w:bCs/>
              </w:rPr>
            </w:pPr>
            <w:r w:rsidRPr="00D800F0">
              <w:rPr>
                <w:rFonts w:ascii="Arial" w:hAnsi="Arial" w:cs="Arial"/>
                <w:b/>
                <w:bCs/>
              </w:rPr>
              <w:t>Changes to AP Model to derive the LCOE</w:t>
            </w:r>
          </w:p>
        </w:tc>
      </w:tr>
      <w:tr w:rsidR="00DA7E40" w:rsidRPr="00D800F0" w14:paraId="78DBD68B" w14:textId="77777777" w:rsidTr="0000614D">
        <w:tc>
          <w:tcPr>
            <w:tcW w:w="1274" w:type="pct"/>
          </w:tcPr>
          <w:p w14:paraId="1F9FC737" w14:textId="77777777" w:rsidR="00DA7E40" w:rsidRPr="00D800F0" w:rsidRDefault="00DA7E40" w:rsidP="0000614D">
            <w:pPr>
              <w:rPr>
                <w:rFonts w:ascii="Arial" w:hAnsi="Arial" w:cs="Arial"/>
              </w:rPr>
            </w:pPr>
            <w:r w:rsidRPr="00D800F0">
              <w:rPr>
                <w:rFonts w:ascii="Arial" w:hAnsi="Arial" w:cs="Arial"/>
              </w:rPr>
              <w:t>Every probabilistic value becomes the average value</w:t>
            </w:r>
          </w:p>
        </w:tc>
        <w:tc>
          <w:tcPr>
            <w:tcW w:w="896" w:type="pct"/>
          </w:tcPr>
          <w:p w14:paraId="4FAA5076" w14:textId="77777777" w:rsidR="00DA7E40" w:rsidRPr="00D800F0" w:rsidRDefault="00DA7E40" w:rsidP="0000614D">
            <w:pPr>
              <w:rPr>
                <w:rFonts w:ascii="Arial" w:hAnsi="Arial" w:cs="Arial"/>
              </w:rPr>
            </w:pPr>
            <w:r w:rsidRPr="00D800F0">
              <w:rPr>
                <w:rFonts w:ascii="Arial" w:hAnsi="Arial" w:cs="Arial"/>
              </w:rPr>
              <w:t>All modules</w:t>
            </w:r>
          </w:p>
        </w:tc>
        <w:tc>
          <w:tcPr>
            <w:tcW w:w="2830" w:type="pct"/>
          </w:tcPr>
          <w:p w14:paraId="53DDA3A5" w14:textId="77777777" w:rsidR="00DA7E40" w:rsidRPr="00D800F0" w:rsidRDefault="00DA7E40" w:rsidP="0000614D">
            <w:pPr>
              <w:rPr>
                <w:rFonts w:ascii="Arial" w:hAnsi="Arial" w:cs="Arial"/>
              </w:rPr>
            </w:pPr>
          </w:p>
        </w:tc>
      </w:tr>
      <w:tr w:rsidR="00DA7E40" w:rsidRPr="00D800F0" w14:paraId="3645D2CE" w14:textId="77777777" w:rsidTr="0000614D">
        <w:trPr>
          <w:trHeight w:val="1187"/>
        </w:trPr>
        <w:tc>
          <w:tcPr>
            <w:tcW w:w="1274" w:type="pct"/>
          </w:tcPr>
          <w:p w14:paraId="24C27807" w14:textId="77777777" w:rsidR="00DA7E40" w:rsidRPr="00D800F0" w:rsidRDefault="00DA7E40" w:rsidP="0000614D">
            <w:pPr>
              <w:rPr>
                <w:rFonts w:ascii="Arial" w:hAnsi="Arial" w:cs="Arial"/>
              </w:rPr>
            </w:pPr>
            <w:r w:rsidRPr="00D800F0">
              <w:rPr>
                <w:rFonts w:ascii="Arial" w:hAnsi="Arial" w:cs="Arial"/>
              </w:rPr>
              <w:t xml:space="preserve">Heuristic factors for the CAPEX are no longer multiplied by a factor of </w:t>
            </w:r>
            <m:oMath>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r>
                                <w:rPr>
                                  <w:rFonts w:ascii="Cambria Math" w:hAnsi="Cambria Math" w:cs="Arial"/>
                                </w:rPr>
                                <m:t>2717</m:t>
                              </m:r>
                            </m:num>
                            <m:den>
                              <m:r>
                                <w:rPr>
                                  <w:rFonts w:ascii="Cambria Math" w:hAnsi="Cambria Math" w:cs="Arial"/>
                                </w:rPr>
                                <m:t>100</m:t>
                              </m:r>
                            </m:den>
                          </m:f>
                        </m:e>
                      </m:d>
                    </m:e>
                    <m:sup>
                      <m:r>
                        <w:rPr>
                          <w:rFonts w:ascii="Cambria Math" w:hAnsi="Cambria Math" w:cs="Arial"/>
                        </w:rPr>
                        <m:t>0.6</m:t>
                      </m:r>
                    </m:sup>
                  </m:sSup>
                </m:den>
              </m:f>
            </m:oMath>
            <w:r w:rsidRPr="00D800F0">
              <w:rPr>
                <w:rFonts w:ascii="Arial" w:hAnsi="Arial" w:cs="Arial"/>
              </w:rPr>
              <w:t>. (see section C)</w:t>
            </w:r>
          </w:p>
        </w:tc>
        <w:tc>
          <w:tcPr>
            <w:tcW w:w="896" w:type="pct"/>
          </w:tcPr>
          <w:p w14:paraId="53835CD0" w14:textId="77777777" w:rsidR="00DA7E40" w:rsidRPr="00D800F0" w:rsidRDefault="00DA7E40" w:rsidP="0000614D">
            <w:pPr>
              <w:rPr>
                <w:rFonts w:ascii="Arial" w:hAnsi="Arial" w:cs="Arial"/>
              </w:rPr>
            </w:pPr>
            <w:r w:rsidRPr="00D800F0">
              <w:rPr>
                <w:rFonts w:ascii="Arial" w:hAnsi="Arial" w:cs="Arial"/>
              </w:rPr>
              <w:t>CAPEX</w:t>
            </w:r>
          </w:p>
        </w:tc>
        <w:tc>
          <w:tcPr>
            <w:tcW w:w="2830" w:type="pct"/>
          </w:tcPr>
          <w:p w14:paraId="718C8135" w14:textId="77777777" w:rsidR="00DA7E40" w:rsidRPr="00D800F0" w:rsidRDefault="00DA7E40" w:rsidP="0000614D">
            <w:pPr>
              <w:rPr>
                <w:rFonts w:ascii="Arial" w:hAnsi="Arial" w:cs="Arial"/>
              </w:rPr>
            </w:pPr>
            <w:r w:rsidRPr="00D800F0">
              <w:rPr>
                <w:rFonts w:ascii="Arial" w:hAnsi="Arial" w:cs="Arial"/>
              </w:rPr>
              <w:t xml:space="preserve">This scaling factor for the heuristics is not valid for the hybrid wind facility because the facility does not produce ammonia. </w:t>
            </w:r>
          </w:p>
        </w:tc>
      </w:tr>
      <w:tr w:rsidR="00DA7E40" w:rsidRPr="00D800F0" w14:paraId="55EC0343" w14:textId="77777777" w:rsidTr="0000614D">
        <w:tc>
          <w:tcPr>
            <w:tcW w:w="1274" w:type="pct"/>
          </w:tcPr>
          <w:p w14:paraId="2FB4E8C0" w14:textId="77777777" w:rsidR="00DA7E40" w:rsidRPr="00D800F0" w:rsidRDefault="00DA7E40" w:rsidP="0000614D">
            <w:pPr>
              <w:rPr>
                <w:rFonts w:ascii="Arial" w:hAnsi="Arial" w:cs="Arial"/>
              </w:rPr>
            </w:pPr>
            <w:r w:rsidRPr="00D800F0">
              <w:rPr>
                <w:rFonts w:ascii="Arial" w:hAnsi="Arial" w:cs="Arial"/>
              </w:rPr>
              <w:t>All OPEX costs are substituted for heuristics.</w:t>
            </w:r>
          </w:p>
        </w:tc>
        <w:tc>
          <w:tcPr>
            <w:tcW w:w="896" w:type="pct"/>
          </w:tcPr>
          <w:p w14:paraId="4A51E544" w14:textId="77777777" w:rsidR="00DA7E40" w:rsidRPr="00D800F0" w:rsidRDefault="00DA7E40" w:rsidP="0000614D">
            <w:pPr>
              <w:rPr>
                <w:rFonts w:ascii="Arial" w:hAnsi="Arial" w:cs="Arial"/>
              </w:rPr>
            </w:pPr>
            <w:r w:rsidRPr="00D800F0">
              <w:rPr>
                <w:rFonts w:ascii="Arial" w:hAnsi="Arial" w:cs="Arial"/>
              </w:rPr>
              <w:t>MIOPEX</w:t>
            </w:r>
          </w:p>
        </w:tc>
        <w:tc>
          <w:tcPr>
            <w:tcW w:w="2830" w:type="pct"/>
          </w:tcPr>
          <w:p w14:paraId="42D54189" w14:textId="77777777" w:rsidR="00DA7E40" w:rsidRPr="00D800F0" w:rsidRDefault="00DA7E40" w:rsidP="0000614D">
            <w:pPr>
              <w:rPr>
                <w:rFonts w:ascii="Arial" w:hAnsi="Arial" w:cs="Arial"/>
                <w:i/>
              </w:rPr>
            </w:pPr>
            <w:r w:rsidRPr="00D800F0">
              <w:rPr>
                <w:rFonts w:ascii="Arial" w:hAnsi="Arial" w:cs="Arial"/>
              </w:rPr>
              <w:t xml:space="preserve">The OPEX is becomes the </w:t>
            </w:r>
            <m:oMath>
              <m:r>
                <m:rPr>
                  <m:sty m:val="bi"/>
                </m:rPr>
                <w:rPr>
                  <w:rFonts w:ascii="Cambria Math" w:hAnsi="Cambria Math" w:cs="Arial"/>
                </w:rPr>
                <m:t>MIOPEX</m:t>
              </m:r>
              <m:d>
                <m:dPr>
                  <m:ctrlPr>
                    <w:rPr>
                      <w:rFonts w:ascii="Cambria Math" w:hAnsi="Cambria Math" w:cs="Arial"/>
                      <w:b/>
                      <w:bCs/>
                      <w:i/>
                    </w:rPr>
                  </m:ctrlPr>
                </m:dPr>
                <m:e>
                  <m:r>
                    <m:rPr>
                      <m:sty m:val="b"/>
                    </m:rPr>
                    <w:rPr>
                      <w:rFonts w:ascii="Cambria Math" w:hAnsi="Cambria Math" w:cs="Arial"/>
                    </w:rPr>
                    <m:t>Γ</m:t>
                  </m:r>
                </m:e>
              </m:d>
            </m:oMath>
            <w:r w:rsidRPr="00D800F0">
              <w:rPr>
                <w:rFonts w:ascii="Arial" w:hAnsi="Arial" w:cs="Arial"/>
              </w:rPr>
              <w:t>.</w:t>
            </w:r>
          </w:p>
          <w:p w14:paraId="0A400AD3" w14:textId="77777777" w:rsidR="00DA7E40" w:rsidRPr="00D800F0" w:rsidRDefault="00DA7E40" w:rsidP="0000614D">
            <w:pPr>
              <w:rPr>
                <w:rFonts w:ascii="Arial" w:hAnsi="Arial" w:cs="Arial"/>
              </w:rPr>
            </w:pPr>
            <w:r w:rsidRPr="00D800F0">
              <w:rPr>
                <w:rFonts w:ascii="Arial" w:hAnsi="Arial" w:cs="Arial"/>
              </w:rPr>
              <w:br/>
            </w:r>
            <m:oMathPara>
              <m:oMath>
                <m:r>
                  <m:rPr>
                    <m:sty m:val="bi"/>
                  </m:rPr>
                  <w:rPr>
                    <w:rFonts w:ascii="Cambria Math" w:hAnsi="Cambria Math" w:cs="Arial"/>
                  </w:rPr>
                  <m:t>MIOPEX</m:t>
                </m:r>
                <m:d>
                  <m:dPr>
                    <m:ctrlPr>
                      <w:rPr>
                        <w:rFonts w:ascii="Cambria Math" w:hAnsi="Cambria Math" w:cs="Arial"/>
                        <w:b/>
                        <w:bCs/>
                        <w:i/>
                      </w:rPr>
                    </m:ctrlPr>
                  </m:dPr>
                  <m:e>
                    <m:r>
                      <m:rPr>
                        <m:sty m:val="b"/>
                      </m:rPr>
                      <w:rPr>
                        <w:rFonts w:ascii="Cambria Math" w:hAnsi="Cambria Math" w:cs="Arial"/>
                      </w:rPr>
                      <m:t>Γ</m:t>
                    </m:r>
                  </m:e>
                </m:d>
                <m:r>
                  <w:rPr>
                    <w:rFonts w:ascii="Cambria Math" w:hAnsi="Cambria Math" w:cs="Arial"/>
                  </w:rPr>
                  <m:t>=</m:t>
                </m:r>
                <m:r>
                  <m:rPr>
                    <m:sty m:val="bi"/>
                  </m:rPr>
                  <w:rPr>
                    <w:rFonts w:ascii="Cambria Math" w:hAnsi="Cambria Math" w:cs="Arial"/>
                  </w:rPr>
                  <m:t>w×</m:t>
                </m:r>
                <m:f>
                  <m:fPr>
                    <m:ctrlPr>
                      <w:rPr>
                        <w:rFonts w:ascii="Cambria Math" w:hAnsi="Cambria Math" w:cs="Arial"/>
                        <w:b/>
                        <w:bCs/>
                        <w:i/>
                      </w:rPr>
                    </m:ctrlPr>
                  </m:fPr>
                  <m:num>
                    <m:sSubSup>
                      <m:sSubSupPr>
                        <m:ctrlPr>
                          <w:rPr>
                            <w:rFonts w:ascii="Cambria Math" w:hAnsi="Cambria Math" w:cs="Arial"/>
                            <w:b/>
                            <w:bCs/>
                            <w:i/>
                          </w:rPr>
                        </m:ctrlPr>
                      </m:sSubSupPr>
                      <m:e>
                        <m:r>
                          <m:rPr>
                            <m:sty m:val="bi"/>
                          </m:rPr>
                          <w:rPr>
                            <w:rFonts w:ascii="Cambria Math" w:hAnsi="Cambria Math" w:cs="Arial"/>
                          </w:rPr>
                          <m:t>C</m:t>
                        </m:r>
                      </m:e>
                      <m:sub>
                        <m:r>
                          <m:rPr>
                            <m:sty m:val="bi"/>
                          </m:rPr>
                          <w:rPr>
                            <w:rFonts w:ascii="Cambria Math" w:hAnsi="Cambria Math" w:cs="Arial"/>
                          </w:rPr>
                          <m:t>f+v</m:t>
                        </m:r>
                      </m:sub>
                      <m:sup>
                        <m:r>
                          <m:rPr>
                            <m:sty m:val="bi"/>
                          </m:rPr>
                          <w:rPr>
                            <w:rFonts w:ascii="Cambria Math" w:hAnsi="Cambria Math" w:cs="Arial"/>
                          </w:rPr>
                          <m:t>wind</m:t>
                        </m:r>
                      </m:sup>
                    </m:sSubSup>
                  </m:num>
                  <m:den>
                    <m:r>
                      <m:rPr>
                        <m:sty m:val="bi"/>
                      </m:rPr>
                      <w:rPr>
                        <w:rFonts w:ascii="Cambria Math" w:hAnsi="Cambria Math" w:cs="Arial"/>
                      </w:rPr>
                      <m:t>12</m:t>
                    </m:r>
                  </m:den>
                </m:f>
                <m:r>
                  <m:rPr>
                    <m:sty m:val="bi"/>
                  </m:rPr>
                  <w:rPr>
                    <w:rFonts w:ascii="Cambria Math" w:hAnsi="Cambria Math" w:cs="Arial"/>
                  </w:rPr>
                  <m:t>+[b×</m:t>
                </m:r>
                <m:f>
                  <m:fPr>
                    <m:ctrlPr>
                      <w:rPr>
                        <w:rFonts w:ascii="Cambria Math" w:hAnsi="Cambria Math" w:cs="Arial"/>
                        <w:b/>
                        <w:bCs/>
                        <w:i/>
                      </w:rPr>
                    </m:ctrlPr>
                  </m:fPr>
                  <m:num>
                    <m:r>
                      <m:rPr>
                        <m:sty m:val="bi"/>
                      </m:rPr>
                      <w:rPr>
                        <w:rFonts w:ascii="Cambria Math" w:hAnsi="Cambria Math" w:cs="Arial"/>
                      </w:rPr>
                      <m:t>1000</m:t>
                    </m:r>
                  </m:num>
                  <m:den>
                    <m:r>
                      <m:rPr>
                        <m:sty m:val="bi"/>
                      </m:rPr>
                      <w:rPr>
                        <w:rFonts w:ascii="Cambria Math" w:hAnsi="Cambria Math" w:cs="Arial"/>
                      </w:rPr>
                      <m:t>12</m:t>
                    </m:r>
                  </m:den>
                </m:f>
                <m:r>
                  <m:rPr>
                    <m:sty m:val="bi"/>
                  </m:rPr>
                  <w:rPr>
                    <w:rFonts w:ascii="Cambria Math" w:hAnsi="Cambria Math" w:cs="Arial"/>
                  </w:rPr>
                  <m:t>]×</m:t>
                </m:r>
                <m:sSubSup>
                  <m:sSubSupPr>
                    <m:ctrlPr>
                      <w:rPr>
                        <w:rFonts w:ascii="Cambria Math" w:hAnsi="Cambria Math" w:cs="Arial"/>
                        <w:b/>
                        <w:bCs/>
                        <w:i/>
                      </w:rPr>
                    </m:ctrlPr>
                  </m:sSubSupPr>
                  <m:e>
                    <m:r>
                      <m:rPr>
                        <m:sty m:val="bi"/>
                      </m:rPr>
                      <w:rPr>
                        <w:rFonts w:ascii="Cambria Math" w:hAnsi="Cambria Math" w:cs="Arial"/>
                      </w:rPr>
                      <m:t>C</m:t>
                    </m:r>
                  </m:e>
                  <m:sub>
                    <m:r>
                      <m:rPr>
                        <m:sty m:val="bi"/>
                      </m:rPr>
                      <w:rPr>
                        <w:rFonts w:ascii="Cambria Math" w:hAnsi="Cambria Math" w:cs="Arial"/>
                      </w:rPr>
                      <m:t>f</m:t>
                    </m:r>
                  </m:sub>
                  <m:sup>
                    <m:r>
                      <m:rPr>
                        <m:sty m:val="bi"/>
                      </m:rPr>
                      <w:rPr>
                        <w:rFonts w:ascii="Cambria Math" w:hAnsi="Cambria Math" w:cs="Arial"/>
                      </w:rPr>
                      <m:t>battery</m:t>
                    </m:r>
                  </m:sup>
                </m:sSubSup>
                <m:r>
                  <m:rPr>
                    <m:sty m:val="bi"/>
                  </m:rPr>
                  <w:rPr>
                    <w:rFonts w:ascii="Cambria Math" w:hAnsi="Cambria Math" w:cs="Arial"/>
                  </w:rPr>
                  <m:t>+</m:t>
                </m:r>
                <m:sSub>
                  <m:sSubPr>
                    <m:ctrlPr>
                      <w:rPr>
                        <w:rFonts w:ascii="Cambria Math" w:hAnsi="Cambria Math" w:cs="Arial"/>
                        <w:b/>
                        <w:bCs/>
                        <w:i/>
                      </w:rPr>
                    </m:ctrlPr>
                  </m:sSubPr>
                  <m:e>
                    <m:r>
                      <m:rPr>
                        <m:sty m:val="bi"/>
                      </m:rPr>
                      <w:rPr>
                        <w:rFonts w:ascii="Cambria Math" w:hAnsi="Cambria Math" w:cs="Arial"/>
                      </w:rPr>
                      <m:t>d</m:t>
                    </m:r>
                  </m:e>
                  <m:sub>
                    <m:r>
                      <m:rPr>
                        <m:sty m:val="bi"/>
                      </m:rPr>
                      <w:rPr>
                        <w:rFonts w:ascii="Cambria Math" w:hAnsi="Cambria Math" w:cs="Arial"/>
                      </w:rPr>
                      <m:t>monthly</m:t>
                    </m:r>
                  </m:sub>
                </m:sSub>
                <m:d>
                  <m:dPr>
                    <m:ctrlPr>
                      <w:rPr>
                        <w:rFonts w:ascii="Cambria Math" w:hAnsi="Cambria Math" w:cs="Arial"/>
                        <w:b/>
                        <w:bCs/>
                      </w:rPr>
                    </m:ctrlPr>
                  </m:dPr>
                  <m:e>
                    <m:r>
                      <m:rPr>
                        <m:sty m:val="b"/>
                      </m:rPr>
                      <w:rPr>
                        <w:rFonts w:ascii="Cambria Math" w:hAnsi="Cambria Math" w:cs="Arial"/>
                      </w:rPr>
                      <m:t>Γ</m:t>
                    </m:r>
                  </m:e>
                </m:d>
                <m:r>
                  <m:rPr>
                    <m:sty m:val="bi"/>
                  </m:rPr>
                  <w:rPr>
                    <w:rFonts w:ascii="Cambria Math" w:hAnsi="Cambria Math" w:cs="Arial"/>
                  </w:rPr>
                  <m:t>×</m:t>
                </m:r>
                <m:sSubSup>
                  <m:sSubSupPr>
                    <m:ctrlPr>
                      <w:rPr>
                        <w:rFonts w:ascii="Cambria Math" w:hAnsi="Cambria Math" w:cs="Arial"/>
                        <w:b/>
                        <w:bCs/>
                        <w:i/>
                      </w:rPr>
                    </m:ctrlPr>
                  </m:sSubSupPr>
                  <m:e>
                    <m:r>
                      <m:rPr>
                        <m:sty m:val="bi"/>
                      </m:rPr>
                      <w:rPr>
                        <w:rFonts w:ascii="Cambria Math" w:hAnsi="Cambria Math" w:cs="Arial"/>
                      </w:rPr>
                      <m:t>C</m:t>
                    </m:r>
                  </m:e>
                  <m:sub>
                    <m:r>
                      <m:rPr>
                        <m:sty m:val="bi"/>
                      </m:rPr>
                      <w:rPr>
                        <w:rFonts w:ascii="Cambria Math" w:hAnsi="Cambria Math" w:cs="Arial"/>
                      </w:rPr>
                      <m:t>v</m:t>
                    </m:r>
                  </m:sub>
                  <m:sup>
                    <m:r>
                      <m:rPr>
                        <m:sty m:val="bi"/>
                      </m:rPr>
                      <w:rPr>
                        <w:rFonts w:ascii="Cambria Math" w:hAnsi="Cambria Math" w:cs="Arial"/>
                      </w:rPr>
                      <m:t>battery</m:t>
                    </m:r>
                  </m:sup>
                </m:sSubSup>
              </m:oMath>
            </m:oMathPara>
          </w:p>
        </w:tc>
      </w:tr>
      <w:tr w:rsidR="00DA7E40" w:rsidRPr="00D800F0" w14:paraId="1CB9D52E" w14:textId="77777777" w:rsidTr="0000614D">
        <w:trPr>
          <w:trHeight w:val="602"/>
        </w:trPr>
        <w:tc>
          <w:tcPr>
            <w:tcW w:w="1274" w:type="pct"/>
          </w:tcPr>
          <w:p w14:paraId="5A460D89" w14:textId="77777777" w:rsidR="00DA7E40" w:rsidRPr="00D800F0" w:rsidRDefault="00DA7E40" w:rsidP="0000614D">
            <w:pPr>
              <w:rPr>
                <w:rFonts w:ascii="Arial" w:hAnsi="Arial" w:cs="Arial"/>
              </w:rPr>
            </w:pPr>
            <w:r w:rsidRPr="00D800F0">
              <w:rPr>
                <w:rFonts w:ascii="Arial" w:hAnsi="Arial" w:cs="Arial"/>
              </w:rPr>
              <w:t>Sales change from ammonia to electricity.</w:t>
            </w:r>
          </w:p>
        </w:tc>
        <w:tc>
          <w:tcPr>
            <w:tcW w:w="896" w:type="pct"/>
          </w:tcPr>
          <w:p w14:paraId="4C8225B3" w14:textId="77777777" w:rsidR="00DA7E40" w:rsidRPr="00D800F0" w:rsidRDefault="00DA7E40" w:rsidP="0000614D">
            <w:pPr>
              <w:rPr>
                <w:rFonts w:ascii="Arial" w:hAnsi="Arial" w:cs="Arial"/>
              </w:rPr>
            </w:pPr>
            <w:r w:rsidRPr="00D800F0">
              <w:rPr>
                <w:rFonts w:ascii="Arial" w:hAnsi="Arial" w:cs="Arial"/>
              </w:rPr>
              <w:t>Sales</w:t>
            </w:r>
          </w:p>
        </w:tc>
        <w:tc>
          <w:tcPr>
            <w:tcW w:w="2830" w:type="pct"/>
          </w:tcPr>
          <w:p w14:paraId="37ED1134" w14:textId="77777777" w:rsidR="00DA7E40" w:rsidRPr="00D800F0" w:rsidRDefault="00DA7E40" w:rsidP="0000614D">
            <w:pPr>
              <w:rPr>
                <w:rFonts w:ascii="Arial" w:hAnsi="Arial" w:cs="Arial"/>
                <w:b/>
                <w:bCs/>
              </w:rPr>
            </w:pPr>
            <m:oMathPara>
              <m:oMath>
                <m:r>
                  <m:rPr>
                    <m:sty m:val="bi"/>
                  </m:rPr>
                  <w:rPr>
                    <w:rFonts w:ascii="Cambria Math" w:hAnsi="Cambria Math" w:cs="Arial"/>
                  </w:rPr>
                  <m:t>Sales</m:t>
                </m:r>
                <m:d>
                  <m:dPr>
                    <m:ctrlPr>
                      <w:rPr>
                        <w:rFonts w:ascii="Cambria Math" w:hAnsi="Cambria Math" w:cs="Arial"/>
                        <w:b/>
                        <w:bCs/>
                        <w:i/>
                      </w:rPr>
                    </m:ctrlPr>
                  </m:dPr>
                  <m:e>
                    <m:r>
                      <m:rPr>
                        <m:sty m:val="b"/>
                      </m:rPr>
                      <w:rPr>
                        <w:rFonts w:ascii="Cambria Math" w:hAnsi="Cambria Math" w:cs="Arial"/>
                      </w:rPr>
                      <m:t>Γ</m:t>
                    </m:r>
                  </m:e>
                </m:d>
                <m:r>
                  <m:rPr>
                    <m:sty m:val="bi"/>
                  </m:rPr>
                  <w:rPr>
                    <w:rFonts w:ascii="Cambria Math" w:hAnsi="Cambria Math" w:cs="Arial"/>
                  </w:rPr>
                  <m:t>=</m:t>
                </m:r>
                <m:sSub>
                  <m:sSubPr>
                    <m:ctrlPr>
                      <w:rPr>
                        <w:rFonts w:ascii="Cambria Math" w:hAnsi="Cambria Math" w:cs="Arial"/>
                        <w:b/>
                        <w:bCs/>
                        <w:i/>
                      </w:rPr>
                    </m:ctrlPr>
                  </m:sSubPr>
                  <m:e>
                    <m:r>
                      <m:rPr>
                        <m:sty m:val="bi"/>
                      </m:rPr>
                      <w:rPr>
                        <w:rFonts w:ascii="Cambria Math" w:hAnsi="Cambria Math" w:cs="Arial"/>
                      </w:rPr>
                      <m:t>[D</m:t>
                    </m:r>
                  </m:e>
                  <m:sub>
                    <m:r>
                      <m:rPr>
                        <m:sty m:val="bi"/>
                      </m:rPr>
                      <w:rPr>
                        <w:rFonts w:ascii="Cambria Math" w:hAnsi="Cambria Math" w:cs="Arial"/>
                      </w:rPr>
                      <m:t>j</m:t>
                    </m:r>
                  </m:sub>
                </m:sSub>
                <m:r>
                  <m:rPr>
                    <m:sty m:val="bi"/>
                  </m:rPr>
                  <w:rPr>
                    <w:rFonts w:ascii="Cambria Math" w:hAnsi="Cambria Math" w:cs="Arial"/>
                  </w:rPr>
                  <m:t>+</m:t>
                </m:r>
                <m:d>
                  <m:dPr>
                    <m:begChr m:val="["/>
                    <m:endChr m:val="]"/>
                    <m:ctrlPr>
                      <w:rPr>
                        <w:rFonts w:ascii="Cambria Math" w:hAnsi="Cambria Math" w:cs="Arial"/>
                        <w:i/>
                      </w:rPr>
                    </m:ctrlPr>
                  </m:dPr>
                  <m:e>
                    <m:r>
                      <m:rPr>
                        <m:sty m:val="bi"/>
                      </m:rPr>
                      <w:rPr>
                        <w:rFonts w:ascii="Cambria Math" w:hAnsi="Cambria Math" w:cs="Arial"/>
                      </w:rPr>
                      <m:t>C</m:t>
                    </m:r>
                    <m:sSub>
                      <m:sSubPr>
                        <m:ctrlPr>
                          <w:rPr>
                            <w:rFonts w:ascii="Cambria Math" w:hAnsi="Cambria Math" w:cs="Arial"/>
                            <w:b/>
                            <w:bCs/>
                            <w:i/>
                          </w:rPr>
                        </m:ctrlPr>
                      </m:sSubPr>
                      <m:e>
                        <m:r>
                          <m:rPr>
                            <m:sty m:val="bi"/>
                          </m:rPr>
                          <w:rPr>
                            <w:rFonts w:ascii="Cambria Math" w:hAnsi="Cambria Math" w:cs="Arial"/>
                          </w:rPr>
                          <m:t>F</m:t>
                        </m:r>
                      </m:e>
                      <m:sub>
                        <m:r>
                          <m:rPr>
                            <m:sty m:val="bi"/>
                          </m:rPr>
                          <w:rPr>
                            <w:rFonts w:ascii="Cambria Math" w:hAnsi="Cambria Math" w:cs="Arial"/>
                          </w:rPr>
                          <m:t>monthly</m:t>
                        </m:r>
                      </m:sub>
                    </m:sSub>
                    <m:d>
                      <m:dPr>
                        <m:ctrlPr>
                          <w:rPr>
                            <w:rFonts w:ascii="Cambria Math" w:hAnsi="Cambria Math" w:cs="Arial"/>
                            <w:b/>
                            <w:bCs/>
                            <w:i/>
                          </w:rPr>
                        </m:ctrlPr>
                      </m:dPr>
                      <m:e>
                        <m:r>
                          <m:rPr>
                            <m:sty m:val="b"/>
                          </m:rPr>
                          <w:rPr>
                            <w:rFonts w:ascii="Cambria Math" w:hAnsi="Cambria Math" w:cs="Arial"/>
                          </w:rPr>
                          <m:t>Γ</m:t>
                        </m:r>
                        <m:ctrlPr>
                          <w:rPr>
                            <w:rFonts w:ascii="Cambria Math" w:hAnsi="Cambria Math" w:cs="Arial"/>
                            <w:b/>
                            <w:bCs/>
                          </w:rPr>
                        </m:ctrlPr>
                      </m:e>
                    </m:d>
                    <m:r>
                      <w:rPr>
                        <w:rFonts w:ascii="Cambria Math" w:hAnsi="Cambria Math" w:cs="Arial"/>
                      </w:rPr>
                      <m:t>*</m:t>
                    </m:r>
                    <m:r>
                      <m:rPr>
                        <m:sty m:val="bi"/>
                      </m:rPr>
                      <w:rPr>
                        <w:rFonts w:ascii="Cambria Math" w:hAnsi="Cambria Math" w:cs="Arial"/>
                      </w:rPr>
                      <m:t xml:space="preserve">w- </m:t>
                    </m:r>
                    <m:sSub>
                      <m:sSubPr>
                        <m:ctrlPr>
                          <w:rPr>
                            <w:rFonts w:ascii="Cambria Math" w:hAnsi="Cambria Math" w:cs="Arial"/>
                            <w:b/>
                            <w:bCs/>
                            <w:i/>
                          </w:rPr>
                        </m:ctrlPr>
                      </m:sSubPr>
                      <m:e>
                        <m:r>
                          <m:rPr>
                            <m:sty m:val="bi"/>
                          </m:rPr>
                          <w:rPr>
                            <w:rFonts w:ascii="Cambria Math" w:hAnsi="Cambria Math" w:cs="Arial"/>
                          </w:rPr>
                          <m:t>w</m:t>
                        </m:r>
                      </m:e>
                      <m:sub>
                        <m:r>
                          <m:rPr>
                            <m:sty m:val="bi"/>
                          </m:rPr>
                          <w:rPr>
                            <w:rFonts w:ascii="Cambria Math" w:hAnsi="Cambria Math" w:cs="Arial"/>
                          </w:rPr>
                          <m:t>montly</m:t>
                        </m:r>
                      </m:sub>
                    </m:sSub>
                    <m:d>
                      <m:dPr>
                        <m:ctrlPr>
                          <w:rPr>
                            <w:rFonts w:ascii="Cambria Math" w:hAnsi="Cambria Math" w:cs="Arial"/>
                            <w:b/>
                            <w:bCs/>
                            <w:i/>
                          </w:rPr>
                        </m:ctrlPr>
                      </m:dPr>
                      <m:e>
                        <m:r>
                          <m:rPr>
                            <m:sty m:val="b"/>
                          </m:rPr>
                          <w:rPr>
                            <w:rFonts w:ascii="Cambria Math" w:hAnsi="Cambria Math" w:cs="Arial"/>
                          </w:rPr>
                          <m:t>Γ</m:t>
                        </m:r>
                        <m:ctrlPr>
                          <w:rPr>
                            <w:rFonts w:ascii="Cambria Math" w:hAnsi="Cambria Math" w:cs="Arial"/>
                            <w:b/>
                            <w:bCs/>
                          </w:rPr>
                        </m:ctrlPr>
                      </m:e>
                    </m:d>
                    <m:ctrlPr>
                      <w:rPr>
                        <w:rFonts w:ascii="Cambria Math" w:hAnsi="Cambria Math" w:cs="Arial"/>
                        <w:b/>
                        <w:bCs/>
                      </w:rPr>
                    </m:ctrlPr>
                  </m:e>
                </m:d>
                <m:r>
                  <m:rPr>
                    <m:sty m:val="bi"/>
                  </m:rPr>
                  <w:rPr>
                    <w:rFonts w:ascii="Cambria Math" w:hAnsi="Cambria Math" w:cs="Arial"/>
                  </w:rPr>
                  <m:t>]*LCOE</m:t>
                </m:r>
              </m:oMath>
            </m:oMathPara>
          </w:p>
        </w:tc>
      </w:tr>
      <w:tr w:rsidR="00DA7E40" w:rsidRPr="00D800F0" w14:paraId="25317857" w14:textId="77777777" w:rsidTr="0000614D">
        <w:tc>
          <w:tcPr>
            <w:tcW w:w="1274" w:type="pct"/>
          </w:tcPr>
          <w:p w14:paraId="2033FEA9" w14:textId="77777777" w:rsidR="00DA7E40" w:rsidRPr="00D800F0" w:rsidRDefault="00DA7E40" w:rsidP="0000614D">
            <w:pPr>
              <w:rPr>
                <w:rFonts w:ascii="Arial" w:hAnsi="Arial" w:cs="Arial"/>
              </w:rPr>
            </w:pPr>
            <w:r w:rsidRPr="00D800F0">
              <w:rPr>
                <w:rFonts w:ascii="Arial" w:hAnsi="Arial" w:cs="Arial"/>
              </w:rPr>
              <w:t>Only 48E or 45Y credits are considered</w:t>
            </w:r>
          </w:p>
        </w:tc>
        <w:tc>
          <w:tcPr>
            <w:tcW w:w="896" w:type="pct"/>
          </w:tcPr>
          <w:p w14:paraId="05BD4EAC" w14:textId="77777777" w:rsidR="00DA7E40" w:rsidRPr="00D800F0" w:rsidRDefault="00DA7E40" w:rsidP="0000614D">
            <w:pPr>
              <w:rPr>
                <w:rFonts w:ascii="Arial" w:hAnsi="Arial" w:cs="Arial"/>
              </w:rPr>
            </w:pPr>
            <w:r w:rsidRPr="00D800F0">
              <w:rPr>
                <w:rFonts w:ascii="Arial" w:hAnsi="Arial" w:cs="Arial"/>
              </w:rPr>
              <w:t>Tax Credits</w:t>
            </w:r>
          </w:p>
        </w:tc>
        <w:tc>
          <w:tcPr>
            <w:tcW w:w="2830" w:type="pct"/>
          </w:tcPr>
          <w:p w14:paraId="4A7FD594" w14:textId="5B44F4E2" w:rsidR="00DA7E40" w:rsidRPr="00D800F0" w:rsidRDefault="00DA7E40" w:rsidP="0000614D">
            <w:pPr>
              <w:rPr>
                <w:rFonts w:ascii="Arial" w:hAnsi="Arial" w:cs="Arial"/>
              </w:rPr>
            </w:pPr>
            <w:r w:rsidRPr="00D800F0">
              <w:rPr>
                <w:rFonts w:ascii="Arial" w:hAnsi="Arial" w:cs="Arial"/>
              </w:rPr>
              <w:t xml:space="preserve">48E or 45Y credits are applied using the same formulation as scenario C (see section </w:t>
            </w:r>
            <w:r w:rsidRPr="00D800F0">
              <w:rPr>
                <w:rFonts w:ascii="Arial" w:hAnsi="Arial" w:cs="Arial"/>
              </w:rPr>
              <w:fldChar w:fldCharType="begin"/>
            </w:r>
            <w:r w:rsidRPr="00D800F0">
              <w:rPr>
                <w:rFonts w:ascii="Arial" w:hAnsi="Arial" w:cs="Arial"/>
              </w:rPr>
              <w:instrText xml:space="preserve"> REF _Ref146464486 \r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F.1.1</w:t>
            </w:r>
            <w:r w:rsidRPr="00D800F0">
              <w:rPr>
                <w:rFonts w:ascii="Arial" w:hAnsi="Arial" w:cs="Arial"/>
              </w:rPr>
              <w:fldChar w:fldCharType="end"/>
            </w:r>
            <w:r w:rsidRPr="00D800F0">
              <w:rPr>
                <w:rFonts w:ascii="Arial" w:hAnsi="Arial" w:cs="Arial"/>
              </w:rPr>
              <w:t xml:space="preserve">). </w:t>
            </w:r>
          </w:p>
        </w:tc>
      </w:tr>
      <w:tr w:rsidR="00DA7E40" w:rsidRPr="00D800F0" w14:paraId="5B6EECBE" w14:textId="77777777" w:rsidTr="0000614D">
        <w:tc>
          <w:tcPr>
            <w:tcW w:w="1274" w:type="pct"/>
          </w:tcPr>
          <w:p w14:paraId="75E278D2" w14:textId="77777777" w:rsidR="00DA7E40" w:rsidRPr="00D800F0" w:rsidRDefault="00DA7E40" w:rsidP="0000614D">
            <w:pPr>
              <w:rPr>
                <w:rFonts w:ascii="Arial" w:hAnsi="Arial" w:cs="Arial"/>
              </w:rPr>
            </w:pPr>
            <w:r w:rsidRPr="00D800F0">
              <w:rPr>
                <w:rFonts w:ascii="Arial" w:hAnsi="Arial" w:cs="Arial"/>
              </w:rPr>
              <w:t xml:space="preserve">Instead of an NPV analysis, we use a levelized cost analysis. </w:t>
            </w:r>
          </w:p>
        </w:tc>
        <w:tc>
          <w:tcPr>
            <w:tcW w:w="896" w:type="pct"/>
          </w:tcPr>
          <w:p w14:paraId="0C41FA9E" w14:textId="77777777" w:rsidR="00DA7E40" w:rsidRPr="00D800F0" w:rsidRDefault="00DA7E40" w:rsidP="0000614D">
            <w:pPr>
              <w:rPr>
                <w:rFonts w:ascii="Arial" w:hAnsi="Arial" w:cs="Arial"/>
              </w:rPr>
            </w:pPr>
            <w:r w:rsidRPr="00D800F0">
              <w:rPr>
                <w:rFonts w:ascii="Arial" w:hAnsi="Arial" w:cs="Arial"/>
              </w:rPr>
              <w:t>DCF Model</w:t>
            </w:r>
          </w:p>
        </w:tc>
        <w:tc>
          <w:tcPr>
            <w:tcW w:w="2830" w:type="pct"/>
          </w:tcPr>
          <w:p w14:paraId="5A382948" w14:textId="77777777" w:rsidR="00DA7E40" w:rsidRPr="00D800F0" w:rsidRDefault="00DA7E40" w:rsidP="0000614D">
            <w:pPr>
              <w:rPr>
                <w:rFonts w:ascii="Arial" w:hAnsi="Arial" w:cs="Arial"/>
              </w:rPr>
            </w:pPr>
            <w:r w:rsidRPr="00D800F0">
              <w:rPr>
                <w:rFonts w:ascii="Arial" w:hAnsi="Arial" w:cs="Arial"/>
              </w:rPr>
              <w:t xml:space="preserve">We iterate the LCOE until the absolute value of the NPV is minimized. </w:t>
            </w:r>
          </w:p>
          <w:p w14:paraId="37949D9A" w14:textId="77777777" w:rsidR="00DA7E40" w:rsidRPr="00D800F0" w:rsidRDefault="00000000" w:rsidP="0000614D">
            <w:pPr>
              <w:rPr>
                <w:rFonts w:ascii="Arial" w:hAnsi="Arial" w:cs="Arial"/>
              </w:rPr>
            </w:pPr>
            <m:oMathPara>
              <m:oMath>
                <m:func>
                  <m:funcPr>
                    <m:ctrlPr>
                      <w:rPr>
                        <w:rFonts w:ascii="Cambria Math" w:hAnsi="Cambria Math" w:cs="Arial"/>
                      </w:rPr>
                    </m:ctrlPr>
                  </m:funcPr>
                  <m:fName>
                    <m:r>
                      <m:rPr>
                        <m:sty m:val="p"/>
                      </m:rPr>
                      <w:rPr>
                        <w:rFonts w:ascii="Cambria Math" w:hAnsi="Cambria Math" w:cs="Arial"/>
                      </w:rPr>
                      <m:t>arg</m:t>
                    </m:r>
                    <m:ctrlPr>
                      <w:rPr>
                        <w:rFonts w:ascii="Cambria Math" w:hAnsi="Cambria Math" w:cs="Arial"/>
                        <w:i/>
                      </w:rPr>
                    </m:ctrlPr>
                  </m:fName>
                  <m:e>
                    <m:r>
                      <m:rPr>
                        <m:sty m:val="bi"/>
                      </m:rPr>
                      <w:rPr>
                        <w:rFonts w:ascii="Cambria Math" w:hAnsi="Cambria Math" w:cs="Arial"/>
                      </w:rPr>
                      <m:t>LCOE</m:t>
                    </m:r>
                  </m:e>
                </m:func>
                <m:func>
                  <m:funcPr>
                    <m:ctrlPr>
                      <w:rPr>
                        <w:rFonts w:ascii="Cambria Math" w:hAnsi="Cambria Math" w:cs="Arial"/>
                        <w:i/>
                      </w:rPr>
                    </m:ctrlPr>
                  </m:funcPr>
                  <m:fName>
                    <m:r>
                      <m:rPr>
                        <m:sty m:val="p"/>
                      </m:rPr>
                      <w:rPr>
                        <w:rFonts w:ascii="Cambria Math" w:hAnsi="Cambria Math" w:cs="Arial"/>
                      </w:rPr>
                      <m:t>min</m:t>
                    </m:r>
                  </m:fName>
                  <m:e>
                    <m:nary>
                      <m:naryPr>
                        <m:chr m:val="∑"/>
                        <m:limLoc m:val="undOvr"/>
                        <m:ctrlPr>
                          <w:rPr>
                            <w:rFonts w:ascii="Cambria Math" w:hAnsi="Cambria Math" w:cs="Arial"/>
                            <w:i/>
                          </w:rPr>
                        </m:ctrlPr>
                      </m:naryPr>
                      <m:sub>
                        <m:r>
                          <w:rPr>
                            <w:rFonts w:ascii="Cambria Math" w:hAnsi="Cambria Math" w:cs="Arial"/>
                          </w:rPr>
                          <m:t>T=0</m:t>
                        </m:r>
                      </m:sub>
                      <m:sup>
                        <m:r>
                          <w:rPr>
                            <w:rFonts w:ascii="Cambria Math" w:hAnsi="Cambria Math" w:cs="Arial"/>
                          </w:rPr>
                          <m:t>L+S+C</m:t>
                        </m:r>
                      </m:sup>
                      <m:e>
                        <m:d>
                          <m:dPr>
                            <m:begChr m:val="|"/>
                            <m:endChr m:val="|"/>
                            <m:ctrlPr>
                              <w:rPr>
                                <w:rFonts w:ascii="Cambria Math" w:hAnsi="Cambria Math" w:cs="Arial"/>
                                <w:i/>
                              </w:rPr>
                            </m:ctrlPr>
                          </m:dPr>
                          <m:e>
                            <m:f>
                              <m:fPr>
                                <m:ctrlPr>
                                  <w:rPr>
                                    <w:rFonts w:ascii="Cambria Math" w:hAnsi="Cambria Math" w:cs="Arial"/>
                                    <w:i/>
                                  </w:rPr>
                                </m:ctrlPr>
                              </m:fPr>
                              <m:num>
                                <m:r>
                                  <m:rPr>
                                    <m:sty m:val="bi"/>
                                  </m:rPr>
                                  <w:rPr>
                                    <w:rFonts w:ascii="Cambria Math" w:hAnsi="Cambria Math" w:cs="Arial"/>
                                  </w:rPr>
                                  <m:t>C</m:t>
                                </m:r>
                                <m:sSub>
                                  <m:sSubPr>
                                    <m:ctrlPr>
                                      <w:rPr>
                                        <w:rFonts w:ascii="Cambria Math" w:hAnsi="Cambria Math" w:cs="Arial"/>
                                        <w:b/>
                                        <w:bCs/>
                                        <w:i/>
                                      </w:rPr>
                                    </m:ctrlPr>
                                  </m:sSubPr>
                                  <m:e>
                                    <m:r>
                                      <m:rPr>
                                        <m:sty m:val="bi"/>
                                      </m:rPr>
                                      <w:rPr>
                                        <w:rFonts w:ascii="Cambria Math" w:hAnsi="Cambria Math" w:cs="Arial"/>
                                      </w:rPr>
                                      <m:t>F</m:t>
                                    </m:r>
                                  </m:e>
                                  <m:sub>
                                    <m:r>
                                      <m:rPr>
                                        <m:sty m:val="bi"/>
                                      </m:rPr>
                                      <w:rPr>
                                        <w:rFonts w:ascii="Cambria Math" w:hAnsi="Cambria Math" w:cs="Arial"/>
                                      </w:rPr>
                                      <m:t>LCOE</m:t>
                                    </m:r>
                                  </m:sub>
                                </m:sSub>
                                <m:d>
                                  <m:dPr>
                                    <m:ctrlPr>
                                      <w:rPr>
                                        <w:rFonts w:ascii="Cambria Math" w:hAnsi="Cambria Math" w:cs="Arial"/>
                                        <w:b/>
                                        <w:bCs/>
                                        <w:i/>
                                      </w:rPr>
                                    </m:ctrlPr>
                                  </m:dPr>
                                  <m:e>
                                    <m:r>
                                      <m:rPr>
                                        <m:sty m:val="bi"/>
                                      </m:rPr>
                                      <w:rPr>
                                        <w:rFonts w:ascii="Cambria Math" w:hAnsi="Cambria Math" w:cs="Arial"/>
                                      </w:rPr>
                                      <m:t>T</m:t>
                                    </m:r>
                                  </m:e>
                                </m:d>
                              </m:num>
                              <m:den>
                                <m:sSup>
                                  <m:sSupPr>
                                    <m:ctrlPr>
                                      <w:rPr>
                                        <w:rFonts w:ascii="Cambria Math" w:hAnsi="Cambria Math" w:cs="Arial"/>
                                        <w:i/>
                                      </w:rPr>
                                    </m:ctrlPr>
                                  </m:sSupPr>
                                  <m:e>
                                    <m:d>
                                      <m:dPr>
                                        <m:ctrlPr>
                                          <w:rPr>
                                            <w:rFonts w:ascii="Cambria Math" w:hAnsi="Cambria Math" w:cs="Arial"/>
                                            <w:b/>
                                            <w:bCs/>
                                            <w:i/>
                                          </w:rPr>
                                        </m:ctrlPr>
                                      </m:dPr>
                                      <m:e>
                                        <m:r>
                                          <m:rPr>
                                            <m:sty m:val="bi"/>
                                          </m:rPr>
                                          <w:rPr>
                                            <w:rFonts w:ascii="Cambria Math" w:hAnsi="Cambria Math" w:cs="Arial"/>
                                          </w:rPr>
                                          <m:t>1+</m:t>
                                        </m:r>
                                        <m:sSub>
                                          <m:sSubPr>
                                            <m:ctrlPr>
                                              <w:rPr>
                                                <w:rFonts w:ascii="Cambria Math" w:hAnsi="Cambria Math" w:cs="Arial"/>
                                                <w:b/>
                                                <w:bCs/>
                                                <w:i/>
                                              </w:rPr>
                                            </m:ctrlPr>
                                          </m:sSubPr>
                                          <m:e>
                                            <m:r>
                                              <m:rPr>
                                                <m:sty m:val="bi"/>
                                              </m:rPr>
                                              <w:rPr>
                                                <w:rFonts w:ascii="Cambria Math" w:hAnsi="Cambria Math" w:cs="Arial"/>
                                              </w:rPr>
                                              <m:t>d</m:t>
                                            </m:r>
                                          </m:e>
                                          <m:sub>
                                            <m:r>
                                              <m:rPr>
                                                <m:sty m:val="bi"/>
                                              </m:rPr>
                                              <w:rPr>
                                                <w:rFonts w:ascii="Cambria Math" w:hAnsi="Cambria Math" w:cs="Arial"/>
                                              </w:rPr>
                                              <m:t>r</m:t>
                                            </m:r>
                                          </m:sub>
                                        </m:sSub>
                                      </m:e>
                                    </m:d>
                                  </m:e>
                                  <m:sup>
                                    <m:r>
                                      <m:rPr>
                                        <m:sty m:val="bi"/>
                                      </m:rPr>
                                      <w:rPr>
                                        <w:rFonts w:ascii="Cambria Math" w:hAnsi="Cambria Math" w:cs="Arial"/>
                                      </w:rPr>
                                      <m:t>T-S</m:t>
                                    </m:r>
                                  </m:sup>
                                </m:sSup>
                              </m:den>
                            </m:f>
                          </m:e>
                        </m:d>
                      </m:e>
                    </m:nary>
                  </m:e>
                </m:func>
              </m:oMath>
            </m:oMathPara>
          </w:p>
        </w:tc>
      </w:tr>
    </w:tbl>
    <w:p w14:paraId="497D2005" w14:textId="77777777" w:rsidR="00DA7E40" w:rsidRPr="00D800F0" w:rsidRDefault="00DA7E40" w:rsidP="00DA7E40">
      <w:pPr>
        <w:rPr>
          <w:rFonts w:ascii="Arial" w:hAnsi="Arial" w:cs="Arial"/>
          <w:lang w:eastAsia="en-GB"/>
        </w:rPr>
      </w:pPr>
    </w:p>
    <w:p w14:paraId="60424857" w14:textId="77777777" w:rsidR="00DA7E40" w:rsidRPr="00D800F0" w:rsidRDefault="00DA7E40" w:rsidP="00DA7E40">
      <w:pPr>
        <w:pStyle w:val="Caption"/>
        <w:rPr>
          <w:rFonts w:ascii="Arial" w:hAnsi="Arial" w:cs="Arial"/>
        </w:rPr>
      </w:pPr>
      <w:bookmarkStart w:id="82" w:name="_Ref146478993"/>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E</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5</w:t>
      </w:r>
      <w:r w:rsidRPr="00D800F0">
        <w:rPr>
          <w:rFonts w:ascii="Arial" w:hAnsi="Arial" w:cs="Arial"/>
          <w:noProof/>
        </w:rPr>
        <w:fldChar w:fldCharType="end"/>
      </w:r>
      <w:bookmarkEnd w:id="82"/>
      <w:r w:rsidRPr="00D800F0">
        <w:rPr>
          <w:rFonts w:ascii="Arial" w:hAnsi="Arial" w:cs="Arial"/>
        </w:rPr>
        <w:t>: PPA prices based on the LCOE model.</w:t>
      </w:r>
    </w:p>
    <w:tbl>
      <w:tblPr>
        <w:tblW w:w="4768" w:type="pct"/>
        <w:tblLook w:val="04A0" w:firstRow="1" w:lastRow="0" w:firstColumn="1" w:lastColumn="0" w:noHBand="0" w:noVBand="1"/>
      </w:tblPr>
      <w:tblGrid>
        <w:gridCol w:w="1607"/>
        <w:gridCol w:w="1596"/>
        <w:gridCol w:w="2512"/>
        <w:gridCol w:w="1447"/>
        <w:gridCol w:w="2198"/>
      </w:tblGrid>
      <w:tr w:rsidR="00DA7E40" w:rsidRPr="00D800F0" w14:paraId="714E47EC" w14:textId="77777777" w:rsidTr="0000614D">
        <w:trPr>
          <w:trHeight w:val="728"/>
        </w:trPr>
        <w:tc>
          <w:tcPr>
            <w:tcW w:w="857" w:type="pct"/>
            <w:tcBorders>
              <w:top w:val="single" w:sz="4" w:space="0" w:color="auto"/>
              <w:left w:val="nil"/>
              <w:bottom w:val="single" w:sz="4" w:space="0" w:color="auto"/>
              <w:right w:val="nil"/>
            </w:tcBorders>
            <w:shd w:val="clear" w:color="auto" w:fill="auto"/>
            <w:noWrap/>
            <w:vAlign w:val="center"/>
            <w:hideMark/>
          </w:tcPr>
          <w:p w14:paraId="69DE1A5A" w14:textId="77777777" w:rsidR="00DA7E40" w:rsidRPr="00D800F0" w:rsidRDefault="00DA7E40" w:rsidP="0000614D">
            <w:pPr>
              <w:spacing w:after="0" w:line="240" w:lineRule="auto"/>
              <w:rPr>
                <w:rFonts w:ascii="Arial" w:eastAsia="Times New Roman" w:hAnsi="Arial" w:cs="Arial"/>
                <w:b/>
                <w:bCs/>
                <w:color w:val="000000"/>
              </w:rPr>
            </w:pPr>
            <w:r w:rsidRPr="00D800F0">
              <w:rPr>
                <w:rFonts w:ascii="Arial" w:eastAsia="Times New Roman" w:hAnsi="Arial" w:cs="Arial"/>
                <w:b/>
                <w:bCs/>
                <w:color w:val="000000"/>
              </w:rPr>
              <w:t>Time</w:t>
            </w:r>
          </w:p>
        </w:tc>
        <w:tc>
          <w:tcPr>
            <w:tcW w:w="851" w:type="pct"/>
            <w:tcBorders>
              <w:top w:val="single" w:sz="4" w:space="0" w:color="auto"/>
              <w:left w:val="nil"/>
              <w:bottom w:val="single" w:sz="4" w:space="0" w:color="auto"/>
              <w:right w:val="nil"/>
            </w:tcBorders>
            <w:shd w:val="clear" w:color="auto" w:fill="auto"/>
            <w:noWrap/>
            <w:vAlign w:val="center"/>
            <w:hideMark/>
          </w:tcPr>
          <w:p w14:paraId="08A5EC5B" w14:textId="77777777" w:rsidR="00DA7E40" w:rsidRPr="00D800F0" w:rsidRDefault="00DA7E40" w:rsidP="0000614D">
            <w:pPr>
              <w:spacing w:after="0" w:line="240" w:lineRule="auto"/>
              <w:rPr>
                <w:rFonts w:ascii="Arial" w:eastAsia="Times New Roman" w:hAnsi="Arial" w:cs="Arial"/>
                <w:b/>
                <w:bCs/>
                <w:color w:val="000000"/>
              </w:rPr>
            </w:pPr>
            <w:r w:rsidRPr="00D800F0">
              <w:rPr>
                <w:rFonts w:ascii="Arial" w:eastAsia="Times New Roman" w:hAnsi="Arial" w:cs="Arial"/>
                <w:b/>
                <w:bCs/>
                <w:color w:val="000000"/>
              </w:rPr>
              <w:t>matching</w:t>
            </w:r>
          </w:p>
        </w:tc>
        <w:tc>
          <w:tcPr>
            <w:tcW w:w="1345" w:type="pct"/>
            <w:tcBorders>
              <w:top w:val="single" w:sz="4" w:space="0" w:color="auto"/>
              <w:left w:val="nil"/>
              <w:bottom w:val="single" w:sz="4" w:space="0" w:color="auto"/>
              <w:right w:val="nil"/>
            </w:tcBorders>
            <w:shd w:val="clear" w:color="auto" w:fill="auto"/>
            <w:noWrap/>
            <w:vAlign w:val="center"/>
            <w:hideMark/>
          </w:tcPr>
          <w:p w14:paraId="6069039F" w14:textId="77777777" w:rsidR="00DA7E40" w:rsidRPr="00D800F0" w:rsidRDefault="00DA7E40" w:rsidP="0000614D">
            <w:pPr>
              <w:spacing w:after="0" w:line="240" w:lineRule="auto"/>
              <w:rPr>
                <w:rFonts w:ascii="Arial" w:eastAsia="Times New Roman" w:hAnsi="Arial" w:cs="Arial"/>
                <w:b/>
                <w:bCs/>
                <w:color w:val="000000"/>
              </w:rPr>
            </w:pPr>
            <w:r w:rsidRPr="00D800F0">
              <w:rPr>
                <w:rFonts w:ascii="Arial" w:eastAsia="Times New Roman" w:hAnsi="Arial" w:cs="Arial"/>
                <w:b/>
                <w:bCs/>
                <w:color w:val="000000"/>
              </w:rPr>
              <w:t>Capacity factor</w:t>
            </w:r>
          </w:p>
        </w:tc>
        <w:tc>
          <w:tcPr>
            <w:tcW w:w="771" w:type="pct"/>
            <w:tcBorders>
              <w:top w:val="single" w:sz="4" w:space="0" w:color="auto"/>
              <w:left w:val="nil"/>
              <w:bottom w:val="single" w:sz="4" w:space="0" w:color="auto"/>
              <w:right w:val="nil"/>
            </w:tcBorders>
            <w:shd w:val="clear" w:color="auto" w:fill="auto"/>
            <w:noWrap/>
            <w:vAlign w:val="center"/>
            <w:hideMark/>
          </w:tcPr>
          <w:p w14:paraId="37BCDD2E" w14:textId="77777777" w:rsidR="00DA7E40" w:rsidRPr="00D800F0" w:rsidRDefault="00DA7E40" w:rsidP="0000614D">
            <w:pPr>
              <w:spacing w:after="0" w:line="240" w:lineRule="auto"/>
              <w:rPr>
                <w:rFonts w:ascii="Arial" w:eastAsia="Times New Roman" w:hAnsi="Arial" w:cs="Arial"/>
                <w:b/>
                <w:bCs/>
                <w:color w:val="000000"/>
                <w:vertAlign w:val="superscript"/>
              </w:rPr>
            </w:pPr>
            <w:r w:rsidRPr="00D800F0">
              <w:rPr>
                <w:rFonts w:ascii="Arial" w:eastAsia="Times New Roman" w:hAnsi="Arial" w:cs="Arial"/>
                <w:b/>
                <w:bCs/>
                <w:color w:val="000000"/>
              </w:rPr>
              <w:t>IRA?</w:t>
            </w:r>
            <w:r w:rsidRPr="00D800F0">
              <w:rPr>
                <w:rFonts w:ascii="Arial" w:eastAsia="Times New Roman" w:hAnsi="Arial" w:cs="Arial"/>
                <w:b/>
                <w:bCs/>
                <w:color w:val="000000"/>
                <w:vertAlign w:val="superscript"/>
              </w:rPr>
              <w:t>A</w:t>
            </w:r>
          </w:p>
        </w:tc>
        <w:tc>
          <w:tcPr>
            <w:tcW w:w="1176" w:type="pct"/>
            <w:tcBorders>
              <w:top w:val="single" w:sz="4" w:space="0" w:color="auto"/>
              <w:left w:val="nil"/>
              <w:bottom w:val="single" w:sz="4" w:space="0" w:color="auto"/>
              <w:right w:val="nil"/>
            </w:tcBorders>
            <w:shd w:val="clear" w:color="auto" w:fill="auto"/>
            <w:noWrap/>
            <w:vAlign w:val="center"/>
            <w:hideMark/>
          </w:tcPr>
          <w:p w14:paraId="637DEF32" w14:textId="77777777" w:rsidR="00DA7E40" w:rsidRPr="00D800F0" w:rsidRDefault="00DA7E40" w:rsidP="0000614D">
            <w:pPr>
              <w:spacing w:after="0" w:line="240" w:lineRule="auto"/>
              <w:rPr>
                <w:rFonts w:ascii="Arial" w:eastAsia="Times New Roman" w:hAnsi="Arial" w:cs="Arial"/>
                <w:b/>
                <w:bCs/>
                <w:color w:val="000000"/>
              </w:rPr>
            </w:pPr>
            <m:oMathPara>
              <m:oMathParaPr>
                <m:jc m:val="left"/>
              </m:oMathParaPr>
              <m:oMath>
                <m:r>
                  <m:rPr>
                    <m:sty m:val="bi"/>
                  </m:rPr>
                  <w:rPr>
                    <w:rFonts w:ascii="Cambria Math" w:eastAsia="Times New Roman" w:hAnsi="Cambria Math" w:cs="Arial"/>
                    <w:color w:val="000000"/>
                  </w:rPr>
                  <m:t>LCOE [</m:t>
                </m:r>
                <m:f>
                  <m:fPr>
                    <m:ctrlPr>
                      <w:rPr>
                        <w:rFonts w:ascii="Cambria Math" w:eastAsia="Times New Roman" w:hAnsi="Cambria Math" w:cs="Arial"/>
                        <w:b/>
                        <w:bCs/>
                        <w:i/>
                        <w:color w:val="000000"/>
                      </w:rPr>
                    </m:ctrlPr>
                  </m:fPr>
                  <m:num>
                    <m:r>
                      <m:rPr>
                        <m:sty m:val="bi"/>
                      </m:rPr>
                      <w:rPr>
                        <w:rFonts w:ascii="Cambria Math" w:eastAsia="Times New Roman" w:hAnsi="Cambria Math" w:cs="Arial"/>
                        <w:color w:val="000000"/>
                      </w:rPr>
                      <m:t>2023$</m:t>
                    </m:r>
                  </m:num>
                  <m:den>
                    <m:r>
                      <m:rPr>
                        <m:sty m:val="bi"/>
                      </m:rPr>
                      <w:rPr>
                        <w:rFonts w:ascii="Cambria Math" w:eastAsia="Times New Roman" w:hAnsi="Cambria Math" w:cs="Arial"/>
                        <w:color w:val="000000"/>
                      </w:rPr>
                      <m:t>MWh</m:t>
                    </m:r>
                  </m:den>
                </m:f>
                <m:r>
                  <m:rPr>
                    <m:sty m:val="bi"/>
                  </m:rPr>
                  <w:rPr>
                    <w:rFonts w:ascii="Cambria Math" w:eastAsia="Times New Roman" w:hAnsi="Cambria Math" w:cs="Arial"/>
                    <w:color w:val="000000"/>
                  </w:rPr>
                  <m:t>]</m:t>
                </m:r>
              </m:oMath>
            </m:oMathPara>
          </w:p>
        </w:tc>
      </w:tr>
      <w:tr w:rsidR="00DA7E40" w:rsidRPr="00D800F0" w14:paraId="7834C6F6" w14:textId="77777777" w:rsidTr="0000614D">
        <w:trPr>
          <w:trHeight w:val="300"/>
        </w:trPr>
        <w:tc>
          <w:tcPr>
            <w:tcW w:w="857" w:type="pct"/>
            <w:tcBorders>
              <w:top w:val="single" w:sz="4" w:space="0" w:color="auto"/>
              <w:left w:val="nil"/>
              <w:bottom w:val="nil"/>
              <w:right w:val="nil"/>
            </w:tcBorders>
            <w:shd w:val="clear" w:color="auto" w:fill="auto"/>
            <w:noWrap/>
            <w:vAlign w:val="center"/>
            <w:hideMark/>
          </w:tcPr>
          <w:p w14:paraId="632A251D"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single" w:sz="4" w:space="0" w:color="auto"/>
              <w:left w:val="nil"/>
              <w:bottom w:val="nil"/>
              <w:right w:val="nil"/>
            </w:tcBorders>
            <w:shd w:val="clear" w:color="auto" w:fill="auto"/>
            <w:noWrap/>
            <w:vAlign w:val="center"/>
            <w:hideMark/>
          </w:tcPr>
          <w:p w14:paraId="62DEB774"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yearly</w:t>
            </w:r>
          </w:p>
        </w:tc>
        <w:tc>
          <w:tcPr>
            <w:tcW w:w="1345" w:type="pct"/>
            <w:tcBorders>
              <w:top w:val="single" w:sz="4" w:space="0" w:color="auto"/>
              <w:left w:val="nil"/>
              <w:bottom w:val="nil"/>
              <w:right w:val="nil"/>
            </w:tcBorders>
            <w:shd w:val="clear" w:color="auto" w:fill="auto"/>
            <w:noWrap/>
            <w:vAlign w:val="center"/>
            <w:hideMark/>
          </w:tcPr>
          <w:p w14:paraId="1530C8E4"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single" w:sz="4" w:space="0" w:color="auto"/>
              <w:left w:val="nil"/>
              <w:bottom w:val="nil"/>
              <w:right w:val="nil"/>
            </w:tcBorders>
            <w:shd w:val="clear" w:color="auto" w:fill="auto"/>
            <w:noWrap/>
            <w:vAlign w:val="center"/>
            <w:hideMark/>
          </w:tcPr>
          <w:p w14:paraId="0B978DF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single" w:sz="4" w:space="0" w:color="auto"/>
              <w:left w:val="nil"/>
              <w:bottom w:val="nil"/>
              <w:right w:val="nil"/>
            </w:tcBorders>
            <w:shd w:val="clear" w:color="auto" w:fill="auto"/>
            <w:noWrap/>
            <w:vAlign w:val="center"/>
            <w:hideMark/>
          </w:tcPr>
          <w:p w14:paraId="502D62D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46.22</w:t>
            </w:r>
          </w:p>
        </w:tc>
      </w:tr>
      <w:tr w:rsidR="00DA7E40" w:rsidRPr="00D800F0" w14:paraId="53981D60" w14:textId="77777777" w:rsidTr="0000614D">
        <w:trPr>
          <w:trHeight w:val="300"/>
        </w:trPr>
        <w:tc>
          <w:tcPr>
            <w:tcW w:w="857" w:type="pct"/>
            <w:tcBorders>
              <w:top w:val="nil"/>
              <w:left w:val="nil"/>
              <w:bottom w:val="nil"/>
              <w:right w:val="nil"/>
            </w:tcBorders>
            <w:shd w:val="clear" w:color="auto" w:fill="auto"/>
            <w:noWrap/>
            <w:vAlign w:val="center"/>
            <w:hideMark/>
          </w:tcPr>
          <w:p w14:paraId="1BC1BFC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nil"/>
              <w:left w:val="nil"/>
              <w:bottom w:val="nil"/>
              <w:right w:val="nil"/>
            </w:tcBorders>
            <w:shd w:val="clear" w:color="auto" w:fill="auto"/>
            <w:noWrap/>
            <w:vAlign w:val="center"/>
            <w:hideMark/>
          </w:tcPr>
          <w:p w14:paraId="72E8262A"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yearly</w:t>
            </w:r>
          </w:p>
        </w:tc>
        <w:tc>
          <w:tcPr>
            <w:tcW w:w="1345" w:type="pct"/>
            <w:tcBorders>
              <w:top w:val="nil"/>
              <w:left w:val="nil"/>
              <w:bottom w:val="nil"/>
              <w:right w:val="nil"/>
            </w:tcBorders>
            <w:shd w:val="clear" w:color="auto" w:fill="auto"/>
            <w:noWrap/>
            <w:vAlign w:val="center"/>
            <w:hideMark/>
          </w:tcPr>
          <w:p w14:paraId="4F0CFB6A"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nil"/>
              <w:right w:val="nil"/>
            </w:tcBorders>
            <w:shd w:val="clear" w:color="auto" w:fill="auto"/>
            <w:noWrap/>
            <w:vAlign w:val="center"/>
            <w:hideMark/>
          </w:tcPr>
          <w:p w14:paraId="4015E98D"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nil"/>
              <w:left w:val="nil"/>
              <w:bottom w:val="nil"/>
              <w:right w:val="nil"/>
            </w:tcBorders>
            <w:shd w:val="clear" w:color="auto" w:fill="auto"/>
            <w:noWrap/>
            <w:vAlign w:val="center"/>
            <w:hideMark/>
          </w:tcPr>
          <w:p w14:paraId="23AD8A1C"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101.18</w:t>
            </w:r>
          </w:p>
        </w:tc>
      </w:tr>
      <w:tr w:rsidR="00DA7E40" w:rsidRPr="00D800F0" w14:paraId="0AA25441" w14:textId="77777777" w:rsidTr="0000614D">
        <w:trPr>
          <w:trHeight w:val="300"/>
        </w:trPr>
        <w:tc>
          <w:tcPr>
            <w:tcW w:w="857" w:type="pct"/>
            <w:tcBorders>
              <w:top w:val="nil"/>
              <w:left w:val="nil"/>
              <w:bottom w:val="nil"/>
              <w:right w:val="nil"/>
            </w:tcBorders>
            <w:shd w:val="clear" w:color="auto" w:fill="auto"/>
            <w:noWrap/>
            <w:vAlign w:val="center"/>
            <w:hideMark/>
          </w:tcPr>
          <w:p w14:paraId="0DABD77A"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nil"/>
              <w:left w:val="nil"/>
              <w:bottom w:val="nil"/>
              <w:right w:val="nil"/>
            </w:tcBorders>
            <w:shd w:val="clear" w:color="auto" w:fill="auto"/>
            <w:noWrap/>
            <w:vAlign w:val="center"/>
            <w:hideMark/>
          </w:tcPr>
          <w:p w14:paraId="1476108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yearly</w:t>
            </w:r>
          </w:p>
        </w:tc>
        <w:tc>
          <w:tcPr>
            <w:tcW w:w="1345" w:type="pct"/>
            <w:tcBorders>
              <w:top w:val="nil"/>
              <w:left w:val="nil"/>
              <w:bottom w:val="nil"/>
              <w:right w:val="nil"/>
            </w:tcBorders>
            <w:shd w:val="clear" w:color="auto" w:fill="auto"/>
            <w:noWrap/>
            <w:vAlign w:val="center"/>
            <w:hideMark/>
          </w:tcPr>
          <w:p w14:paraId="1063ECA6"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nil"/>
              <w:left w:val="nil"/>
              <w:bottom w:val="nil"/>
              <w:right w:val="nil"/>
            </w:tcBorders>
            <w:shd w:val="clear" w:color="auto" w:fill="auto"/>
            <w:noWrap/>
            <w:vAlign w:val="center"/>
            <w:hideMark/>
          </w:tcPr>
          <w:p w14:paraId="647A503A"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nil"/>
              <w:right w:val="nil"/>
            </w:tcBorders>
            <w:shd w:val="clear" w:color="auto" w:fill="auto"/>
            <w:noWrap/>
            <w:vAlign w:val="center"/>
            <w:hideMark/>
          </w:tcPr>
          <w:p w14:paraId="4364BC8D"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71.06</w:t>
            </w:r>
          </w:p>
        </w:tc>
      </w:tr>
      <w:tr w:rsidR="00DA7E40" w:rsidRPr="00D800F0" w14:paraId="58FD13FE" w14:textId="77777777" w:rsidTr="0000614D">
        <w:trPr>
          <w:trHeight w:val="300"/>
        </w:trPr>
        <w:tc>
          <w:tcPr>
            <w:tcW w:w="857" w:type="pct"/>
            <w:tcBorders>
              <w:top w:val="nil"/>
              <w:left w:val="nil"/>
              <w:bottom w:val="nil"/>
              <w:right w:val="nil"/>
            </w:tcBorders>
            <w:shd w:val="clear" w:color="auto" w:fill="auto"/>
            <w:noWrap/>
            <w:vAlign w:val="center"/>
            <w:hideMark/>
          </w:tcPr>
          <w:p w14:paraId="1086EBBA"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nil"/>
              <w:left w:val="nil"/>
              <w:bottom w:val="nil"/>
              <w:right w:val="nil"/>
            </w:tcBorders>
            <w:shd w:val="clear" w:color="auto" w:fill="auto"/>
            <w:noWrap/>
            <w:vAlign w:val="center"/>
            <w:hideMark/>
          </w:tcPr>
          <w:p w14:paraId="230DF532"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yearly</w:t>
            </w:r>
          </w:p>
        </w:tc>
        <w:tc>
          <w:tcPr>
            <w:tcW w:w="1345" w:type="pct"/>
            <w:tcBorders>
              <w:top w:val="nil"/>
              <w:left w:val="nil"/>
              <w:bottom w:val="nil"/>
              <w:right w:val="nil"/>
            </w:tcBorders>
            <w:shd w:val="clear" w:color="auto" w:fill="auto"/>
            <w:noWrap/>
            <w:vAlign w:val="center"/>
            <w:hideMark/>
          </w:tcPr>
          <w:p w14:paraId="69844299"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nil"/>
              <w:right w:val="nil"/>
            </w:tcBorders>
            <w:shd w:val="clear" w:color="auto" w:fill="auto"/>
            <w:noWrap/>
            <w:vAlign w:val="center"/>
            <w:hideMark/>
          </w:tcPr>
          <w:p w14:paraId="11FBD3B5"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nil"/>
              <w:right w:val="nil"/>
            </w:tcBorders>
            <w:shd w:val="clear" w:color="auto" w:fill="auto"/>
            <w:noWrap/>
            <w:vAlign w:val="center"/>
            <w:hideMark/>
          </w:tcPr>
          <w:p w14:paraId="04F57E5B"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156.00</w:t>
            </w:r>
          </w:p>
        </w:tc>
      </w:tr>
      <w:tr w:rsidR="00DA7E40" w:rsidRPr="00D800F0" w14:paraId="253C4A1D" w14:textId="77777777" w:rsidTr="0000614D">
        <w:trPr>
          <w:trHeight w:val="300"/>
        </w:trPr>
        <w:tc>
          <w:tcPr>
            <w:tcW w:w="857" w:type="pct"/>
            <w:tcBorders>
              <w:top w:val="nil"/>
              <w:left w:val="nil"/>
              <w:bottom w:val="nil"/>
              <w:right w:val="nil"/>
            </w:tcBorders>
            <w:shd w:val="clear" w:color="auto" w:fill="auto"/>
            <w:noWrap/>
            <w:vAlign w:val="center"/>
            <w:hideMark/>
          </w:tcPr>
          <w:p w14:paraId="7FF4D42E"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2030</w:t>
            </w:r>
          </w:p>
        </w:tc>
        <w:tc>
          <w:tcPr>
            <w:tcW w:w="851" w:type="pct"/>
            <w:tcBorders>
              <w:top w:val="nil"/>
              <w:left w:val="nil"/>
              <w:bottom w:val="nil"/>
              <w:right w:val="nil"/>
            </w:tcBorders>
            <w:shd w:val="clear" w:color="auto" w:fill="auto"/>
            <w:noWrap/>
            <w:vAlign w:val="center"/>
            <w:hideMark/>
          </w:tcPr>
          <w:p w14:paraId="6E7CF1E7"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yearly</w:t>
            </w:r>
          </w:p>
        </w:tc>
        <w:tc>
          <w:tcPr>
            <w:tcW w:w="1345" w:type="pct"/>
            <w:tcBorders>
              <w:top w:val="nil"/>
              <w:left w:val="nil"/>
              <w:bottom w:val="nil"/>
              <w:right w:val="nil"/>
            </w:tcBorders>
            <w:shd w:val="clear" w:color="auto" w:fill="auto"/>
            <w:noWrap/>
            <w:vAlign w:val="center"/>
            <w:hideMark/>
          </w:tcPr>
          <w:p w14:paraId="4A591B3C"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nil"/>
              <w:left w:val="nil"/>
              <w:bottom w:val="nil"/>
              <w:right w:val="nil"/>
            </w:tcBorders>
            <w:shd w:val="clear" w:color="auto" w:fill="auto"/>
            <w:noWrap/>
            <w:vAlign w:val="center"/>
            <w:hideMark/>
          </w:tcPr>
          <w:p w14:paraId="5776B16D"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nil"/>
              <w:left w:val="nil"/>
              <w:bottom w:val="nil"/>
              <w:right w:val="nil"/>
            </w:tcBorders>
            <w:shd w:val="clear" w:color="auto" w:fill="auto"/>
            <w:noWrap/>
            <w:vAlign w:val="center"/>
            <w:hideMark/>
          </w:tcPr>
          <w:p w14:paraId="7F817A4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26.59</w:t>
            </w:r>
          </w:p>
        </w:tc>
      </w:tr>
      <w:tr w:rsidR="00DA7E40" w:rsidRPr="00D800F0" w14:paraId="22DC089F" w14:textId="77777777" w:rsidTr="0000614D">
        <w:trPr>
          <w:trHeight w:val="300"/>
        </w:trPr>
        <w:tc>
          <w:tcPr>
            <w:tcW w:w="857" w:type="pct"/>
            <w:tcBorders>
              <w:top w:val="nil"/>
              <w:left w:val="nil"/>
              <w:bottom w:val="nil"/>
              <w:right w:val="nil"/>
            </w:tcBorders>
            <w:shd w:val="clear" w:color="auto" w:fill="auto"/>
            <w:noWrap/>
            <w:vAlign w:val="center"/>
            <w:hideMark/>
          </w:tcPr>
          <w:p w14:paraId="14F3F20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2030</w:t>
            </w:r>
          </w:p>
        </w:tc>
        <w:tc>
          <w:tcPr>
            <w:tcW w:w="851" w:type="pct"/>
            <w:tcBorders>
              <w:top w:val="nil"/>
              <w:left w:val="nil"/>
              <w:bottom w:val="nil"/>
              <w:right w:val="nil"/>
            </w:tcBorders>
            <w:shd w:val="clear" w:color="auto" w:fill="auto"/>
            <w:noWrap/>
            <w:vAlign w:val="center"/>
            <w:hideMark/>
          </w:tcPr>
          <w:p w14:paraId="6D99F3C7"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yearly</w:t>
            </w:r>
          </w:p>
        </w:tc>
        <w:tc>
          <w:tcPr>
            <w:tcW w:w="1345" w:type="pct"/>
            <w:tcBorders>
              <w:top w:val="nil"/>
              <w:left w:val="nil"/>
              <w:bottom w:val="nil"/>
              <w:right w:val="nil"/>
            </w:tcBorders>
            <w:shd w:val="clear" w:color="auto" w:fill="auto"/>
            <w:noWrap/>
            <w:vAlign w:val="center"/>
            <w:hideMark/>
          </w:tcPr>
          <w:p w14:paraId="4629FA5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nil"/>
              <w:right w:val="nil"/>
            </w:tcBorders>
            <w:shd w:val="clear" w:color="auto" w:fill="auto"/>
            <w:noWrap/>
            <w:vAlign w:val="center"/>
            <w:hideMark/>
          </w:tcPr>
          <w:p w14:paraId="537524A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nil"/>
              <w:left w:val="nil"/>
              <w:bottom w:val="nil"/>
              <w:right w:val="nil"/>
            </w:tcBorders>
            <w:shd w:val="clear" w:color="auto" w:fill="auto"/>
            <w:noWrap/>
            <w:vAlign w:val="center"/>
            <w:hideMark/>
          </w:tcPr>
          <w:p w14:paraId="500D21F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66.23</w:t>
            </w:r>
          </w:p>
        </w:tc>
      </w:tr>
      <w:tr w:rsidR="00DA7E40" w:rsidRPr="00D800F0" w14:paraId="4507DFA9" w14:textId="77777777" w:rsidTr="0000614D">
        <w:trPr>
          <w:trHeight w:val="300"/>
        </w:trPr>
        <w:tc>
          <w:tcPr>
            <w:tcW w:w="857" w:type="pct"/>
            <w:tcBorders>
              <w:top w:val="nil"/>
              <w:left w:val="nil"/>
              <w:bottom w:val="nil"/>
              <w:right w:val="nil"/>
            </w:tcBorders>
            <w:shd w:val="clear" w:color="auto" w:fill="auto"/>
            <w:noWrap/>
            <w:vAlign w:val="center"/>
            <w:hideMark/>
          </w:tcPr>
          <w:p w14:paraId="6E438F14"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lastRenderedPageBreak/>
              <w:t>2030</w:t>
            </w:r>
          </w:p>
        </w:tc>
        <w:tc>
          <w:tcPr>
            <w:tcW w:w="851" w:type="pct"/>
            <w:tcBorders>
              <w:top w:val="nil"/>
              <w:left w:val="nil"/>
              <w:bottom w:val="nil"/>
              <w:right w:val="nil"/>
            </w:tcBorders>
            <w:shd w:val="clear" w:color="auto" w:fill="auto"/>
            <w:noWrap/>
            <w:vAlign w:val="center"/>
            <w:hideMark/>
          </w:tcPr>
          <w:p w14:paraId="30D4F1D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yearly</w:t>
            </w:r>
          </w:p>
        </w:tc>
        <w:tc>
          <w:tcPr>
            <w:tcW w:w="1345" w:type="pct"/>
            <w:tcBorders>
              <w:top w:val="nil"/>
              <w:left w:val="nil"/>
              <w:bottom w:val="nil"/>
              <w:right w:val="nil"/>
            </w:tcBorders>
            <w:shd w:val="clear" w:color="auto" w:fill="auto"/>
            <w:noWrap/>
            <w:vAlign w:val="center"/>
            <w:hideMark/>
          </w:tcPr>
          <w:p w14:paraId="744FB85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nil"/>
              <w:left w:val="nil"/>
              <w:bottom w:val="nil"/>
              <w:right w:val="nil"/>
            </w:tcBorders>
            <w:shd w:val="clear" w:color="auto" w:fill="auto"/>
            <w:noWrap/>
            <w:vAlign w:val="center"/>
            <w:hideMark/>
          </w:tcPr>
          <w:p w14:paraId="316115D7"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nil"/>
              <w:right w:val="nil"/>
            </w:tcBorders>
            <w:shd w:val="clear" w:color="auto" w:fill="auto"/>
            <w:noWrap/>
            <w:vAlign w:val="center"/>
            <w:hideMark/>
          </w:tcPr>
          <w:p w14:paraId="748FA05C"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48.50</w:t>
            </w:r>
          </w:p>
        </w:tc>
      </w:tr>
      <w:tr w:rsidR="00DA7E40" w:rsidRPr="00D800F0" w14:paraId="568F8A24" w14:textId="77777777" w:rsidTr="0000614D">
        <w:trPr>
          <w:trHeight w:val="300"/>
        </w:trPr>
        <w:tc>
          <w:tcPr>
            <w:tcW w:w="857" w:type="pct"/>
            <w:tcBorders>
              <w:top w:val="nil"/>
              <w:left w:val="nil"/>
              <w:bottom w:val="nil"/>
              <w:right w:val="nil"/>
            </w:tcBorders>
            <w:shd w:val="clear" w:color="auto" w:fill="auto"/>
            <w:noWrap/>
            <w:vAlign w:val="center"/>
            <w:hideMark/>
          </w:tcPr>
          <w:p w14:paraId="5A1C2225"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2030</w:t>
            </w:r>
          </w:p>
        </w:tc>
        <w:tc>
          <w:tcPr>
            <w:tcW w:w="851" w:type="pct"/>
            <w:tcBorders>
              <w:top w:val="nil"/>
              <w:left w:val="nil"/>
              <w:bottom w:val="nil"/>
              <w:right w:val="nil"/>
            </w:tcBorders>
            <w:shd w:val="clear" w:color="auto" w:fill="auto"/>
            <w:noWrap/>
            <w:vAlign w:val="center"/>
            <w:hideMark/>
          </w:tcPr>
          <w:p w14:paraId="0456D7C9"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yearly</w:t>
            </w:r>
          </w:p>
        </w:tc>
        <w:tc>
          <w:tcPr>
            <w:tcW w:w="1345" w:type="pct"/>
            <w:tcBorders>
              <w:top w:val="nil"/>
              <w:left w:val="nil"/>
              <w:bottom w:val="nil"/>
              <w:right w:val="nil"/>
            </w:tcBorders>
            <w:shd w:val="clear" w:color="auto" w:fill="auto"/>
            <w:noWrap/>
            <w:vAlign w:val="center"/>
            <w:hideMark/>
          </w:tcPr>
          <w:p w14:paraId="12A0F48B"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nil"/>
              <w:right w:val="nil"/>
            </w:tcBorders>
            <w:shd w:val="clear" w:color="auto" w:fill="auto"/>
            <w:noWrap/>
            <w:vAlign w:val="center"/>
            <w:hideMark/>
          </w:tcPr>
          <w:p w14:paraId="43D226A7"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nil"/>
              <w:right w:val="nil"/>
            </w:tcBorders>
            <w:shd w:val="clear" w:color="auto" w:fill="auto"/>
            <w:noWrap/>
            <w:vAlign w:val="center"/>
            <w:hideMark/>
          </w:tcPr>
          <w:p w14:paraId="7021AA4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88.15</w:t>
            </w:r>
          </w:p>
        </w:tc>
      </w:tr>
      <w:tr w:rsidR="00DA7E40" w:rsidRPr="00D800F0" w14:paraId="29EC4E31" w14:textId="77777777" w:rsidTr="0000614D">
        <w:trPr>
          <w:trHeight w:val="300"/>
        </w:trPr>
        <w:tc>
          <w:tcPr>
            <w:tcW w:w="857" w:type="pct"/>
            <w:tcBorders>
              <w:top w:val="nil"/>
              <w:left w:val="nil"/>
              <w:bottom w:val="nil"/>
              <w:right w:val="nil"/>
            </w:tcBorders>
            <w:shd w:val="clear" w:color="auto" w:fill="auto"/>
            <w:noWrap/>
            <w:vAlign w:val="center"/>
            <w:hideMark/>
          </w:tcPr>
          <w:p w14:paraId="5BB36137"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nil"/>
              <w:left w:val="nil"/>
              <w:bottom w:val="nil"/>
              <w:right w:val="nil"/>
            </w:tcBorders>
            <w:shd w:val="clear" w:color="auto" w:fill="auto"/>
            <w:noWrap/>
            <w:vAlign w:val="center"/>
            <w:hideMark/>
          </w:tcPr>
          <w:p w14:paraId="0BA56887"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monthly</w:t>
            </w:r>
          </w:p>
        </w:tc>
        <w:tc>
          <w:tcPr>
            <w:tcW w:w="1345" w:type="pct"/>
            <w:tcBorders>
              <w:top w:val="nil"/>
              <w:left w:val="nil"/>
              <w:bottom w:val="nil"/>
              <w:right w:val="nil"/>
            </w:tcBorders>
            <w:shd w:val="clear" w:color="auto" w:fill="auto"/>
            <w:noWrap/>
            <w:vAlign w:val="center"/>
            <w:hideMark/>
          </w:tcPr>
          <w:p w14:paraId="63A7CBF2"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nil"/>
              <w:left w:val="nil"/>
              <w:bottom w:val="nil"/>
              <w:right w:val="nil"/>
            </w:tcBorders>
            <w:shd w:val="clear" w:color="auto" w:fill="auto"/>
            <w:noWrap/>
            <w:vAlign w:val="center"/>
            <w:hideMark/>
          </w:tcPr>
          <w:p w14:paraId="3747F900"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nil"/>
              <w:left w:val="nil"/>
              <w:bottom w:val="nil"/>
              <w:right w:val="nil"/>
            </w:tcBorders>
            <w:shd w:val="clear" w:color="auto" w:fill="auto"/>
            <w:noWrap/>
            <w:vAlign w:val="center"/>
            <w:hideMark/>
          </w:tcPr>
          <w:p w14:paraId="5F285907"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46.29</w:t>
            </w:r>
          </w:p>
        </w:tc>
      </w:tr>
      <w:tr w:rsidR="00DA7E40" w:rsidRPr="00D800F0" w14:paraId="41B02559" w14:textId="77777777" w:rsidTr="0000614D">
        <w:trPr>
          <w:trHeight w:val="300"/>
        </w:trPr>
        <w:tc>
          <w:tcPr>
            <w:tcW w:w="857" w:type="pct"/>
            <w:tcBorders>
              <w:top w:val="nil"/>
              <w:left w:val="nil"/>
              <w:bottom w:val="nil"/>
              <w:right w:val="nil"/>
            </w:tcBorders>
            <w:shd w:val="clear" w:color="auto" w:fill="auto"/>
            <w:noWrap/>
            <w:vAlign w:val="center"/>
            <w:hideMark/>
          </w:tcPr>
          <w:p w14:paraId="69806FC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nil"/>
              <w:left w:val="nil"/>
              <w:bottom w:val="nil"/>
              <w:right w:val="nil"/>
            </w:tcBorders>
            <w:shd w:val="clear" w:color="auto" w:fill="auto"/>
            <w:noWrap/>
            <w:vAlign w:val="center"/>
            <w:hideMark/>
          </w:tcPr>
          <w:p w14:paraId="7F4E595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monthly</w:t>
            </w:r>
          </w:p>
        </w:tc>
        <w:tc>
          <w:tcPr>
            <w:tcW w:w="1345" w:type="pct"/>
            <w:tcBorders>
              <w:top w:val="nil"/>
              <w:left w:val="nil"/>
              <w:bottom w:val="nil"/>
              <w:right w:val="nil"/>
            </w:tcBorders>
            <w:shd w:val="clear" w:color="auto" w:fill="auto"/>
            <w:noWrap/>
            <w:vAlign w:val="center"/>
            <w:hideMark/>
          </w:tcPr>
          <w:p w14:paraId="7BC79768"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nil"/>
              <w:right w:val="nil"/>
            </w:tcBorders>
            <w:shd w:val="clear" w:color="auto" w:fill="auto"/>
            <w:noWrap/>
            <w:vAlign w:val="center"/>
            <w:hideMark/>
          </w:tcPr>
          <w:p w14:paraId="33086166"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nil"/>
              <w:left w:val="nil"/>
              <w:bottom w:val="nil"/>
              <w:right w:val="nil"/>
            </w:tcBorders>
            <w:shd w:val="clear" w:color="auto" w:fill="auto"/>
            <w:noWrap/>
            <w:vAlign w:val="center"/>
            <w:hideMark/>
          </w:tcPr>
          <w:p w14:paraId="638D603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101.19</w:t>
            </w:r>
          </w:p>
        </w:tc>
      </w:tr>
      <w:tr w:rsidR="00DA7E40" w:rsidRPr="00D800F0" w14:paraId="70DF69E1" w14:textId="77777777" w:rsidTr="0000614D">
        <w:trPr>
          <w:trHeight w:val="300"/>
        </w:trPr>
        <w:tc>
          <w:tcPr>
            <w:tcW w:w="857" w:type="pct"/>
            <w:tcBorders>
              <w:top w:val="nil"/>
              <w:left w:val="nil"/>
              <w:bottom w:val="nil"/>
              <w:right w:val="nil"/>
            </w:tcBorders>
            <w:shd w:val="clear" w:color="auto" w:fill="auto"/>
            <w:noWrap/>
            <w:vAlign w:val="center"/>
            <w:hideMark/>
          </w:tcPr>
          <w:p w14:paraId="1D95903D"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nil"/>
              <w:left w:val="nil"/>
              <w:bottom w:val="nil"/>
              <w:right w:val="nil"/>
            </w:tcBorders>
            <w:shd w:val="clear" w:color="auto" w:fill="auto"/>
            <w:noWrap/>
            <w:vAlign w:val="center"/>
            <w:hideMark/>
          </w:tcPr>
          <w:p w14:paraId="0DCB43E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monthly</w:t>
            </w:r>
          </w:p>
        </w:tc>
        <w:tc>
          <w:tcPr>
            <w:tcW w:w="1345" w:type="pct"/>
            <w:tcBorders>
              <w:top w:val="nil"/>
              <w:left w:val="nil"/>
              <w:bottom w:val="nil"/>
              <w:right w:val="nil"/>
            </w:tcBorders>
            <w:shd w:val="clear" w:color="auto" w:fill="auto"/>
            <w:noWrap/>
            <w:vAlign w:val="center"/>
            <w:hideMark/>
          </w:tcPr>
          <w:p w14:paraId="49F8192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nil"/>
              <w:left w:val="nil"/>
              <w:bottom w:val="nil"/>
              <w:right w:val="nil"/>
            </w:tcBorders>
            <w:shd w:val="clear" w:color="auto" w:fill="auto"/>
            <w:noWrap/>
            <w:vAlign w:val="center"/>
            <w:hideMark/>
          </w:tcPr>
          <w:p w14:paraId="4DE8F3A2"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nil"/>
              <w:right w:val="nil"/>
            </w:tcBorders>
            <w:shd w:val="clear" w:color="auto" w:fill="auto"/>
            <w:noWrap/>
            <w:vAlign w:val="center"/>
            <w:hideMark/>
          </w:tcPr>
          <w:p w14:paraId="7CD77639"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71.13</w:t>
            </w:r>
          </w:p>
        </w:tc>
      </w:tr>
      <w:tr w:rsidR="00DA7E40" w:rsidRPr="00D800F0" w14:paraId="2A9D3061" w14:textId="77777777" w:rsidTr="0000614D">
        <w:trPr>
          <w:trHeight w:val="300"/>
        </w:trPr>
        <w:tc>
          <w:tcPr>
            <w:tcW w:w="857" w:type="pct"/>
            <w:tcBorders>
              <w:top w:val="nil"/>
              <w:left w:val="nil"/>
              <w:bottom w:val="nil"/>
              <w:right w:val="nil"/>
            </w:tcBorders>
            <w:shd w:val="clear" w:color="auto" w:fill="auto"/>
            <w:noWrap/>
            <w:vAlign w:val="center"/>
            <w:hideMark/>
          </w:tcPr>
          <w:p w14:paraId="45EDE2A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nil"/>
              <w:left w:val="nil"/>
              <w:bottom w:val="nil"/>
              <w:right w:val="nil"/>
            </w:tcBorders>
            <w:shd w:val="clear" w:color="auto" w:fill="auto"/>
            <w:noWrap/>
            <w:vAlign w:val="center"/>
            <w:hideMark/>
          </w:tcPr>
          <w:p w14:paraId="521C5178"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monthly</w:t>
            </w:r>
          </w:p>
        </w:tc>
        <w:tc>
          <w:tcPr>
            <w:tcW w:w="1345" w:type="pct"/>
            <w:tcBorders>
              <w:top w:val="nil"/>
              <w:left w:val="nil"/>
              <w:bottom w:val="nil"/>
              <w:right w:val="nil"/>
            </w:tcBorders>
            <w:shd w:val="clear" w:color="auto" w:fill="auto"/>
            <w:noWrap/>
            <w:vAlign w:val="center"/>
            <w:hideMark/>
          </w:tcPr>
          <w:p w14:paraId="236E42A9"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nil"/>
              <w:right w:val="nil"/>
            </w:tcBorders>
            <w:shd w:val="clear" w:color="auto" w:fill="auto"/>
            <w:noWrap/>
            <w:vAlign w:val="center"/>
            <w:hideMark/>
          </w:tcPr>
          <w:p w14:paraId="58000D9B"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nil"/>
              <w:right w:val="nil"/>
            </w:tcBorders>
            <w:shd w:val="clear" w:color="auto" w:fill="auto"/>
            <w:noWrap/>
            <w:vAlign w:val="center"/>
            <w:hideMark/>
          </w:tcPr>
          <w:p w14:paraId="1516E6B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156.01</w:t>
            </w:r>
          </w:p>
        </w:tc>
      </w:tr>
      <w:tr w:rsidR="00DA7E40" w:rsidRPr="00D800F0" w14:paraId="464B6281" w14:textId="77777777" w:rsidTr="0000614D">
        <w:trPr>
          <w:trHeight w:val="300"/>
        </w:trPr>
        <w:tc>
          <w:tcPr>
            <w:tcW w:w="857" w:type="pct"/>
            <w:tcBorders>
              <w:top w:val="nil"/>
              <w:left w:val="nil"/>
              <w:bottom w:val="nil"/>
              <w:right w:val="nil"/>
            </w:tcBorders>
            <w:shd w:val="clear" w:color="auto" w:fill="auto"/>
            <w:noWrap/>
            <w:vAlign w:val="center"/>
            <w:hideMark/>
          </w:tcPr>
          <w:p w14:paraId="6B55BA6C"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2030</w:t>
            </w:r>
          </w:p>
        </w:tc>
        <w:tc>
          <w:tcPr>
            <w:tcW w:w="851" w:type="pct"/>
            <w:tcBorders>
              <w:top w:val="nil"/>
              <w:left w:val="nil"/>
              <w:bottom w:val="nil"/>
              <w:right w:val="nil"/>
            </w:tcBorders>
            <w:shd w:val="clear" w:color="auto" w:fill="auto"/>
            <w:noWrap/>
            <w:vAlign w:val="center"/>
            <w:hideMark/>
          </w:tcPr>
          <w:p w14:paraId="52DDC27C"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monthly</w:t>
            </w:r>
          </w:p>
        </w:tc>
        <w:tc>
          <w:tcPr>
            <w:tcW w:w="1345" w:type="pct"/>
            <w:tcBorders>
              <w:top w:val="nil"/>
              <w:left w:val="nil"/>
              <w:bottom w:val="nil"/>
              <w:right w:val="nil"/>
            </w:tcBorders>
            <w:shd w:val="clear" w:color="auto" w:fill="auto"/>
            <w:noWrap/>
            <w:vAlign w:val="center"/>
            <w:hideMark/>
          </w:tcPr>
          <w:p w14:paraId="207AF5A0"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nil"/>
              <w:left w:val="nil"/>
              <w:bottom w:val="nil"/>
              <w:right w:val="nil"/>
            </w:tcBorders>
            <w:shd w:val="clear" w:color="auto" w:fill="auto"/>
            <w:noWrap/>
            <w:vAlign w:val="center"/>
            <w:hideMark/>
          </w:tcPr>
          <w:p w14:paraId="282DC827"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nil"/>
              <w:left w:val="nil"/>
              <w:bottom w:val="nil"/>
              <w:right w:val="nil"/>
            </w:tcBorders>
            <w:shd w:val="clear" w:color="auto" w:fill="auto"/>
            <w:noWrap/>
            <w:vAlign w:val="center"/>
            <w:hideMark/>
          </w:tcPr>
          <w:p w14:paraId="7F644F8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26.64</w:t>
            </w:r>
          </w:p>
        </w:tc>
      </w:tr>
      <w:tr w:rsidR="00DA7E40" w:rsidRPr="00D800F0" w14:paraId="1C2C2227" w14:textId="77777777" w:rsidTr="0000614D">
        <w:trPr>
          <w:trHeight w:val="300"/>
        </w:trPr>
        <w:tc>
          <w:tcPr>
            <w:tcW w:w="857" w:type="pct"/>
            <w:tcBorders>
              <w:top w:val="nil"/>
              <w:left w:val="nil"/>
              <w:bottom w:val="nil"/>
              <w:right w:val="nil"/>
            </w:tcBorders>
            <w:shd w:val="clear" w:color="auto" w:fill="auto"/>
            <w:noWrap/>
            <w:vAlign w:val="center"/>
            <w:hideMark/>
          </w:tcPr>
          <w:p w14:paraId="550EC9E6"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2030</w:t>
            </w:r>
          </w:p>
        </w:tc>
        <w:tc>
          <w:tcPr>
            <w:tcW w:w="851" w:type="pct"/>
            <w:tcBorders>
              <w:top w:val="nil"/>
              <w:left w:val="nil"/>
              <w:bottom w:val="nil"/>
              <w:right w:val="nil"/>
            </w:tcBorders>
            <w:shd w:val="clear" w:color="auto" w:fill="auto"/>
            <w:noWrap/>
            <w:vAlign w:val="center"/>
            <w:hideMark/>
          </w:tcPr>
          <w:p w14:paraId="336470F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monthly</w:t>
            </w:r>
          </w:p>
        </w:tc>
        <w:tc>
          <w:tcPr>
            <w:tcW w:w="1345" w:type="pct"/>
            <w:tcBorders>
              <w:top w:val="nil"/>
              <w:left w:val="nil"/>
              <w:bottom w:val="nil"/>
              <w:right w:val="nil"/>
            </w:tcBorders>
            <w:shd w:val="clear" w:color="auto" w:fill="auto"/>
            <w:noWrap/>
            <w:vAlign w:val="center"/>
            <w:hideMark/>
          </w:tcPr>
          <w:p w14:paraId="2F4FA474"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nil"/>
              <w:right w:val="nil"/>
            </w:tcBorders>
            <w:shd w:val="clear" w:color="auto" w:fill="auto"/>
            <w:noWrap/>
            <w:vAlign w:val="center"/>
            <w:hideMark/>
          </w:tcPr>
          <w:p w14:paraId="1D64CA5D"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nil"/>
              <w:left w:val="nil"/>
              <w:bottom w:val="nil"/>
              <w:right w:val="nil"/>
            </w:tcBorders>
            <w:shd w:val="clear" w:color="auto" w:fill="auto"/>
            <w:noWrap/>
            <w:vAlign w:val="center"/>
            <w:hideMark/>
          </w:tcPr>
          <w:p w14:paraId="3EB40B8E"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66.27</w:t>
            </w:r>
          </w:p>
        </w:tc>
      </w:tr>
      <w:tr w:rsidR="00DA7E40" w:rsidRPr="00D800F0" w14:paraId="09FEC643" w14:textId="77777777" w:rsidTr="0000614D">
        <w:trPr>
          <w:trHeight w:val="300"/>
        </w:trPr>
        <w:tc>
          <w:tcPr>
            <w:tcW w:w="857" w:type="pct"/>
            <w:tcBorders>
              <w:top w:val="nil"/>
              <w:left w:val="nil"/>
              <w:bottom w:val="nil"/>
              <w:right w:val="nil"/>
            </w:tcBorders>
            <w:shd w:val="clear" w:color="auto" w:fill="auto"/>
            <w:noWrap/>
            <w:vAlign w:val="center"/>
            <w:hideMark/>
          </w:tcPr>
          <w:p w14:paraId="6426E44B"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2030</w:t>
            </w:r>
          </w:p>
        </w:tc>
        <w:tc>
          <w:tcPr>
            <w:tcW w:w="851" w:type="pct"/>
            <w:tcBorders>
              <w:top w:val="nil"/>
              <w:left w:val="nil"/>
              <w:bottom w:val="nil"/>
              <w:right w:val="nil"/>
            </w:tcBorders>
            <w:shd w:val="clear" w:color="auto" w:fill="auto"/>
            <w:noWrap/>
            <w:vAlign w:val="center"/>
            <w:hideMark/>
          </w:tcPr>
          <w:p w14:paraId="4310FEF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monthly</w:t>
            </w:r>
          </w:p>
        </w:tc>
        <w:tc>
          <w:tcPr>
            <w:tcW w:w="1345" w:type="pct"/>
            <w:tcBorders>
              <w:top w:val="nil"/>
              <w:left w:val="nil"/>
              <w:bottom w:val="nil"/>
              <w:right w:val="nil"/>
            </w:tcBorders>
            <w:shd w:val="clear" w:color="auto" w:fill="auto"/>
            <w:noWrap/>
            <w:vAlign w:val="center"/>
            <w:hideMark/>
          </w:tcPr>
          <w:p w14:paraId="7E113A64"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nil"/>
              <w:left w:val="nil"/>
              <w:bottom w:val="nil"/>
              <w:right w:val="nil"/>
            </w:tcBorders>
            <w:shd w:val="clear" w:color="auto" w:fill="auto"/>
            <w:noWrap/>
            <w:vAlign w:val="center"/>
            <w:hideMark/>
          </w:tcPr>
          <w:p w14:paraId="75F9FC2C"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nil"/>
              <w:right w:val="nil"/>
            </w:tcBorders>
            <w:shd w:val="clear" w:color="auto" w:fill="auto"/>
            <w:noWrap/>
            <w:vAlign w:val="center"/>
            <w:hideMark/>
          </w:tcPr>
          <w:p w14:paraId="124C08EA"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48.56</w:t>
            </w:r>
          </w:p>
        </w:tc>
      </w:tr>
      <w:tr w:rsidR="00DA7E40" w:rsidRPr="00D800F0" w14:paraId="6224D57D" w14:textId="77777777" w:rsidTr="0000614D">
        <w:trPr>
          <w:trHeight w:val="300"/>
        </w:trPr>
        <w:tc>
          <w:tcPr>
            <w:tcW w:w="857" w:type="pct"/>
            <w:tcBorders>
              <w:top w:val="nil"/>
              <w:left w:val="nil"/>
              <w:bottom w:val="nil"/>
              <w:right w:val="nil"/>
            </w:tcBorders>
            <w:shd w:val="clear" w:color="auto" w:fill="auto"/>
            <w:noWrap/>
            <w:vAlign w:val="center"/>
            <w:hideMark/>
          </w:tcPr>
          <w:p w14:paraId="0E08B63C"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2030</w:t>
            </w:r>
          </w:p>
        </w:tc>
        <w:tc>
          <w:tcPr>
            <w:tcW w:w="851" w:type="pct"/>
            <w:tcBorders>
              <w:top w:val="nil"/>
              <w:left w:val="nil"/>
              <w:bottom w:val="nil"/>
              <w:right w:val="nil"/>
            </w:tcBorders>
            <w:shd w:val="clear" w:color="auto" w:fill="auto"/>
            <w:noWrap/>
            <w:vAlign w:val="center"/>
            <w:hideMark/>
          </w:tcPr>
          <w:p w14:paraId="7F43D09E"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monthly</w:t>
            </w:r>
          </w:p>
        </w:tc>
        <w:tc>
          <w:tcPr>
            <w:tcW w:w="1345" w:type="pct"/>
            <w:tcBorders>
              <w:top w:val="nil"/>
              <w:left w:val="nil"/>
              <w:bottom w:val="nil"/>
              <w:right w:val="nil"/>
            </w:tcBorders>
            <w:shd w:val="clear" w:color="auto" w:fill="auto"/>
            <w:noWrap/>
            <w:vAlign w:val="center"/>
            <w:hideMark/>
          </w:tcPr>
          <w:p w14:paraId="67A73FC6"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nil"/>
              <w:right w:val="nil"/>
            </w:tcBorders>
            <w:shd w:val="clear" w:color="auto" w:fill="auto"/>
            <w:noWrap/>
            <w:vAlign w:val="center"/>
            <w:hideMark/>
          </w:tcPr>
          <w:p w14:paraId="16466AD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nil"/>
              <w:right w:val="nil"/>
            </w:tcBorders>
            <w:shd w:val="clear" w:color="auto" w:fill="auto"/>
            <w:noWrap/>
            <w:vAlign w:val="center"/>
            <w:hideMark/>
          </w:tcPr>
          <w:p w14:paraId="267E9B9E"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88.20</w:t>
            </w:r>
          </w:p>
        </w:tc>
      </w:tr>
      <w:tr w:rsidR="00DA7E40" w:rsidRPr="00D800F0" w14:paraId="4A5F02A8" w14:textId="77777777" w:rsidTr="0000614D">
        <w:trPr>
          <w:trHeight w:val="300"/>
        </w:trPr>
        <w:tc>
          <w:tcPr>
            <w:tcW w:w="857" w:type="pct"/>
            <w:tcBorders>
              <w:top w:val="nil"/>
              <w:left w:val="nil"/>
              <w:bottom w:val="nil"/>
              <w:right w:val="nil"/>
            </w:tcBorders>
            <w:shd w:val="clear" w:color="auto" w:fill="auto"/>
            <w:noWrap/>
            <w:vAlign w:val="center"/>
            <w:hideMark/>
          </w:tcPr>
          <w:p w14:paraId="3A1EF520"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nil"/>
              <w:left w:val="nil"/>
              <w:bottom w:val="nil"/>
              <w:right w:val="nil"/>
            </w:tcBorders>
            <w:shd w:val="clear" w:color="auto" w:fill="auto"/>
            <w:noWrap/>
            <w:vAlign w:val="center"/>
            <w:hideMark/>
          </w:tcPr>
          <w:p w14:paraId="50AEA8DC"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hourly</w:t>
            </w:r>
          </w:p>
        </w:tc>
        <w:tc>
          <w:tcPr>
            <w:tcW w:w="1345" w:type="pct"/>
            <w:tcBorders>
              <w:top w:val="nil"/>
              <w:left w:val="nil"/>
              <w:bottom w:val="nil"/>
              <w:right w:val="nil"/>
            </w:tcBorders>
            <w:shd w:val="clear" w:color="auto" w:fill="auto"/>
            <w:noWrap/>
            <w:vAlign w:val="center"/>
            <w:hideMark/>
          </w:tcPr>
          <w:p w14:paraId="5790F0C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nil"/>
              <w:left w:val="nil"/>
              <w:bottom w:val="nil"/>
              <w:right w:val="nil"/>
            </w:tcBorders>
            <w:shd w:val="clear" w:color="auto" w:fill="auto"/>
            <w:noWrap/>
            <w:vAlign w:val="center"/>
            <w:hideMark/>
          </w:tcPr>
          <w:p w14:paraId="6E7157CE"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nil"/>
              <w:left w:val="nil"/>
              <w:bottom w:val="nil"/>
              <w:right w:val="nil"/>
            </w:tcBorders>
            <w:shd w:val="clear" w:color="auto" w:fill="auto"/>
            <w:noWrap/>
            <w:vAlign w:val="center"/>
            <w:hideMark/>
          </w:tcPr>
          <w:p w14:paraId="0D427A6B"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113.77</w:t>
            </w:r>
          </w:p>
        </w:tc>
      </w:tr>
      <w:tr w:rsidR="00DA7E40" w:rsidRPr="00D800F0" w14:paraId="0A5BA6D8" w14:textId="77777777" w:rsidTr="0000614D">
        <w:trPr>
          <w:trHeight w:val="300"/>
        </w:trPr>
        <w:tc>
          <w:tcPr>
            <w:tcW w:w="857" w:type="pct"/>
            <w:tcBorders>
              <w:top w:val="nil"/>
              <w:left w:val="nil"/>
              <w:bottom w:val="nil"/>
              <w:right w:val="nil"/>
            </w:tcBorders>
            <w:shd w:val="clear" w:color="auto" w:fill="auto"/>
            <w:noWrap/>
            <w:vAlign w:val="center"/>
            <w:hideMark/>
          </w:tcPr>
          <w:p w14:paraId="39F5D22E"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nil"/>
              <w:left w:val="nil"/>
              <w:bottom w:val="nil"/>
              <w:right w:val="nil"/>
            </w:tcBorders>
            <w:shd w:val="clear" w:color="auto" w:fill="auto"/>
            <w:noWrap/>
            <w:vAlign w:val="center"/>
            <w:hideMark/>
          </w:tcPr>
          <w:p w14:paraId="268CFED0"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hourly</w:t>
            </w:r>
          </w:p>
        </w:tc>
        <w:tc>
          <w:tcPr>
            <w:tcW w:w="1345" w:type="pct"/>
            <w:tcBorders>
              <w:top w:val="nil"/>
              <w:left w:val="nil"/>
              <w:bottom w:val="nil"/>
              <w:right w:val="nil"/>
            </w:tcBorders>
            <w:shd w:val="clear" w:color="auto" w:fill="auto"/>
            <w:noWrap/>
            <w:vAlign w:val="center"/>
            <w:hideMark/>
          </w:tcPr>
          <w:p w14:paraId="0A182BB6"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nil"/>
              <w:right w:val="nil"/>
            </w:tcBorders>
            <w:shd w:val="clear" w:color="auto" w:fill="auto"/>
            <w:noWrap/>
            <w:vAlign w:val="center"/>
            <w:hideMark/>
          </w:tcPr>
          <w:p w14:paraId="5C5196CB"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nil"/>
              <w:left w:val="nil"/>
              <w:bottom w:val="nil"/>
              <w:right w:val="nil"/>
            </w:tcBorders>
            <w:shd w:val="clear" w:color="auto" w:fill="auto"/>
            <w:noWrap/>
            <w:vAlign w:val="center"/>
            <w:hideMark/>
          </w:tcPr>
          <w:p w14:paraId="4112D3F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262.28</w:t>
            </w:r>
          </w:p>
        </w:tc>
      </w:tr>
      <w:tr w:rsidR="00DA7E40" w:rsidRPr="00D800F0" w14:paraId="058AC114" w14:textId="77777777" w:rsidTr="0000614D">
        <w:trPr>
          <w:trHeight w:val="300"/>
        </w:trPr>
        <w:tc>
          <w:tcPr>
            <w:tcW w:w="857" w:type="pct"/>
            <w:tcBorders>
              <w:top w:val="nil"/>
              <w:left w:val="nil"/>
              <w:bottom w:val="nil"/>
              <w:right w:val="nil"/>
            </w:tcBorders>
            <w:shd w:val="clear" w:color="auto" w:fill="auto"/>
            <w:noWrap/>
            <w:vAlign w:val="center"/>
            <w:hideMark/>
          </w:tcPr>
          <w:p w14:paraId="791C71B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nil"/>
              <w:left w:val="nil"/>
              <w:bottom w:val="nil"/>
              <w:right w:val="nil"/>
            </w:tcBorders>
            <w:shd w:val="clear" w:color="auto" w:fill="auto"/>
            <w:noWrap/>
            <w:vAlign w:val="center"/>
            <w:hideMark/>
          </w:tcPr>
          <w:p w14:paraId="5342D9E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hourly</w:t>
            </w:r>
          </w:p>
        </w:tc>
        <w:tc>
          <w:tcPr>
            <w:tcW w:w="1345" w:type="pct"/>
            <w:tcBorders>
              <w:top w:val="nil"/>
              <w:left w:val="nil"/>
              <w:bottom w:val="nil"/>
              <w:right w:val="nil"/>
            </w:tcBorders>
            <w:shd w:val="clear" w:color="auto" w:fill="auto"/>
            <w:noWrap/>
            <w:vAlign w:val="center"/>
            <w:hideMark/>
          </w:tcPr>
          <w:p w14:paraId="46AF940B"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nil"/>
              <w:left w:val="nil"/>
              <w:bottom w:val="nil"/>
              <w:right w:val="nil"/>
            </w:tcBorders>
            <w:shd w:val="clear" w:color="auto" w:fill="auto"/>
            <w:noWrap/>
            <w:vAlign w:val="center"/>
            <w:hideMark/>
          </w:tcPr>
          <w:p w14:paraId="58CF4B40"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nil"/>
              <w:right w:val="nil"/>
            </w:tcBorders>
            <w:shd w:val="clear" w:color="auto" w:fill="auto"/>
            <w:noWrap/>
            <w:vAlign w:val="center"/>
            <w:hideMark/>
          </w:tcPr>
          <w:p w14:paraId="2386CD9D"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138.61</w:t>
            </w:r>
          </w:p>
        </w:tc>
      </w:tr>
      <w:tr w:rsidR="00DA7E40" w:rsidRPr="00D800F0" w14:paraId="14F3DC00" w14:textId="77777777" w:rsidTr="0000614D">
        <w:trPr>
          <w:trHeight w:val="300"/>
        </w:trPr>
        <w:tc>
          <w:tcPr>
            <w:tcW w:w="857" w:type="pct"/>
            <w:tcBorders>
              <w:top w:val="nil"/>
              <w:left w:val="nil"/>
              <w:bottom w:val="nil"/>
              <w:right w:val="nil"/>
            </w:tcBorders>
            <w:shd w:val="clear" w:color="auto" w:fill="auto"/>
            <w:noWrap/>
            <w:vAlign w:val="center"/>
            <w:hideMark/>
          </w:tcPr>
          <w:p w14:paraId="371DC2DB"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2023</w:t>
            </w:r>
          </w:p>
        </w:tc>
        <w:tc>
          <w:tcPr>
            <w:tcW w:w="851" w:type="pct"/>
            <w:tcBorders>
              <w:top w:val="nil"/>
              <w:left w:val="nil"/>
              <w:bottom w:val="nil"/>
              <w:right w:val="nil"/>
            </w:tcBorders>
            <w:shd w:val="clear" w:color="auto" w:fill="auto"/>
            <w:noWrap/>
            <w:vAlign w:val="center"/>
            <w:hideMark/>
          </w:tcPr>
          <w:p w14:paraId="0BC913F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hourly</w:t>
            </w:r>
          </w:p>
        </w:tc>
        <w:tc>
          <w:tcPr>
            <w:tcW w:w="1345" w:type="pct"/>
            <w:tcBorders>
              <w:top w:val="nil"/>
              <w:left w:val="nil"/>
              <w:bottom w:val="nil"/>
              <w:right w:val="nil"/>
            </w:tcBorders>
            <w:shd w:val="clear" w:color="auto" w:fill="auto"/>
            <w:noWrap/>
            <w:vAlign w:val="center"/>
            <w:hideMark/>
          </w:tcPr>
          <w:p w14:paraId="3C0EC9DC"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nil"/>
              <w:right w:val="nil"/>
            </w:tcBorders>
            <w:shd w:val="clear" w:color="auto" w:fill="auto"/>
            <w:noWrap/>
            <w:vAlign w:val="center"/>
            <w:hideMark/>
          </w:tcPr>
          <w:p w14:paraId="1E62D770"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nil"/>
              <w:right w:val="nil"/>
            </w:tcBorders>
            <w:shd w:val="clear" w:color="auto" w:fill="auto"/>
            <w:noWrap/>
            <w:vAlign w:val="center"/>
            <w:hideMark/>
          </w:tcPr>
          <w:p w14:paraId="50EFA759"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408.65</w:t>
            </w:r>
          </w:p>
        </w:tc>
      </w:tr>
      <w:tr w:rsidR="00DA7E40" w:rsidRPr="00D800F0" w14:paraId="7FBDDB21" w14:textId="77777777" w:rsidTr="0000614D">
        <w:trPr>
          <w:trHeight w:val="300"/>
        </w:trPr>
        <w:tc>
          <w:tcPr>
            <w:tcW w:w="857" w:type="pct"/>
            <w:tcBorders>
              <w:top w:val="nil"/>
              <w:left w:val="nil"/>
              <w:bottom w:val="nil"/>
              <w:right w:val="nil"/>
            </w:tcBorders>
            <w:shd w:val="clear" w:color="auto" w:fill="auto"/>
            <w:noWrap/>
            <w:vAlign w:val="center"/>
            <w:hideMark/>
          </w:tcPr>
          <w:p w14:paraId="6A4B973B"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2030</w:t>
            </w:r>
          </w:p>
        </w:tc>
        <w:tc>
          <w:tcPr>
            <w:tcW w:w="851" w:type="pct"/>
            <w:tcBorders>
              <w:top w:val="nil"/>
              <w:left w:val="nil"/>
              <w:bottom w:val="nil"/>
              <w:right w:val="nil"/>
            </w:tcBorders>
            <w:shd w:val="clear" w:color="auto" w:fill="auto"/>
            <w:noWrap/>
            <w:vAlign w:val="center"/>
            <w:hideMark/>
          </w:tcPr>
          <w:p w14:paraId="70F5AB37"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hourly</w:t>
            </w:r>
          </w:p>
        </w:tc>
        <w:tc>
          <w:tcPr>
            <w:tcW w:w="1345" w:type="pct"/>
            <w:tcBorders>
              <w:top w:val="nil"/>
              <w:left w:val="nil"/>
              <w:bottom w:val="nil"/>
              <w:right w:val="nil"/>
            </w:tcBorders>
            <w:shd w:val="clear" w:color="auto" w:fill="auto"/>
            <w:noWrap/>
            <w:vAlign w:val="center"/>
            <w:hideMark/>
          </w:tcPr>
          <w:p w14:paraId="1BB655B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nil"/>
              <w:left w:val="nil"/>
              <w:bottom w:val="nil"/>
              <w:right w:val="nil"/>
            </w:tcBorders>
            <w:shd w:val="clear" w:color="auto" w:fill="auto"/>
            <w:noWrap/>
            <w:vAlign w:val="center"/>
            <w:hideMark/>
          </w:tcPr>
          <w:p w14:paraId="3D0232C1"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nil"/>
              <w:left w:val="nil"/>
              <w:bottom w:val="nil"/>
              <w:right w:val="nil"/>
            </w:tcBorders>
            <w:shd w:val="clear" w:color="auto" w:fill="auto"/>
            <w:noWrap/>
            <w:vAlign w:val="center"/>
            <w:hideMark/>
          </w:tcPr>
          <w:p w14:paraId="1861EC95"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83.31</w:t>
            </w:r>
          </w:p>
        </w:tc>
      </w:tr>
      <w:tr w:rsidR="00DA7E40" w:rsidRPr="00D800F0" w14:paraId="4BD096AA" w14:textId="77777777" w:rsidTr="0000614D">
        <w:trPr>
          <w:trHeight w:val="300"/>
        </w:trPr>
        <w:tc>
          <w:tcPr>
            <w:tcW w:w="857" w:type="pct"/>
            <w:tcBorders>
              <w:top w:val="nil"/>
              <w:left w:val="nil"/>
              <w:bottom w:val="nil"/>
              <w:right w:val="nil"/>
            </w:tcBorders>
            <w:shd w:val="clear" w:color="auto" w:fill="auto"/>
            <w:noWrap/>
            <w:vAlign w:val="center"/>
            <w:hideMark/>
          </w:tcPr>
          <w:p w14:paraId="318C7A60"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2030</w:t>
            </w:r>
          </w:p>
        </w:tc>
        <w:tc>
          <w:tcPr>
            <w:tcW w:w="851" w:type="pct"/>
            <w:tcBorders>
              <w:top w:val="nil"/>
              <w:left w:val="nil"/>
              <w:bottom w:val="nil"/>
              <w:right w:val="nil"/>
            </w:tcBorders>
            <w:shd w:val="clear" w:color="auto" w:fill="auto"/>
            <w:noWrap/>
            <w:vAlign w:val="center"/>
            <w:hideMark/>
          </w:tcPr>
          <w:p w14:paraId="753F723D"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hourly</w:t>
            </w:r>
          </w:p>
        </w:tc>
        <w:tc>
          <w:tcPr>
            <w:tcW w:w="1345" w:type="pct"/>
            <w:tcBorders>
              <w:top w:val="nil"/>
              <w:left w:val="nil"/>
              <w:bottom w:val="nil"/>
              <w:right w:val="nil"/>
            </w:tcBorders>
            <w:shd w:val="clear" w:color="auto" w:fill="auto"/>
            <w:noWrap/>
            <w:vAlign w:val="center"/>
            <w:hideMark/>
          </w:tcPr>
          <w:p w14:paraId="1E0E854C"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nil"/>
              <w:right w:val="nil"/>
            </w:tcBorders>
            <w:shd w:val="clear" w:color="auto" w:fill="auto"/>
            <w:noWrap/>
            <w:vAlign w:val="center"/>
            <w:hideMark/>
          </w:tcPr>
          <w:p w14:paraId="2E1C8742"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TRUE</w:t>
            </w:r>
          </w:p>
        </w:tc>
        <w:tc>
          <w:tcPr>
            <w:tcW w:w="1176" w:type="pct"/>
            <w:tcBorders>
              <w:top w:val="nil"/>
              <w:left w:val="nil"/>
              <w:bottom w:val="nil"/>
              <w:right w:val="nil"/>
            </w:tcBorders>
            <w:shd w:val="clear" w:color="auto" w:fill="auto"/>
            <w:noWrap/>
            <w:vAlign w:val="center"/>
            <w:hideMark/>
          </w:tcPr>
          <w:p w14:paraId="177DAFDE"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115.40</w:t>
            </w:r>
          </w:p>
        </w:tc>
      </w:tr>
      <w:tr w:rsidR="00DA7E40" w:rsidRPr="00D800F0" w14:paraId="56563628" w14:textId="77777777" w:rsidTr="0000614D">
        <w:trPr>
          <w:trHeight w:val="300"/>
        </w:trPr>
        <w:tc>
          <w:tcPr>
            <w:tcW w:w="857" w:type="pct"/>
            <w:tcBorders>
              <w:top w:val="nil"/>
              <w:left w:val="nil"/>
              <w:bottom w:val="nil"/>
              <w:right w:val="nil"/>
            </w:tcBorders>
            <w:shd w:val="clear" w:color="auto" w:fill="auto"/>
            <w:noWrap/>
            <w:vAlign w:val="center"/>
            <w:hideMark/>
          </w:tcPr>
          <w:p w14:paraId="1C30C862"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2030</w:t>
            </w:r>
          </w:p>
        </w:tc>
        <w:tc>
          <w:tcPr>
            <w:tcW w:w="851" w:type="pct"/>
            <w:tcBorders>
              <w:top w:val="nil"/>
              <w:left w:val="nil"/>
              <w:bottom w:val="nil"/>
              <w:right w:val="nil"/>
            </w:tcBorders>
            <w:shd w:val="clear" w:color="auto" w:fill="auto"/>
            <w:noWrap/>
            <w:vAlign w:val="center"/>
            <w:hideMark/>
          </w:tcPr>
          <w:p w14:paraId="16841C2A"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hourly</w:t>
            </w:r>
          </w:p>
        </w:tc>
        <w:tc>
          <w:tcPr>
            <w:tcW w:w="1345" w:type="pct"/>
            <w:tcBorders>
              <w:top w:val="nil"/>
              <w:left w:val="nil"/>
              <w:bottom w:val="nil"/>
              <w:right w:val="nil"/>
            </w:tcBorders>
            <w:shd w:val="clear" w:color="auto" w:fill="auto"/>
            <w:noWrap/>
            <w:vAlign w:val="center"/>
            <w:hideMark/>
          </w:tcPr>
          <w:p w14:paraId="6539327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high</w:t>
            </w:r>
          </w:p>
        </w:tc>
        <w:tc>
          <w:tcPr>
            <w:tcW w:w="771" w:type="pct"/>
            <w:tcBorders>
              <w:top w:val="nil"/>
              <w:left w:val="nil"/>
              <w:bottom w:val="nil"/>
              <w:right w:val="nil"/>
            </w:tcBorders>
            <w:shd w:val="clear" w:color="auto" w:fill="auto"/>
            <w:noWrap/>
            <w:vAlign w:val="center"/>
            <w:hideMark/>
          </w:tcPr>
          <w:p w14:paraId="5E5152A6"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nil"/>
              <w:right w:val="nil"/>
            </w:tcBorders>
            <w:shd w:val="clear" w:color="auto" w:fill="auto"/>
            <w:noWrap/>
            <w:vAlign w:val="center"/>
            <w:hideMark/>
          </w:tcPr>
          <w:p w14:paraId="70DC8138"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105.22</w:t>
            </w:r>
          </w:p>
        </w:tc>
      </w:tr>
      <w:tr w:rsidR="00DA7E40" w:rsidRPr="00D800F0" w14:paraId="6F9AA42E" w14:textId="77777777" w:rsidTr="0000614D">
        <w:trPr>
          <w:trHeight w:val="300"/>
        </w:trPr>
        <w:tc>
          <w:tcPr>
            <w:tcW w:w="857" w:type="pct"/>
            <w:tcBorders>
              <w:top w:val="nil"/>
              <w:left w:val="nil"/>
              <w:bottom w:val="single" w:sz="4" w:space="0" w:color="auto"/>
              <w:right w:val="nil"/>
            </w:tcBorders>
            <w:shd w:val="clear" w:color="auto" w:fill="auto"/>
            <w:noWrap/>
            <w:vAlign w:val="center"/>
            <w:hideMark/>
          </w:tcPr>
          <w:p w14:paraId="44687D44"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2030</w:t>
            </w:r>
          </w:p>
        </w:tc>
        <w:tc>
          <w:tcPr>
            <w:tcW w:w="851" w:type="pct"/>
            <w:tcBorders>
              <w:top w:val="nil"/>
              <w:left w:val="nil"/>
              <w:bottom w:val="single" w:sz="4" w:space="0" w:color="auto"/>
              <w:right w:val="nil"/>
            </w:tcBorders>
            <w:shd w:val="clear" w:color="auto" w:fill="auto"/>
            <w:noWrap/>
            <w:vAlign w:val="center"/>
            <w:hideMark/>
          </w:tcPr>
          <w:p w14:paraId="779A6048"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hourly</w:t>
            </w:r>
          </w:p>
        </w:tc>
        <w:tc>
          <w:tcPr>
            <w:tcW w:w="1345" w:type="pct"/>
            <w:tcBorders>
              <w:top w:val="nil"/>
              <w:left w:val="nil"/>
              <w:bottom w:val="single" w:sz="4" w:space="0" w:color="auto"/>
              <w:right w:val="nil"/>
            </w:tcBorders>
            <w:shd w:val="clear" w:color="auto" w:fill="auto"/>
            <w:noWrap/>
            <w:vAlign w:val="center"/>
            <w:hideMark/>
          </w:tcPr>
          <w:p w14:paraId="786CAE67"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low</w:t>
            </w:r>
          </w:p>
        </w:tc>
        <w:tc>
          <w:tcPr>
            <w:tcW w:w="771" w:type="pct"/>
            <w:tcBorders>
              <w:top w:val="nil"/>
              <w:left w:val="nil"/>
              <w:bottom w:val="single" w:sz="4" w:space="0" w:color="auto"/>
              <w:right w:val="nil"/>
            </w:tcBorders>
            <w:shd w:val="clear" w:color="auto" w:fill="auto"/>
            <w:noWrap/>
            <w:vAlign w:val="center"/>
            <w:hideMark/>
          </w:tcPr>
          <w:p w14:paraId="7C6B962F"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FALSE</w:t>
            </w:r>
          </w:p>
        </w:tc>
        <w:tc>
          <w:tcPr>
            <w:tcW w:w="1176" w:type="pct"/>
            <w:tcBorders>
              <w:top w:val="nil"/>
              <w:left w:val="nil"/>
              <w:bottom w:val="single" w:sz="4" w:space="0" w:color="auto"/>
              <w:right w:val="nil"/>
            </w:tcBorders>
            <w:shd w:val="clear" w:color="auto" w:fill="auto"/>
            <w:noWrap/>
            <w:vAlign w:val="center"/>
            <w:hideMark/>
          </w:tcPr>
          <w:p w14:paraId="466D7126"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rPr>
              <w:t>173.74</w:t>
            </w:r>
          </w:p>
        </w:tc>
      </w:tr>
      <w:tr w:rsidR="00DA7E40" w:rsidRPr="00D800F0" w14:paraId="0B5EEA97" w14:textId="77777777" w:rsidTr="0000614D">
        <w:trPr>
          <w:trHeight w:val="300"/>
        </w:trPr>
        <w:tc>
          <w:tcPr>
            <w:tcW w:w="4998" w:type="pct"/>
            <w:gridSpan w:val="5"/>
            <w:tcBorders>
              <w:top w:val="single" w:sz="4" w:space="0" w:color="auto"/>
              <w:left w:val="nil"/>
              <w:bottom w:val="single" w:sz="4" w:space="0" w:color="auto"/>
              <w:right w:val="nil"/>
            </w:tcBorders>
            <w:shd w:val="clear" w:color="auto" w:fill="auto"/>
            <w:noWrap/>
            <w:vAlign w:val="center"/>
          </w:tcPr>
          <w:p w14:paraId="1A996FB3" w14:textId="77777777" w:rsidR="00DA7E40" w:rsidRPr="00D800F0" w:rsidRDefault="00DA7E40" w:rsidP="0000614D">
            <w:pPr>
              <w:spacing w:after="0" w:line="240" w:lineRule="auto"/>
              <w:rPr>
                <w:rFonts w:ascii="Arial" w:eastAsia="Times New Roman" w:hAnsi="Arial" w:cs="Arial"/>
                <w:color w:val="000000"/>
              </w:rPr>
            </w:pPr>
            <w:r w:rsidRPr="00D800F0">
              <w:rPr>
                <w:rFonts w:ascii="Arial" w:eastAsia="Times New Roman" w:hAnsi="Arial" w:cs="Arial"/>
                <w:color w:val="000000"/>
                <w:vertAlign w:val="superscript"/>
              </w:rPr>
              <w:t xml:space="preserve">A </w:t>
            </w:r>
            <w:r w:rsidRPr="00D800F0">
              <w:rPr>
                <w:rFonts w:ascii="Arial" w:eastAsia="Times New Roman" w:hAnsi="Arial" w:cs="Arial"/>
                <w:color w:val="000000"/>
              </w:rPr>
              <w:t xml:space="preserve">True means IRA subsidies were applied to the technologies (if they qualify). False means otherwise. </w:t>
            </w:r>
          </w:p>
        </w:tc>
      </w:tr>
    </w:tbl>
    <w:p w14:paraId="535A5E0C" w14:textId="77777777" w:rsidR="00DA7E40" w:rsidRPr="00D800F0" w:rsidRDefault="00DA7E40" w:rsidP="00DA7E40">
      <w:pPr>
        <w:rPr>
          <w:rFonts w:ascii="Arial" w:hAnsi="Arial" w:cs="Arial"/>
          <w:lang w:eastAsia="en-GB"/>
        </w:rPr>
      </w:pPr>
    </w:p>
    <w:p w14:paraId="4CD6DF3B" w14:textId="77777777" w:rsidR="00DA7E40" w:rsidRPr="00D800F0" w:rsidRDefault="00DA7E40" w:rsidP="006864F3">
      <w:pPr>
        <w:pStyle w:val="Heading3"/>
        <w:rPr>
          <w:rFonts w:ascii="Arial" w:hAnsi="Arial" w:cs="Arial"/>
        </w:rPr>
      </w:pPr>
      <w:bookmarkStart w:id="83" w:name="_Toc148296637"/>
      <w:r w:rsidRPr="00D800F0">
        <w:rPr>
          <w:rFonts w:ascii="Arial" w:hAnsi="Arial" w:cs="Arial"/>
        </w:rPr>
        <w:t>Carbon Border Adjustment Mechanism (CBAM)</w:t>
      </w:r>
      <w:bookmarkEnd w:id="83"/>
    </w:p>
    <w:p w14:paraId="6A3EB159" w14:textId="77777777" w:rsidR="00DA7E40" w:rsidRPr="00D800F0" w:rsidRDefault="00DA7E40" w:rsidP="00DA7E40">
      <w:pPr>
        <w:rPr>
          <w:rFonts w:ascii="Arial" w:eastAsiaTheme="minorEastAsia" w:hAnsi="Arial" w:cs="Arial"/>
          <w:lang w:eastAsia="en-GB"/>
        </w:rPr>
      </w:pPr>
      <w:r w:rsidRPr="00D800F0">
        <w:rPr>
          <w:rFonts w:ascii="Arial" w:hAnsi="Arial" w:cs="Arial"/>
          <w:lang w:eastAsia="en-GB"/>
        </w:rPr>
        <w:t xml:space="preserve">The implementation of CBAM is a simple formula that measures the difference between the European AP SMR CI and the technology </w:t>
      </w:r>
      <m:oMath>
        <m:r>
          <w:rPr>
            <w:rFonts w:ascii="Cambria Math" w:hAnsi="Cambria Math" w:cs="Arial"/>
            <w:lang w:eastAsia="en-GB"/>
          </w:rPr>
          <m:t>j</m:t>
        </m:r>
      </m:oMath>
      <w:r w:rsidRPr="00D800F0">
        <w:rPr>
          <w:rFonts w:ascii="Arial" w:eastAsiaTheme="minorEastAsia" w:hAnsi="Arial" w:cs="Arial"/>
          <w:lang w:eastAsia="en-GB"/>
        </w:rPr>
        <w:t>. The magnitude of the difference is translated into the carbon tax below:</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990"/>
      </w:tblGrid>
      <w:tr w:rsidR="00DA7E40" w:rsidRPr="00D800F0" w14:paraId="434F3910" w14:textId="77777777" w:rsidTr="0000614D">
        <w:trPr>
          <w:trHeight w:val="774"/>
        </w:trPr>
        <w:tc>
          <w:tcPr>
            <w:tcW w:w="8455" w:type="dxa"/>
            <w:vAlign w:val="center"/>
          </w:tcPr>
          <w:p w14:paraId="02269826" w14:textId="77777777" w:rsidR="00DA7E40" w:rsidRPr="00D800F0" w:rsidRDefault="00000000" w:rsidP="0000614D">
            <w:pPr>
              <w:rPr>
                <w:rFonts w:ascii="Arial" w:eastAsiaTheme="minorEastAsia" w:hAnsi="Arial" w:cs="Arial"/>
                <w:b/>
                <w:bCs/>
                <w:iCs/>
                <w:color w:val="000000" w:themeColor="text1"/>
              </w:rPr>
            </w:pPr>
            <m:oMathPara>
              <m:oMath>
                <m:sSub>
                  <m:sSubPr>
                    <m:ctrlPr>
                      <w:rPr>
                        <w:rFonts w:ascii="Cambria Math" w:eastAsiaTheme="minorEastAsia" w:hAnsi="Cambria Math" w:cs="Arial"/>
                        <w:b/>
                        <w:bCs/>
                        <w:i/>
                        <w:iCs/>
                        <w:color w:val="000000" w:themeColor="text1"/>
                      </w:rPr>
                    </m:ctrlPr>
                  </m:sSubPr>
                  <m:e>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CO</m:t>
                        </m:r>
                      </m:e>
                      <m:sub>
                        <m:r>
                          <m:rPr>
                            <m:sty m:val="bi"/>
                          </m:rPr>
                          <w:rPr>
                            <w:rFonts w:ascii="Cambria Math" w:eastAsiaTheme="minorEastAsia" w:hAnsi="Cambria Math" w:cs="Arial"/>
                            <w:color w:val="000000" w:themeColor="text1"/>
                          </w:rPr>
                          <m:t>2</m:t>
                        </m:r>
                      </m:sub>
                    </m:sSub>
                  </m:e>
                  <m:sub>
                    <m:r>
                      <m:rPr>
                        <m:sty m:val="bi"/>
                      </m:rPr>
                      <w:rPr>
                        <w:rFonts w:ascii="Cambria Math" w:eastAsiaTheme="minorEastAsia" w:hAnsi="Cambria Math" w:cs="Arial"/>
                        <w:color w:val="000000" w:themeColor="text1"/>
                      </w:rPr>
                      <m:t>tax</m:t>
                    </m:r>
                  </m:sub>
                </m:sSub>
                <m:r>
                  <w:rPr>
                    <w:rFonts w:ascii="Cambria Math" w:eastAsiaTheme="minorEastAsia" w:hAnsi="Cambria Math" w:cs="Arial"/>
                    <w:color w:val="000000" w:themeColor="text1"/>
                  </w:rPr>
                  <m:t>=</m:t>
                </m:r>
                <m:r>
                  <m:rPr>
                    <m:sty m:val="bi"/>
                  </m:rPr>
                  <w:rPr>
                    <w:rFonts w:ascii="Cambria Math" w:eastAsiaTheme="minorEastAsia" w:hAnsi="Cambria Math" w:cs="Arial"/>
                    <w:color w:val="000000" w:themeColor="text1"/>
                  </w:rPr>
                  <m:t>(C</m:t>
                </m:r>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I</m:t>
                    </m:r>
                  </m:e>
                  <m:sub>
                    <m:r>
                      <m:rPr>
                        <m:sty m:val="bi"/>
                      </m:rPr>
                      <w:rPr>
                        <w:rFonts w:ascii="Cambria Math" w:eastAsiaTheme="minorEastAsia" w:hAnsi="Cambria Math" w:cs="Arial"/>
                        <w:color w:val="000000" w:themeColor="text1"/>
                      </w:rPr>
                      <m:t>SM</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R</m:t>
                        </m:r>
                      </m:e>
                      <m:sub>
                        <m:r>
                          <m:rPr>
                            <m:sty m:val="bi"/>
                          </m:rPr>
                          <w:rPr>
                            <w:rFonts w:ascii="Cambria Math" w:eastAsiaTheme="minorEastAsia" w:hAnsi="Cambria Math" w:cs="Arial"/>
                            <w:color w:val="000000" w:themeColor="text1"/>
                          </w:rPr>
                          <m:t>EU</m:t>
                        </m:r>
                      </m:sub>
                    </m:sSub>
                  </m:sub>
                </m:sSub>
                <m:r>
                  <m:rPr>
                    <m:sty m:val="bi"/>
                  </m:rPr>
                  <w:rPr>
                    <w:rFonts w:ascii="Cambria Math" w:eastAsiaTheme="minorEastAsia" w:hAnsi="Cambria Math" w:cs="Arial"/>
                    <w:color w:val="000000" w:themeColor="text1"/>
                  </w:rPr>
                  <m:t>(T)-C</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I</m:t>
                    </m:r>
                  </m:e>
                  <m:sub>
                    <m:r>
                      <m:rPr>
                        <m:sty m:val="bi"/>
                      </m:rPr>
                      <w:rPr>
                        <w:rFonts w:ascii="Cambria Math" w:eastAsiaTheme="minorEastAsia" w:hAnsi="Cambria Math" w:cs="Arial"/>
                        <w:color w:val="000000" w:themeColor="text1"/>
                      </w:rPr>
                      <m:t>j</m:t>
                    </m:r>
                  </m:sub>
                </m:sSub>
                <m:d>
                  <m:dPr>
                    <m:ctrlPr>
                      <w:rPr>
                        <w:rFonts w:ascii="Cambria Math" w:eastAsiaTheme="minorEastAsia" w:hAnsi="Cambria Math" w:cs="Arial"/>
                        <w:b/>
                        <w:bCs/>
                        <w:i/>
                        <w:iCs/>
                        <w:color w:val="000000" w:themeColor="text1"/>
                      </w:rPr>
                    </m:ctrlPr>
                  </m:dPr>
                  <m:e>
                    <m:r>
                      <m:rPr>
                        <m:sty m:val="bi"/>
                      </m:rPr>
                      <w:rPr>
                        <w:rFonts w:ascii="Cambria Math" w:eastAsiaTheme="minorEastAsia" w:hAnsi="Cambria Math" w:cs="Arial"/>
                        <w:color w:val="000000" w:themeColor="text1"/>
                      </w:rPr>
                      <m:t>T</m:t>
                    </m:r>
                  </m:e>
                </m:d>
                <m:r>
                  <m:rPr>
                    <m:sty m:val="bi"/>
                  </m:rPr>
                  <w:rPr>
                    <w:rFonts w:ascii="Cambria Math" w:eastAsiaTheme="minorEastAsia" w:hAnsi="Cambria Math" w:cs="Arial"/>
                    <w:color w:val="000000" w:themeColor="text1"/>
                  </w:rPr>
                  <m:t>)×</m:t>
                </m:r>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M</m:t>
                    </m:r>
                  </m:e>
                  <m:sub>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H</m:t>
                        </m:r>
                      </m:e>
                      <m:sub>
                        <m:r>
                          <m:rPr>
                            <m:sty m:val="bi"/>
                          </m:rPr>
                          <w:rPr>
                            <w:rFonts w:ascii="Cambria Math" w:eastAsiaTheme="minorEastAsia" w:hAnsi="Cambria Math" w:cs="Arial"/>
                            <w:color w:val="000000" w:themeColor="text1"/>
                          </w:rPr>
                          <m:t>2</m:t>
                        </m:r>
                      </m:sub>
                    </m:sSub>
                  </m:sub>
                </m:sSub>
                <m:r>
                  <m:rPr>
                    <m:sty m:val="bi"/>
                  </m:rPr>
                  <w:rPr>
                    <w:rFonts w:ascii="Cambria Math" w:eastAsiaTheme="minorEastAsia" w:hAnsi="Cambria Math" w:cs="Arial"/>
                    <w:color w:val="000000" w:themeColor="text1"/>
                  </w:rPr>
                  <m:t>×</m:t>
                </m:r>
                <m:f>
                  <m:fPr>
                    <m:ctrlPr>
                      <w:rPr>
                        <w:rFonts w:ascii="Cambria Math" w:eastAsiaTheme="minorEastAsia" w:hAnsi="Cambria Math" w:cs="Arial"/>
                        <w:b/>
                        <w:bCs/>
                        <w:i/>
                        <w:iCs/>
                        <w:color w:val="000000" w:themeColor="text1"/>
                      </w:rPr>
                    </m:ctrlPr>
                  </m:fPr>
                  <m:num>
                    <m:r>
                      <m:rPr>
                        <m:sty m:val="bi"/>
                      </m:rPr>
                      <w:rPr>
                        <w:rFonts w:ascii="Cambria Math" w:eastAsiaTheme="minorEastAsia" w:hAnsi="Cambria Math" w:cs="Arial"/>
                        <w:color w:val="000000" w:themeColor="text1"/>
                      </w:rPr>
                      <m:t>365</m:t>
                    </m:r>
                  </m:num>
                  <m:den>
                    <m:r>
                      <m:rPr>
                        <m:sty m:val="bi"/>
                      </m:rPr>
                      <w:rPr>
                        <w:rFonts w:ascii="Cambria Math" w:eastAsiaTheme="minorEastAsia" w:hAnsi="Cambria Math" w:cs="Arial"/>
                        <w:color w:val="000000" w:themeColor="text1"/>
                      </w:rPr>
                      <m:t>12</m:t>
                    </m:r>
                  </m:den>
                </m:f>
                <m:r>
                  <m:rPr>
                    <m:sty m:val="bi"/>
                  </m:rPr>
                  <w:rPr>
                    <w:rFonts w:ascii="Cambria Math" w:eastAsiaTheme="minorEastAsia" w:hAnsi="Cambria Math" w:cs="Arial"/>
                    <w:color w:val="000000" w:themeColor="text1"/>
                  </w:rPr>
                  <m:t>×</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F</m:t>
                    </m:r>
                  </m:e>
                  <m:sub>
                    <m:r>
                      <m:rPr>
                        <m:sty m:val="bi"/>
                      </m:rPr>
                      <w:rPr>
                        <w:rFonts w:ascii="Cambria Math" w:eastAsiaTheme="minorEastAsia" w:hAnsi="Cambria Math" w:cs="Arial"/>
                        <w:color w:val="000000" w:themeColor="text1"/>
                      </w:rPr>
                      <m:t>a</m:t>
                    </m:r>
                  </m:sub>
                </m:sSub>
                <m:r>
                  <m:rPr>
                    <m:sty m:val="bi"/>
                  </m:rPr>
                  <w:rPr>
                    <w:rFonts w:ascii="Cambria Math" w:eastAsiaTheme="minorEastAsia" w:hAnsi="Cambria Math" w:cs="Arial"/>
                    <w:color w:val="000000" w:themeColor="text1"/>
                  </w:rPr>
                  <m:t>×C</m:t>
                </m:r>
                <m:sSub>
                  <m:sSubPr>
                    <m:ctrlPr>
                      <w:rPr>
                        <w:rFonts w:ascii="Cambria Math" w:eastAsiaTheme="minorEastAsia" w:hAnsi="Cambria Math" w:cs="Arial"/>
                        <w:b/>
                        <w:bCs/>
                        <w:i/>
                        <w:iCs/>
                        <w:color w:val="000000" w:themeColor="text1"/>
                      </w:rPr>
                    </m:ctrlPr>
                  </m:sSubPr>
                  <m:e>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O</m:t>
                        </m:r>
                      </m:e>
                      <m:sub>
                        <m:r>
                          <m:rPr>
                            <m:sty m:val="bi"/>
                          </m:rPr>
                          <w:rPr>
                            <w:rFonts w:ascii="Cambria Math" w:eastAsiaTheme="minorEastAsia" w:hAnsi="Cambria Math" w:cs="Arial"/>
                            <w:color w:val="000000" w:themeColor="text1"/>
                          </w:rPr>
                          <m:t>2</m:t>
                        </m:r>
                      </m:sub>
                    </m:sSub>
                  </m:e>
                  <m:sub>
                    <m:r>
                      <m:rPr>
                        <m:sty m:val="bi"/>
                      </m:rPr>
                      <w:rPr>
                        <w:rFonts w:ascii="Cambria Math" w:eastAsiaTheme="minorEastAsia" w:hAnsi="Cambria Math" w:cs="Arial"/>
                        <w:color w:val="000000" w:themeColor="text1"/>
                      </w:rPr>
                      <m:t>EUPrice</m:t>
                    </m:r>
                  </m:sub>
                </m:sSub>
              </m:oMath>
            </m:oMathPara>
          </w:p>
        </w:tc>
        <w:tc>
          <w:tcPr>
            <w:tcW w:w="990" w:type="dxa"/>
            <w:vAlign w:val="center"/>
          </w:tcPr>
          <w:p w14:paraId="1DA7A41A" w14:textId="77777777" w:rsidR="00DA7E40" w:rsidRPr="00D800F0" w:rsidRDefault="00DA7E40" w:rsidP="0000614D">
            <w:pPr>
              <w:pStyle w:val="Caption"/>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E</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4</w:t>
            </w:r>
            <w:r w:rsidRPr="00D800F0">
              <w:rPr>
                <w:rFonts w:ascii="Arial" w:hAnsi="Arial" w:cs="Arial"/>
                <w:noProof/>
              </w:rPr>
              <w:fldChar w:fldCharType="end"/>
            </w:r>
            <w:r w:rsidRPr="00D800F0">
              <w:rPr>
                <w:rFonts w:ascii="Arial" w:hAnsi="Arial" w:cs="Arial"/>
                <w:noProof/>
              </w:rPr>
              <w:t>)</w:t>
            </w:r>
          </w:p>
        </w:tc>
      </w:tr>
      <w:tr w:rsidR="00DA7E40" w:rsidRPr="00D800F0" w14:paraId="6D11397D" w14:textId="77777777" w:rsidTr="0000614D">
        <w:trPr>
          <w:trHeight w:val="927"/>
        </w:trPr>
        <w:tc>
          <w:tcPr>
            <w:tcW w:w="8455" w:type="dxa"/>
            <w:vAlign w:val="center"/>
          </w:tcPr>
          <w:p w14:paraId="514CED75" w14:textId="77777777" w:rsidR="00DA7E40" w:rsidRPr="00D800F0" w:rsidRDefault="00DA7E40" w:rsidP="0000614D">
            <w:pPr>
              <w:rPr>
                <w:rFonts w:ascii="Arial" w:eastAsiaTheme="minorEastAsia" w:hAnsi="Arial" w:cs="Arial"/>
                <w:iCs/>
                <w:color w:val="000000" w:themeColor="text1"/>
              </w:rPr>
            </w:pPr>
            <m:oMathPara>
              <m:oMath>
                <m:r>
                  <m:rPr>
                    <m:sty m:val="bi"/>
                  </m:rPr>
                  <w:rPr>
                    <w:rFonts w:ascii="Cambria Math" w:eastAsiaTheme="minorEastAsia" w:hAnsi="Cambria Math" w:cs="Arial"/>
                    <w:color w:val="000000" w:themeColor="text1"/>
                  </w:rPr>
                  <m:t>C</m:t>
                </m:r>
                <m:sSub>
                  <m:sSubPr>
                    <m:ctrlPr>
                      <w:rPr>
                        <w:rFonts w:ascii="Cambria Math" w:eastAsiaTheme="minorEastAsia" w:hAnsi="Cambria Math" w:cs="Arial"/>
                        <w:b/>
                        <w:bCs/>
                        <w:i/>
                        <w:iCs/>
                        <w:color w:val="000000" w:themeColor="text1"/>
                      </w:rPr>
                    </m:ctrlPr>
                  </m:sSubPr>
                  <m:e>
                    <m:r>
                      <m:rPr>
                        <m:sty m:val="bi"/>
                      </m:rPr>
                      <w:rPr>
                        <w:rFonts w:ascii="Cambria Math" w:eastAsiaTheme="minorEastAsia" w:hAnsi="Cambria Math" w:cs="Arial"/>
                        <w:color w:val="000000" w:themeColor="text1"/>
                      </w:rPr>
                      <m:t>I</m:t>
                    </m:r>
                  </m:e>
                  <m:sub>
                    <m:r>
                      <m:rPr>
                        <m:sty m:val="bi"/>
                      </m:rPr>
                      <w:rPr>
                        <w:rFonts w:ascii="Cambria Math" w:eastAsiaTheme="minorEastAsia" w:hAnsi="Cambria Math" w:cs="Arial"/>
                        <w:color w:val="000000" w:themeColor="text1"/>
                      </w:rPr>
                      <m:t>SM</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R</m:t>
                        </m:r>
                      </m:e>
                      <m:sub>
                        <m:r>
                          <m:rPr>
                            <m:sty m:val="bi"/>
                          </m:rPr>
                          <w:rPr>
                            <w:rFonts w:ascii="Cambria Math" w:eastAsiaTheme="minorEastAsia" w:hAnsi="Cambria Math" w:cs="Arial"/>
                            <w:color w:val="000000" w:themeColor="text1"/>
                          </w:rPr>
                          <m:t>EU</m:t>
                        </m:r>
                      </m:sub>
                    </m:sSub>
                  </m:sub>
                </m:sSub>
                <m:d>
                  <m:dPr>
                    <m:ctrlPr>
                      <w:rPr>
                        <w:rFonts w:ascii="Cambria Math" w:eastAsiaTheme="minorEastAsia" w:hAnsi="Cambria Math" w:cs="Arial"/>
                        <w:b/>
                        <w:bCs/>
                        <w:i/>
                        <w:color w:val="000000" w:themeColor="text1"/>
                      </w:rPr>
                    </m:ctrlPr>
                  </m:dPr>
                  <m:e>
                    <m:r>
                      <m:rPr>
                        <m:sty m:val="bi"/>
                      </m:rPr>
                      <w:rPr>
                        <w:rFonts w:ascii="Cambria Math" w:eastAsiaTheme="minorEastAsia" w:hAnsi="Cambria Math" w:cs="Arial"/>
                        <w:color w:val="000000" w:themeColor="text1"/>
                      </w:rPr>
                      <m:t>T</m:t>
                    </m:r>
                  </m:e>
                </m:d>
                <m:r>
                  <m:rPr>
                    <m:sty m:val="bi"/>
                  </m:rPr>
                  <w:rPr>
                    <w:rFonts w:ascii="Cambria Math" w:eastAsiaTheme="minorEastAsia" w:hAnsi="Cambria Math" w:cs="Arial"/>
                    <w:color w:val="000000" w:themeColor="text1"/>
                  </w:rPr>
                  <m:t>=C</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I</m:t>
                    </m:r>
                  </m:e>
                  <m:sub>
                    <m:r>
                      <m:rPr>
                        <m:sty m:val="bi"/>
                      </m:rPr>
                      <w:rPr>
                        <w:rFonts w:ascii="Cambria Math" w:eastAsiaTheme="minorEastAsia" w:hAnsi="Cambria Math" w:cs="Arial"/>
                        <w:color w:val="000000" w:themeColor="text1"/>
                      </w:rPr>
                      <m:t>SM</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R</m:t>
                        </m:r>
                      </m:e>
                      <m:sub>
                        <m:r>
                          <m:rPr>
                            <m:sty m:val="bi"/>
                          </m:rPr>
                          <w:rPr>
                            <w:rFonts w:ascii="Cambria Math" w:eastAsiaTheme="minorEastAsia" w:hAnsi="Cambria Math" w:cs="Arial"/>
                            <w:color w:val="000000" w:themeColor="text1"/>
                          </w:rPr>
                          <m:t>EU</m:t>
                        </m:r>
                      </m:sub>
                    </m:sSub>
                  </m:sub>
                </m:sSub>
                <m:d>
                  <m:dPr>
                    <m:ctrlPr>
                      <w:rPr>
                        <w:rFonts w:ascii="Cambria Math" w:eastAsiaTheme="minorEastAsia" w:hAnsi="Cambria Math" w:cs="Arial"/>
                        <w:b/>
                        <w:bCs/>
                        <w:i/>
                        <w:color w:val="000000" w:themeColor="text1"/>
                      </w:rPr>
                    </m:ctrlPr>
                  </m:dPr>
                  <m:e>
                    <m:r>
                      <m:rPr>
                        <m:sty m:val="bi"/>
                      </m:rPr>
                      <w:rPr>
                        <w:rFonts w:ascii="Cambria Math" w:eastAsiaTheme="minorEastAsia" w:hAnsi="Cambria Math" w:cs="Arial"/>
                        <w:color w:val="000000" w:themeColor="text1"/>
                      </w:rPr>
                      <m:t>T=0</m:t>
                    </m:r>
                  </m:e>
                </m:d>
                <m:r>
                  <m:rPr>
                    <m:sty m:val="bi"/>
                  </m:rPr>
                  <w:rPr>
                    <w:rFonts w:ascii="Cambria Math" w:eastAsiaTheme="minorEastAsia" w:hAnsi="Cambria Math" w:cs="Arial"/>
                    <w:color w:val="000000" w:themeColor="text1"/>
                  </w:rPr>
                  <m:t>*</m:t>
                </m:r>
                <m:sSup>
                  <m:sSupPr>
                    <m:ctrlPr>
                      <w:rPr>
                        <w:rFonts w:ascii="Cambria Math" w:eastAsiaTheme="minorEastAsia" w:hAnsi="Cambria Math" w:cs="Arial"/>
                        <w:b/>
                        <w:bCs/>
                        <w:i/>
                        <w:color w:val="000000" w:themeColor="text1"/>
                      </w:rPr>
                    </m:ctrlPr>
                  </m:sSupPr>
                  <m:e>
                    <m:d>
                      <m:dPr>
                        <m:ctrlPr>
                          <w:rPr>
                            <w:rFonts w:ascii="Cambria Math" w:eastAsiaTheme="minorEastAsia" w:hAnsi="Cambria Math" w:cs="Arial"/>
                            <w:b/>
                            <w:bCs/>
                            <w:i/>
                            <w:color w:val="000000" w:themeColor="text1"/>
                          </w:rPr>
                        </m:ctrlPr>
                      </m:dPr>
                      <m:e>
                        <m:r>
                          <m:rPr>
                            <m:sty m:val="bi"/>
                          </m:rPr>
                          <w:rPr>
                            <w:rFonts w:ascii="Cambria Math" w:eastAsiaTheme="minorEastAsia" w:hAnsi="Cambria Math" w:cs="Arial"/>
                            <w:color w:val="000000" w:themeColor="text1"/>
                          </w:rPr>
                          <m:t>1-</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R</m:t>
                            </m:r>
                          </m:e>
                          <m:sub>
                            <m:r>
                              <m:rPr>
                                <m:sty m:val="bi"/>
                              </m:rPr>
                              <w:rPr>
                                <w:rFonts w:ascii="Cambria Math" w:eastAsiaTheme="minorEastAsia" w:hAnsi="Cambria Math" w:cs="Arial"/>
                                <w:color w:val="000000" w:themeColor="text1"/>
                              </w:rPr>
                              <m:t>E</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U</m:t>
                                </m:r>
                              </m:e>
                              <m:sub>
                                <m:r>
                                  <m:rPr>
                                    <m:sty m:val="bi"/>
                                  </m:rPr>
                                  <w:rPr>
                                    <w:rFonts w:ascii="Cambria Math" w:eastAsiaTheme="minorEastAsia" w:hAnsi="Cambria Math" w:cs="Arial"/>
                                    <w:color w:val="000000" w:themeColor="text1"/>
                                  </w:rPr>
                                  <m:t>emissions</m:t>
                                </m:r>
                              </m:sub>
                            </m:sSub>
                          </m:sub>
                        </m:sSub>
                      </m:e>
                    </m:d>
                  </m:e>
                  <m:sup>
                    <m:f>
                      <m:fPr>
                        <m:ctrlPr>
                          <w:rPr>
                            <w:rFonts w:ascii="Cambria Math" w:eastAsiaTheme="minorEastAsia" w:hAnsi="Cambria Math" w:cs="Arial"/>
                            <w:b/>
                            <w:i/>
                            <w:color w:val="000000" w:themeColor="text1"/>
                          </w:rPr>
                        </m:ctrlPr>
                      </m:fPr>
                      <m:num>
                        <m:r>
                          <m:rPr>
                            <m:sty m:val="bi"/>
                          </m:rPr>
                          <w:rPr>
                            <w:rFonts w:ascii="Cambria Math" w:eastAsiaTheme="minorEastAsia" w:hAnsi="Cambria Math" w:cs="Arial"/>
                            <w:color w:val="000000" w:themeColor="text1"/>
                          </w:rPr>
                          <m:t>T</m:t>
                        </m:r>
                      </m:num>
                      <m:den>
                        <m:r>
                          <m:rPr>
                            <m:sty m:val="bi"/>
                          </m:rPr>
                          <w:rPr>
                            <w:rFonts w:ascii="Cambria Math" w:eastAsiaTheme="minorEastAsia" w:hAnsi="Cambria Math" w:cs="Arial"/>
                            <w:color w:val="000000" w:themeColor="text1"/>
                          </w:rPr>
                          <m:t>12</m:t>
                        </m:r>
                      </m:den>
                    </m:f>
                  </m:sup>
                </m:sSup>
              </m:oMath>
            </m:oMathPara>
          </w:p>
        </w:tc>
        <w:tc>
          <w:tcPr>
            <w:tcW w:w="990" w:type="dxa"/>
            <w:vAlign w:val="center"/>
          </w:tcPr>
          <w:p w14:paraId="0F3E88C2" w14:textId="77777777" w:rsidR="00DA7E40" w:rsidRPr="00D800F0" w:rsidRDefault="00DA7E40" w:rsidP="0000614D">
            <w:pPr>
              <w:pStyle w:val="Caption"/>
              <w:jc w:val="center"/>
              <w:rPr>
                <w:rFonts w:ascii="Arial" w:hAnsi="Arial" w:cs="Arial"/>
              </w:rPr>
            </w:pP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E</w:t>
            </w:r>
            <w:r w:rsidRPr="00D800F0">
              <w:rPr>
                <w:rFonts w:ascii="Arial" w:hAnsi="Arial" w:cs="Arial"/>
                <w:noProof/>
              </w:rPr>
              <w:fldChar w:fldCharType="end"/>
            </w:r>
            <w:r w:rsidRPr="00D800F0">
              <w:rPr>
                <w:rFonts w:ascii="Arial" w:hAnsi="Arial" w:cs="Arial"/>
              </w:rPr>
              <w:t>.</w:t>
            </w:r>
            <w:r w:rsidRPr="00D800F0">
              <w:rPr>
                <w:rFonts w:ascii="Arial" w:hAnsi="Arial" w:cs="Arial"/>
              </w:rPr>
              <w:fldChar w:fldCharType="begin"/>
            </w:r>
            <w:r w:rsidRPr="00D800F0">
              <w:rPr>
                <w:rFonts w:ascii="Arial" w:hAnsi="Arial" w:cs="Arial"/>
              </w:rPr>
              <w:instrText xml:space="preserve"> SEQ Eq \* ARABIC \s 2 </w:instrText>
            </w:r>
            <w:r w:rsidRPr="00D800F0">
              <w:rPr>
                <w:rFonts w:ascii="Arial" w:hAnsi="Arial" w:cs="Arial"/>
              </w:rPr>
              <w:fldChar w:fldCharType="separate"/>
            </w:r>
            <w:r w:rsidRPr="00D800F0">
              <w:rPr>
                <w:rFonts w:ascii="Arial" w:hAnsi="Arial" w:cs="Arial"/>
                <w:noProof/>
              </w:rPr>
              <w:t>5</w:t>
            </w:r>
            <w:r w:rsidRPr="00D800F0">
              <w:rPr>
                <w:rFonts w:ascii="Arial" w:hAnsi="Arial" w:cs="Arial"/>
                <w:noProof/>
              </w:rPr>
              <w:fldChar w:fldCharType="end"/>
            </w:r>
            <w:r w:rsidRPr="00D800F0">
              <w:rPr>
                <w:rFonts w:ascii="Arial" w:hAnsi="Arial" w:cs="Arial"/>
                <w:noProof/>
              </w:rPr>
              <w:t>)</w:t>
            </w:r>
          </w:p>
        </w:tc>
      </w:tr>
    </w:tbl>
    <w:p w14:paraId="48D76765" w14:textId="7F735678" w:rsidR="00DA7E40" w:rsidRPr="00D800F0" w:rsidRDefault="00DA7E40" w:rsidP="00DA7E40">
      <w:pPr>
        <w:ind w:firstLine="720"/>
        <w:rPr>
          <w:rFonts w:ascii="Arial" w:hAnsi="Arial" w:cs="Arial"/>
          <w:lang w:eastAsia="en-GB"/>
        </w:rPr>
      </w:pPr>
      <w:r w:rsidRPr="00D800F0">
        <w:rPr>
          <w:rFonts w:ascii="Arial" w:hAnsi="Arial" w:cs="Arial"/>
          <w:lang w:eastAsia="en-GB"/>
        </w:rPr>
        <w:t xml:space="preserve">We assume CBAM does not expire. The values for each parameter are found in </w:t>
      </w:r>
      <w:r w:rsidRPr="00D800F0">
        <w:rPr>
          <w:rFonts w:ascii="Arial" w:hAnsi="Arial" w:cs="Arial"/>
          <w:lang w:eastAsia="en-GB"/>
        </w:rPr>
        <w:fldChar w:fldCharType="begin"/>
      </w:r>
      <w:r w:rsidRPr="00D800F0">
        <w:rPr>
          <w:rFonts w:ascii="Arial" w:hAnsi="Arial" w:cs="Arial"/>
          <w:lang w:eastAsia="en-GB"/>
        </w:rPr>
        <w:instrText xml:space="preserve"> REF _Ref148200044 \h </w:instrText>
      </w:r>
      <w:r w:rsidR="00D800F0">
        <w:rPr>
          <w:rFonts w:ascii="Arial" w:hAnsi="Arial" w:cs="Arial"/>
          <w:lang w:eastAsia="en-GB"/>
        </w:rPr>
        <w:instrText xml:space="preserve"> \* MERGEFORMAT </w:instrText>
      </w:r>
      <w:r w:rsidRPr="00D800F0">
        <w:rPr>
          <w:rFonts w:ascii="Arial" w:hAnsi="Arial" w:cs="Arial"/>
          <w:lang w:eastAsia="en-GB"/>
        </w:rPr>
      </w:r>
      <w:r w:rsidRPr="00D800F0">
        <w:rPr>
          <w:rFonts w:ascii="Arial" w:hAnsi="Arial" w:cs="Arial"/>
          <w:lang w:eastAsia="en-GB"/>
        </w:rPr>
        <w:fldChar w:fldCharType="separate"/>
      </w:r>
      <w:r w:rsidRPr="00D800F0">
        <w:rPr>
          <w:rFonts w:ascii="Arial" w:hAnsi="Arial" w:cs="Arial"/>
        </w:rPr>
        <w:t xml:space="preserve">Table </w:t>
      </w:r>
      <w:r w:rsidRPr="00D800F0">
        <w:rPr>
          <w:rFonts w:ascii="Arial" w:hAnsi="Arial" w:cs="Arial"/>
          <w:noProof/>
        </w:rPr>
        <w:t>E</w:t>
      </w:r>
      <w:r w:rsidRPr="00D800F0">
        <w:rPr>
          <w:rFonts w:ascii="Arial" w:hAnsi="Arial" w:cs="Arial"/>
        </w:rPr>
        <w:noBreakHyphen/>
      </w:r>
      <w:r w:rsidRPr="00D800F0">
        <w:rPr>
          <w:rFonts w:ascii="Arial" w:hAnsi="Arial" w:cs="Arial"/>
          <w:noProof/>
        </w:rPr>
        <w:t>1</w:t>
      </w:r>
      <w:r w:rsidRPr="00D800F0">
        <w:rPr>
          <w:rFonts w:ascii="Arial" w:hAnsi="Arial" w:cs="Arial"/>
          <w:lang w:eastAsia="en-GB"/>
        </w:rPr>
        <w:fldChar w:fldCharType="end"/>
      </w:r>
      <w:r w:rsidRPr="00D800F0">
        <w:rPr>
          <w:rFonts w:ascii="Arial" w:hAnsi="Arial" w:cs="Arial"/>
          <w:lang w:eastAsia="en-GB"/>
        </w:rPr>
        <w:t xml:space="preserve">. We calibrated </w:t>
      </w:r>
      <m:oMath>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R</m:t>
            </m:r>
          </m:e>
          <m:sub>
            <m:r>
              <m:rPr>
                <m:sty m:val="bi"/>
              </m:rPr>
              <w:rPr>
                <w:rFonts w:ascii="Cambria Math" w:eastAsiaTheme="minorEastAsia" w:hAnsi="Cambria Math" w:cs="Arial"/>
                <w:color w:val="000000" w:themeColor="text1"/>
              </w:rPr>
              <m:t>E</m:t>
            </m:r>
            <m:sSub>
              <m:sSubPr>
                <m:ctrlPr>
                  <w:rPr>
                    <w:rFonts w:ascii="Cambria Math" w:eastAsiaTheme="minorEastAsia" w:hAnsi="Cambria Math" w:cs="Arial"/>
                    <w:b/>
                    <w:bCs/>
                    <w:i/>
                    <w:color w:val="000000" w:themeColor="text1"/>
                  </w:rPr>
                </m:ctrlPr>
              </m:sSubPr>
              <m:e>
                <m:r>
                  <m:rPr>
                    <m:sty m:val="bi"/>
                  </m:rPr>
                  <w:rPr>
                    <w:rFonts w:ascii="Cambria Math" w:eastAsiaTheme="minorEastAsia" w:hAnsi="Cambria Math" w:cs="Arial"/>
                    <w:color w:val="000000" w:themeColor="text1"/>
                  </w:rPr>
                  <m:t>U</m:t>
                </m:r>
              </m:e>
              <m:sub>
                <m:r>
                  <m:rPr>
                    <m:sty m:val="bi"/>
                  </m:rPr>
                  <w:rPr>
                    <w:rFonts w:ascii="Cambria Math" w:eastAsiaTheme="minorEastAsia" w:hAnsi="Cambria Math" w:cs="Arial"/>
                    <w:color w:val="000000" w:themeColor="text1"/>
                  </w:rPr>
                  <m:t>emissions</m:t>
                </m:r>
              </m:sub>
            </m:sSub>
          </m:sub>
        </m:sSub>
      </m:oMath>
      <w:r w:rsidRPr="00D800F0">
        <w:rPr>
          <w:rFonts w:ascii="Arial" w:eastAsiaTheme="minorEastAsia" w:hAnsi="Arial" w:cs="Arial"/>
          <w:b/>
          <w:bCs/>
          <w:color w:val="000000" w:themeColor="text1"/>
        </w:rPr>
        <w:t xml:space="preserve"> </w:t>
      </w:r>
      <w:r w:rsidRPr="00D800F0">
        <w:rPr>
          <w:rFonts w:ascii="Arial" w:eastAsiaTheme="minorEastAsia" w:hAnsi="Arial" w:cs="Arial"/>
          <w:color w:val="000000" w:themeColor="text1"/>
        </w:rPr>
        <w:t xml:space="preserve">so that the EU AP SMR emissions in 2050 will match the predictions by the European commission and Kakoulaki et al. (2021). We chose an exponential decay type of relationship to show more pronounced emissions reductions early in the century and slower reductions towards the middle of the century. </w:t>
      </w:r>
    </w:p>
    <w:p w14:paraId="0AA6789E" w14:textId="77777777" w:rsidR="00DA7E40" w:rsidRPr="00D800F0" w:rsidRDefault="00DA7E40" w:rsidP="00DA7E40">
      <w:pPr>
        <w:rPr>
          <w:rFonts w:ascii="Arial" w:hAnsi="Arial" w:cs="Arial"/>
          <w:lang w:eastAsia="en-GB"/>
        </w:rPr>
      </w:pPr>
      <w:r w:rsidRPr="00D800F0">
        <w:rPr>
          <w:rFonts w:ascii="Arial" w:hAnsi="Arial" w:cs="Arial"/>
          <w:lang w:eastAsia="en-GB"/>
        </w:rPr>
        <w:br w:type="page"/>
      </w:r>
    </w:p>
    <w:p w14:paraId="2F6E0098" w14:textId="77777777" w:rsidR="00DA7E40" w:rsidRPr="00D800F0" w:rsidRDefault="00DA7E40" w:rsidP="006864F3">
      <w:pPr>
        <w:pStyle w:val="Heading2"/>
        <w:rPr>
          <w:rFonts w:ascii="Arial" w:hAnsi="Arial" w:cs="Arial"/>
        </w:rPr>
      </w:pPr>
      <w:bookmarkStart w:id="84" w:name="_Toc148296638"/>
      <w:r w:rsidRPr="00D800F0">
        <w:rPr>
          <w:rFonts w:ascii="Arial" w:hAnsi="Arial" w:cs="Arial"/>
        </w:rPr>
        <w:lastRenderedPageBreak/>
        <w:t>Literature Review</w:t>
      </w:r>
      <w:bookmarkEnd w:id="84"/>
    </w:p>
    <w:p w14:paraId="37EC85DD" w14:textId="06C927AB" w:rsidR="009D77A1" w:rsidRPr="00D800F0" w:rsidRDefault="009D77A1" w:rsidP="009D77A1">
      <w:pPr>
        <w:spacing w:line="240" w:lineRule="auto"/>
        <w:rPr>
          <w:rFonts w:ascii="Arial" w:hAnsi="Arial" w:cs="Arial"/>
        </w:rPr>
      </w:pPr>
      <w:bookmarkStart w:id="85" w:name="_heading=h.1fob9te" w:colFirst="0" w:colLast="0"/>
      <w:bookmarkEnd w:id="85"/>
      <w:r w:rsidRPr="00D800F0">
        <w:rPr>
          <w:rFonts w:ascii="Arial" w:hAnsi="Arial" w:cs="Arial"/>
        </w:rPr>
        <w:t>This section briefly reviews the four AP technologies this report considers (</w:t>
      </w:r>
      <w:r w:rsidRPr="00D800F0">
        <w:rPr>
          <w:rFonts w:ascii="Arial" w:hAnsi="Arial" w:cs="Arial"/>
        </w:rPr>
        <w:fldChar w:fldCharType="begin"/>
      </w:r>
      <w:r w:rsidRPr="00D800F0">
        <w:rPr>
          <w:rFonts w:ascii="Arial" w:hAnsi="Arial" w:cs="Arial"/>
        </w:rPr>
        <w:instrText xml:space="preserve"> REF _Ref148208162 \h </w:instrText>
      </w:r>
      <w:r w:rsidR="00D800F0">
        <w:rPr>
          <w:rFonts w:ascii="Arial" w:hAnsi="Arial" w:cs="Arial"/>
        </w:rPr>
        <w:instrText xml:space="preserve"> \* MERGEFORMAT </w:instrText>
      </w:r>
      <w:r w:rsidRPr="00D800F0">
        <w:rPr>
          <w:rFonts w:ascii="Arial" w:hAnsi="Arial" w:cs="Arial"/>
        </w:rPr>
      </w:r>
      <w:r w:rsidRPr="00D800F0">
        <w:rPr>
          <w:rFonts w:ascii="Arial" w:hAnsi="Arial" w:cs="Arial"/>
        </w:rPr>
        <w:fldChar w:fldCharType="separate"/>
      </w:r>
      <w:r w:rsidRPr="00D800F0">
        <w:rPr>
          <w:rFonts w:ascii="Arial" w:hAnsi="Arial" w:cs="Arial"/>
        </w:rPr>
        <w:t xml:space="preserve">Figure </w:t>
      </w:r>
      <w:r w:rsidRPr="00D800F0">
        <w:rPr>
          <w:rFonts w:ascii="Arial" w:hAnsi="Arial" w:cs="Arial"/>
          <w:noProof/>
        </w:rPr>
        <w:t>F</w:t>
      </w:r>
      <w:r w:rsidRPr="00D800F0">
        <w:rPr>
          <w:rFonts w:ascii="Arial" w:hAnsi="Arial" w:cs="Arial"/>
        </w:rPr>
        <w:noBreakHyphen/>
      </w:r>
      <w:r w:rsidRPr="00D800F0">
        <w:rPr>
          <w:rFonts w:ascii="Arial" w:hAnsi="Arial" w:cs="Arial"/>
          <w:noProof/>
        </w:rPr>
        <w:t>1</w:t>
      </w:r>
      <w:r w:rsidRPr="00D800F0">
        <w:rPr>
          <w:rFonts w:ascii="Arial" w:hAnsi="Arial" w:cs="Arial"/>
        </w:rPr>
        <w:fldChar w:fldCharType="end"/>
      </w:r>
      <w:r w:rsidRPr="00D800F0">
        <w:rPr>
          <w:rFonts w:ascii="Arial" w:hAnsi="Arial" w:cs="Arial"/>
        </w:rPr>
        <w:fldChar w:fldCharType="begin"/>
      </w:r>
      <w:r w:rsidRPr="00D800F0">
        <w:rPr>
          <w:rFonts w:ascii="Arial" w:hAnsi="Arial" w:cs="Arial"/>
        </w:rPr>
        <w:instrText xml:space="preserve"> REF _Ref142180685 \h  \* MERGEFORMAT </w:instrText>
      </w:r>
      <w:r w:rsidRPr="00D800F0">
        <w:rPr>
          <w:rFonts w:ascii="Arial" w:hAnsi="Arial" w:cs="Arial"/>
        </w:rPr>
      </w:r>
      <w:r w:rsidR="00000000">
        <w:rPr>
          <w:rFonts w:ascii="Arial" w:hAnsi="Arial" w:cs="Arial"/>
        </w:rPr>
        <w:fldChar w:fldCharType="separate"/>
      </w:r>
      <w:r w:rsidRPr="00D800F0">
        <w:rPr>
          <w:rFonts w:ascii="Arial" w:hAnsi="Arial" w:cs="Arial"/>
        </w:rPr>
        <w:fldChar w:fldCharType="end"/>
      </w:r>
      <w:r w:rsidRPr="00D800F0">
        <w:rPr>
          <w:rFonts w:ascii="Arial" w:hAnsi="Arial" w:cs="Arial"/>
        </w:rPr>
        <w:t xml:space="preserve">). We start with the carbon-intensive, conventional AP SMR. Then, we describe AP SMR with Carbon Capture and Storage (AP CCS), followed by AP SMR with carbon-neutral biomass, as feedstock (AP BH2S). The last low-carbon technology pathway we considered for the AP is via Alkaline Electrolysis (AP AEC). Additionally, we include a comparison of each AP technology's technical advantages and disadvantages. </w:t>
      </w:r>
    </w:p>
    <w:p w14:paraId="315EEF7D" w14:textId="77777777" w:rsidR="00DA7E40" w:rsidRPr="00D800F0" w:rsidRDefault="00DA7E40" w:rsidP="00DA7E40">
      <w:pPr>
        <w:keepNext/>
        <w:spacing w:line="240" w:lineRule="auto"/>
        <w:rPr>
          <w:rFonts w:ascii="Arial" w:hAnsi="Arial" w:cs="Arial"/>
        </w:rPr>
      </w:pPr>
      <w:r w:rsidRPr="00D800F0">
        <w:rPr>
          <w:rFonts w:ascii="Arial" w:hAnsi="Arial" w:cs="Arial"/>
          <w:noProof/>
        </w:rPr>
        <w:drawing>
          <wp:inline distT="0" distB="0" distL="0" distR="0" wp14:anchorId="73A4E653" wp14:editId="182504A7">
            <wp:extent cx="5943600" cy="2259965"/>
            <wp:effectExtent l="0" t="0" r="0" b="0"/>
            <wp:docPr id="1874064263" name="image5.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screenshot of a computer screen&#10;&#10;Description automatically generated"/>
                    <pic:cNvPicPr preferRelativeResize="0"/>
                  </pic:nvPicPr>
                  <pic:blipFill>
                    <a:blip r:embed="rId13"/>
                    <a:srcRect/>
                    <a:stretch>
                      <a:fillRect/>
                    </a:stretch>
                  </pic:blipFill>
                  <pic:spPr>
                    <a:xfrm>
                      <a:off x="0" y="0"/>
                      <a:ext cx="5943600" cy="2259965"/>
                    </a:xfrm>
                    <a:prstGeom prst="rect">
                      <a:avLst/>
                    </a:prstGeom>
                    <a:ln/>
                  </pic:spPr>
                </pic:pic>
              </a:graphicData>
            </a:graphic>
          </wp:inline>
        </w:drawing>
      </w:r>
    </w:p>
    <w:p w14:paraId="22165CDD" w14:textId="77777777" w:rsidR="00DA7E40" w:rsidRPr="00D800F0" w:rsidRDefault="00DA7E40" w:rsidP="00DA7E40">
      <w:pPr>
        <w:pStyle w:val="Caption"/>
        <w:rPr>
          <w:rFonts w:ascii="Arial" w:hAnsi="Arial" w:cs="Arial"/>
        </w:rPr>
      </w:pPr>
      <w:bookmarkStart w:id="86" w:name="_Ref148208162"/>
      <w:r w:rsidRPr="00D800F0">
        <w:rPr>
          <w:rFonts w:ascii="Arial" w:hAnsi="Arial" w:cs="Arial"/>
        </w:rPr>
        <w:t xml:space="preserve">Figure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F</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Figure \* ARABIC \s 2 </w:instrText>
      </w:r>
      <w:r w:rsidRPr="00D800F0">
        <w:rPr>
          <w:rFonts w:ascii="Arial" w:hAnsi="Arial" w:cs="Arial"/>
        </w:rPr>
        <w:fldChar w:fldCharType="separate"/>
      </w:r>
      <w:r w:rsidRPr="00D800F0">
        <w:rPr>
          <w:rFonts w:ascii="Arial" w:hAnsi="Arial" w:cs="Arial"/>
          <w:noProof/>
        </w:rPr>
        <w:t>1</w:t>
      </w:r>
      <w:r w:rsidRPr="00D800F0">
        <w:rPr>
          <w:rFonts w:ascii="Arial" w:hAnsi="Arial" w:cs="Arial"/>
          <w:noProof/>
        </w:rPr>
        <w:fldChar w:fldCharType="end"/>
      </w:r>
      <w:bookmarkEnd w:id="86"/>
      <w:r w:rsidRPr="00D800F0">
        <w:rPr>
          <w:rFonts w:ascii="Arial" w:hAnsi="Arial" w:cs="Arial"/>
        </w:rPr>
        <w:t>: Technology pathways analyzed in this report.</w:t>
      </w:r>
    </w:p>
    <w:p w14:paraId="4EF54494" w14:textId="77777777" w:rsidR="00DA7E40" w:rsidRPr="00D800F0" w:rsidRDefault="00DA7E40" w:rsidP="006864F3">
      <w:pPr>
        <w:pStyle w:val="Heading3"/>
        <w:rPr>
          <w:rFonts w:ascii="Arial" w:hAnsi="Arial" w:cs="Arial"/>
        </w:rPr>
      </w:pPr>
      <w:bookmarkStart w:id="87" w:name="_heading=h.3dy6vkm" w:colFirst="0" w:colLast="0"/>
      <w:bookmarkStart w:id="88" w:name="_heading=h.30j0zll" w:colFirst="0" w:colLast="0"/>
      <w:bookmarkStart w:id="89" w:name="_Toc148296639"/>
      <w:bookmarkEnd w:id="87"/>
      <w:bookmarkEnd w:id="88"/>
      <w:r w:rsidRPr="00D800F0">
        <w:rPr>
          <w:rFonts w:ascii="Arial" w:hAnsi="Arial" w:cs="Arial"/>
        </w:rPr>
        <w:t>AP through Steam Methane Reforming (AP Baseline)</w:t>
      </w:r>
      <w:bookmarkEnd w:id="89"/>
    </w:p>
    <w:p w14:paraId="2521F2A0" w14:textId="77777777" w:rsidR="009D77A1" w:rsidRPr="00D800F0" w:rsidRDefault="009D77A1" w:rsidP="009D77A1">
      <w:pPr>
        <w:spacing w:after="0" w:line="240" w:lineRule="auto"/>
        <w:jc w:val="both"/>
        <w:rPr>
          <w:rFonts w:ascii="Arial" w:hAnsi="Arial" w:cs="Arial"/>
        </w:rPr>
      </w:pPr>
      <w:bookmarkStart w:id="90" w:name="_heading=h.lwuufggrh0oi" w:colFirst="0" w:colLast="0"/>
      <w:bookmarkEnd w:id="90"/>
      <w:r w:rsidRPr="00D800F0">
        <w:rPr>
          <w:rFonts w:ascii="Arial" w:hAnsi="Arial" w:cs="Arial"/>
        </w:rPr>
        <w:t>The common denominator across all technologies is the notable Haber-Bosch (HB) process – a chemical process by which pure sources of hydrogen (H</w:t>
      </w:r>
      <w:r w:rsidRPr="00D800F0">
        <w:rPr>
          <w:rFonts w:ascii="Arial" w:hAnsi="Arial" w:cs="Arial"/>
          <w:vertAlign w:val="subscript"/>
        </w:rPr>
        <w:t>2</w:t>
      </w:r>
      <w:r w:rsidRPr="00D800F0">
        <w:rPr>
          <w:rFonts w:ascii="Arial" w:hAnsi="Arial" w:cs="Arial"/>
        </w:rPr>
        <w:t>) and nitrogen (N</w:t>
      </w:r>
      <w:r w:rsidRPr="00D800F0">
        <w:rPr>
          <w:rFonts w:ascii="Arial" w:hAnsi="Arial" w:cs="Arial"/>
          <w:vertAlign w:val="subscript"/>
        </w:rPr>
        <w:t>2</w:t>
      </w:r>
      <w:r w:rsidRPr="00D800F0">
        <w:rPr>
          <w:rFonts w:ascii="Arial" w:hAnsi="Arial" w:cs="Arial"/>
        </w:rPr>
        <w:t>) gases combine to form ammonia (NH</w:t>
      </w:r>
      <w:r w:rsidRPr="00D800F0">
        <w:rPr>
          <w:rFonts w:ascii="Arial" w:hAnsi="Arial" w:cs="Arial"/>
          <w:vertAlign w:val="subscript"/>
        </w:rPr>
        <w:t>3</w:t>
      </w:r>
      <w:r w:rsidRPr="00D800F0">
        <w:rPr>
          <w:rFonts w:ascii="Arial" w:hAnsi="Arial" w:cs="Arial"/>
        </w:rPr>
        <w:t>). The source of N</w:t>
      </w:r>
      <w:r w:rsidRPr="00D800F0">
        <w:rPr>
          <w:rFonts w:ascii="Arial" w:hAnsi="Arial" w:cs="Arial"/>
          <w:vertAlign w:val="subscript"/>
        </w:rPr>
        <w:t>2</w:t>
      </w:r>
      <w:r w:rsidRPr="00D800F0">
        <w:rPr>
          <w:rFonts w:ascii="Arial" w:hAnsi="Arial" w:cs="Arial"/>
        </w:rPr>
        <w:t xml:space="preserve"> is separated from the air with an air separation unit (ASU), as air is 78% N</w:t>
      </w:r>
      <w:r w:rsidRPr="00D800F0">
        <w:rPr>
          <w:rFonts w:ascii="Arial" w:hAnsi="Arial" w:cs="Arial"/>
          <w:vertAlign w:val="subscript"/>
        </w:rPr>
        <w:t>2</w:t>
      </w:r>
      <w:r w:rsidRPr="00D800F0">
        <w:rPr>
          <w:rFonts w:ascii="Arial" w:hAnsi="Arial" w:cs="Arial"/>
        </w:rPr>
        <w:t xml:space="preserve"> by volume. For H</w:t>
      </w:r>
      <w:r w:rsidRPr="00D800F0">
        <w:rPr>
          <w:rFonts w:ascii="Arial" w:hAnsi="Arial" w:cs="Arial"/>
          <w:vertAlign w:val="subscript"/>
        </w:rPr>
        <w:t>2</w:t>
      </w:r>
      <w:r w:rsidRPr="00D800F0">
        <w:rPr>
          <w:rFonts w:ascii="Arial" w:hAnsi="Arial" w:cs="Arial"/>
        </w:rPr>
        <w:t>, natural gas (NG) is the most prominent source (78% of global AP) – although coal is also common (22%) (EIA, 2021). NG is chemically treated to obtain pure H</w:t>
      </w:r>
      <w:r w:rsidRPr="00D800F0">
        <w:rPr>
          <w:rFonts w:ascii="Arial" w:hAnsi="Arial" w:cs="Arial"/>
          <w:vertAlign w:val="subscript"/>
        </w:rPr>
        <w:t>2</w:t>
      </w:r>
      <w:r w:rsidRPr="00D800F0">
        <w:rPr>
          <w:rFonts w:ascii="Arial" w:hAnsi="Arial" w:cs="Arial"/>
        </w:rPr>
        <w:t xml:space="preserve"> for the HB process selectively. Specifically, the chemical treatment for hydrogen production has three major steps (Amhamed et al., 2022; Appl, 1999; IRENA &amp; AEA, 2022b; MacFarlane et al., 2020):</w:t>
      </w:r>
    </w:p>
    <w:p w14:paraId="2265A2EB" w14:textId="77777777" w:rsidR="009D77A1" w:rsidRPr="00D800F0" w:rsidRDefault="009D77A1" w:rsidP="009D77A1">
      <w:pPr>
        <w:numPr>
          <w:ilvl w:val="0"/>
          <w:numId w:val="26"/>
        </w:numPr>
        <w:spacing w:after="0" w:line="240" w:lineRule="auto"/>
        <w:jc w:val="both"/>
        <w:rPr>
          <w:rFonts w:ascii="Arial" w:hAnsi="Arial" w:cs="Arial"/>
        </w:rPr>
      </w:pPr>
      <w:r w:rsidRPr="00D800F0">
        <w:rPr>
          <w:rFonts w:ascii="Arial" w:hAnsi="Arial" w:cs="Arial"/>
        </w:rPr>
        <w:t xml:space="preserve">NG is cleaned of impurities such as sulfur (Kim et al., 2021).  </w:t>
      </w:r>
    </w:p>
    <w:p w14:paraId="3027CD17" w14:textId="77777777" w:rsidR="009D77A1" w:rsidRPr="00D800F0" w:rsidRDefault="009D77A1" w:rsidP="009D77A1">
      <w:pPr>
        <w:numPr>
          <w:ilvl w:val="0"/>
          <w:numId w:val="26"/>
        </w:numPr>
        <w:spacing w:after="0" w:line="240" w:lineRule="auto"/>
        <w:jc w:val="both"/>
        <w:rPr>
          <w:rFonts w:ascii="Arial" w:hAnsi="Arial" w:cs="Arial"/>
        </w:rPr>
      </w:pPr>
      <w:r w:rsidRPr="00D800F0">
        <w:rPr>
          <w:rFonts w:ascii="Arial" w:hAnsi="Arial" w:cs="Arial"/>
        </w:rPr>
        <w:t>The NG is mixed with steam and reacted in several heated vessels – the first reaction is called steam-methane reforming (SMR), and the second is the water-gas shift (WGS) reaction. The resulting chemicals from these reactions are methane, CO</w:t>
      </w:r>
      <w:r w:rsidRPr="00D800F0">
        <w:rPr>
          <w:rFonts w:ascii="Arial" w:hAnsi="Arial" w:cs="Arial"/>
          <w:vertAlign w:val="subscript"/>
        </w:rPr>
        <w:t>2</w:t>
      </w:r>
      <w:r w:rsidRPr="00D800F0">
        <w:rPr>
          <w:rFonts w:ascii="Arial" w:hAnsi="Arial" w:cs="Arial"/>
        </w:rPr>
        <w:t>, and H</w:t>
      </w:r>
      <w:r w:rsidRPr="00D800F0">
        <w:rPr>
          <w:rFonts w:ascii="Arial" w:hAnsi="Arial" w:cs="Arial"/>
          <w:vertAlign w:val="subscript"/>
        </w:rPr>
        <w:t>2</w:t>
      </w:r>
      <w:r w:rsidRPr="00D800F0">
        <w:rPr>
          <w:rFonts w:ascii="Arial" w:hAnsi="Arial" w:cs="Arial"/>
        </w:rPr>
        <w:t>.</w:t>
      </w:r>
    </w:p>
    <w:p w14:paraId="01F3BC48" w14:textId="77777777" w:rsidR="009D77A1" w:rsidRPr="00D800F0" w:rsidRDefault="009D77A1" w:rsidP="009D77A1">
      <w:pPr>
        <w:numPr>
          <w:ilvl w:val="0"/>
          <w:numId w:val="26"/>
        </w:numPr>
        <w:spacing w:after="0" w:line="240" w:lineRule="auto"/>
        <w:jc w:val="both"/>
        <w:rPr>
          <w:rFonts w:ascii="Arial" w:hAnsi="Arial" w:cs="Arial"/>
        </w:rPr>
      </w:pPr>
      <w:r w:rsidRPr="00D800F0">
        <w:rPr>
          <w:rFonts w:ascii="Arial" w:hAnsi="Arial" w:cs="Arial"/>
        </w:rPr>
        <w:t>H</w:t>
      </w:r>
      <w:r w:rsidRPr="00D800F0">
        <w:rPr>
          <w:rFonts w:ascii="Arial" w:hAnsi="Arial" w:cs="Arial"/>
          <w:vertAlign w:val="subscript"/>
        </w:rPr>
        <w:t>2</w:t>
      </w:r>
      <w:r w:rsidRPr="00D800F0">
        <w:rPr>
          <w:rFonts w:ascii="Arial" w:hAnsi="Arial" w:cs="Arial"/>
        </w:rPr>
        <w:t xml:space="preserve"> is separated from CO</w:t>
      </w:r>
      <w:r w:rsidRPr="00D800F0">
        <w:rPr>
          <w:rFonts w:ascii="Arial" w:hAnsi="Arial" w:cs="Arial"/>
          <w:vertAlign w:val="subscript"/>
        </w:rPr>
        <w:t>2</w:t>
      </w:r>
      <w:r w:rsidRPr="00D800F0">
        <w:rPr>
          <w:rFonts w:ascii="Arial" w:hAnsi="Arial" w:cs="Arial"/>
        </w:rPr>
        <w:t xml:space="preserve"> and methane in a pressure-swing absorption unit (PSA). The pure H</w:t>
      </w:r>
      <w:r w:rsidRPr="00D800F0">
        <w:rPr>
          <w:rFonts w:ascii="Arial" w:hAnsi="Arial" w:cs="Arial"/>
          <w:vertAlign w:val="subscript"/>
        </w:rPr>
        <w:t>2</w:t>
      </w:r>
      <w:r w:rsidRPr="00D800F0">
        <w:rPr>
          <w:rFonts w:ascii="Arial" w:hAnsi="Arial" w:cs="Arial"/>
        </w:rPr>
        <w:t xml:space="preserve"> product is sent to the HB process. The remaining methane and CO</w:t>
      </w:r>
      <w:r w:rsidRPr="00D800F0">
        <w:rPr>
          <w:rFonts w:ascii="Arial" w:hAnsi="Arial" w:cs="Arial"/>
          <w:vertAlign w:val="subscript"/>
        </w:rPr>
        <w:t>2</w:t>
      </w:r>
      <w:r w:rsidRPr="00D800F0">
        <w:rPr>
          <w:rFonts w:ascii="Arial" w:hAnsi="Arial" w:cs="Arial"/>
        </w:rPr>
        <w:t xml:space="preserve"> heat the SMR vessel through combustion. Finally, the combusted gas is emitted into the environment through the plant’s stack.  </w:t>
      </w:r>
    </w:p>
    <w:p w14:paraId="7E8AD039" w14:textId="77777777" w:rsidR="009D77A1" w:rsidRPr="00D800F0" w:rsidRDefault="009D77A1" w:rsidP="009D77A1">
      <w:pPr>
        <w:spacing w:after="0" w:line="240" w:lineRule="auto"/>
        <w:jc w:val="both"/>
        <w:rPr>
          <w:rFonts w:ascii="Arial" w:hAnsi="Arial" w:cs="Arial"/>
        </w:rPr>
      </w:pPr>
      <w:r w:rsidRPr="00D800F0">
        <w:rPr>
          <w:rFonts w:ascii="Arial" w:hAnsi="Arial" w:cs="Arial"/>
        </w:rPr>
        <w:tab/>
      </w:r>
    </w:p>
    <w:p w14:paraId="2E631225" w14:textId="6E50C7FA" w:rsidR="009D77A1" w:rsidRPr="00D800F0" w:rsidRDefault="009D77A1" w:rsidP="009D77A1">
      <w:pPr>
        <w:spacing w:after="0" w:line="240" w:lineRule="auto"/>
        <w:ind w:firstLine="720"/>
        <w:jc w:val="both"/>
        <w:rPr>
          <w:rFonts w:ascii="Arial" w:hAnsi="Arial" w:cs="Arial"/>
        </w:rPr>
      </w:pPr>
      <w:r w:rsidRPr="00D800F0">
        <w:rPr>
          <w:rFonts w:ascii="Arial" w:hAnsi="Arial" w:cs="Arial"/>
        </w:rPr>
        <w:t>The H</w:t>
      </w:r>
      <w:r w:rsidRPr="00D800F0">
        <w:rPr>
          <w:rFonts w:ascii="Arial" w:hAnsi="Arial" w:cs="Arial"/>
          <w:vertAlign w:val="subscript"/>
        </w:rPr>
        <w:t>2</w:t>
      </w:r>
      <w:r w:rsidRPr="00D800F0">
        <w:rPr>
          <w:rFonts w:ascii="Arial" w:hAnsi="Arial" w:cs="Arial"/>
        </w:rPr>
        <w:t xml:space="preserve"> from the HP process and the N</w:t>
      </w:r>
      <w:r w:rsidRPr="00D800F0">
        <w:rPr>
          <w:rFonts w:ascii="Arial" w:hAnsi="Arial" w:cs="Arial"/>
          <w:vertAlign w:val="subscript"/>
        </w:rPr>
        <w:t>2</w:t>
      </w:r>
      <w:r w:rsidRPr="00D800F0">
        <w:rPr>
          <w:rFonts w:ascii="Arial" w:hAnsi="Arial" w:cs="Arial"/>
        </w:rPr>
        <w:t xml:space="preserve"> from the ASU must be compressed because the HB process requires extreme pressures and temperatures. The compression of H</w:t>
      </w:r>
      <w:r w:rsidRPr="00D800F0">
        <w:rPr>
          <w:rFonts w:ascii="Arial" w:hAnsi="Arial" w:cs="Arial"/>
          <w:vertAlign w:val="subscript"/>
        </w:rPr>
        <w:t>2</w:t>
      </w:r>
      <w:r w:rsidRPr="00D800F0">
        <w:rPr>
          <w:rFonts w:ascii="Arial" w:hAnsi="Arial" w:cs="Arial"/>
        </w:rPr>
        <w:t xml:space="preserve"> and N</w:t>
      </w:r>
      <w:r w:rsidRPr="00D800F0">
        <w:rPr>
          <w:rFonts w:ascii="Arial" w:hAnsi="Arial" w:cs="Arial"/>
          <w:vertAlign w:val="subscript"/>
        </w:rPr>
        <w:t>2</w:t>
      </w:r>
      <w:r w:rsidRPr="00D800F0">
        <w:rPr>
          <w:rFonts w:ascii="Arial" w:hAnsi="Arial" w:cs="Arial"/>
        </w:rPr>
        <w:t xml:space="preserve"> is the most energy-intensive step in AP. The source of energy for compression varies across technologies (see §</w:t>
      </w:r>
      <w:r w:rsidR="00E611E8" w:rsidRPr="00D800F0">
        <w:rPr>
          <w:rFonts w:ascii="Arial" w:hAnsi="Arial" w:cs="Arial"/>
        </w:rPr>
        <w:t>A</w:t>
      </w:r>
      <w:r w:rsidRPr="00D800F0">
        <w:rPr>
          <w:rFonts w:ascii="Arial" w:hAnsi="Arial" w:cs="Arial"/>
        </w:rPr>
        <w:t>)</w:t>
      </w:r>
    </w:p>
    <w:p w14:paraId="29BBF487" w14:textId="77777777" w:rsidR="009D77A1" w:rsidRPr="00D800F0" w:rsidRDefault="009D77A1" w:rsidP="009D77A1">
      <w:pPr>
        <w:spacing w:after="0" w:line="240" w:lineRule="auto"/>
        <w:ind w:firstLine="720"/>
        <w:jc w:val="both"/>
        <w:rPr>
          <w:rFonts w:ascii="Arial" w:hAnsi="Arial" w:cs="Arial"/>
        </w:rPr>
      </w:pPr>
      <w:r w:rsidRPr="00D800F0">
        <w:rPr>
          <w:rFonts w:ascii="Arial" w:hAnsi="Arial" w:cs="Arial"/>
        </w:rPr>
        <w:t>The typical AP SMR plant produces 500 to 3000 metric MTs per day (TPD) of NH</w:t>
      </w:r>
      <w:r w:rsidRPr="00D800F0">
        <w:rPr>
          <w:rFonts w:ascii="Arial" w:hAnsi="Arial" w:cs="Arial"/>
          <w:vertAlign w:val="subscript"/>
        </w:rPr>
        <w:t>3</w:t>
      </w:r>
      <w:r w:rsidRPr="00D800F0">
        <w:rPr>
          <w:rFonts w:ascii="Arial" w:hAnsi="Arial" w:cs="Arial"/>
        </w:rPr>
        <w:t xml:space="preserve"> (IEA, 2021; Amhamed et al., 2022). The IEA reports that the break-even AP SMR ammonia price ranges from approximately $300 to $600 per ton of NH3, whereas the market price is between $200 and $750 in 2021 (IEA, 2021). Natural gas price constitutes 30% of the levelized cost of </w:t>
      </w:r>
      <w:r w:rsidRPr="00D800F0">
        <w:rPr>
          <w:rFonts w:ascii="Arial" w:hAnsi="Arial" w:cs="Arial"/>
        </w:rPr>
        <w:lastRenderedPageBreak/>
        <w:t>ammonia (LCOA) as it is needed for hydrogen production and heating (Appl, 1999; Maxwell, 2012; Zhang et al., 2020). Therefore, a strong correlation between natural gas and ammonia markets exists. The remaining cost is attributed primarily to capital expenditure (CAPEX) and the rest to operational expenditure (OPEX) (Appl, 1999; Maxwell, 2012).</w:t>
      </w:r>
    </w:p>
    <w:p w14:paraId="5081F359" w14:textId="77777777" w:rsidR="00DA7E40" w:rsidRPr="00D800F0" w:rsidRDefault="00DA7E40" w:rsidP="006864F3">
      <w:pPr>
        <w:pStyle w:val="Heading3"/>
        <w:rPr>
          <w:rFonts w:ascii="Arial" w:hAnsi="Arial" w:cs="Arial"/>
        </w:rPr>
      </w:pPr>
      <w:bookmarkStart w:id="91" w:name="_Toc148296640"/>
      <w:r w:rsidRPr="00D800F0">
        <w:rPr>
          <w:rFonts w:ascii="Arial" w:hAnsi="Arial" w:cs="Arial"/>
        </w:rPr>
        <w:t>AP SMR with a Carbon Capture System (AP CCS)</w:t>
      </w:r>
      <w:bookmarkEnd w:id="91"/>
    </w:p>
    <w:p w14:paraId="5CC7384F" w14:textId="77777777" w:rsidR="009D77A1" w:rsidRPr="00D800F0" w:rsidRDefault="009D77A1" w:rsidP="009D77A1">
      <w:pPr>
        <w:spacing w:after="0" w:line="240" w:lineRule="auto"/>
        <w:jc w:val="both"/>
        <w:rPr>
          <w:rFonts w:ascii="Arial" w:hAnsi="Arial" w:cs="Arial"/>
        </w:rPr>
      </w:pPr>
      <w:bookmarkStart w:id="92" w:name="_heading=h.9soc64xdw8ti" w:colFirst="0" w:colLast="0"/>
      <w:bookmarkEnd w:id="92"/>
      <w:r w:rsidRPr="00D800F0">
        <w:rPr>
          <w:rFonts w:ascii="Arial" w:hAnsi="Arial" w:cs="Arial"/>
        </w:rPr>
        <w:t>The state-of-the-art CCS technologies are amine-based carbon sequestration units operated commercially for direct air or point-source capture</w:t>
      </w:r>
      <w:r w:rsidRPr="00D800F0">
        <w:rPr>
          <w:rFonts w:ascii="Arial" w:hAnsi="Arial" w:cs="Arial"/>
          <w:vertAlign w:val="superscript"/>
        </w:rPr>
        <w:footnoteReference w:id="7"/>
      </w:r>
      <w:r w:rsidRPr="00D800F0">
        <w:rPr>
          <w:rFonts w:ascii="Arial" w:hAnsi="Arial" w:cs="Arial"/>
        </w:rPr>
        <w:t>. This CCS technology operates by mixing CO</w:t>
      </w:r>
      <w:r w:rsidRPr="00D800F0">
        <w:rPr>
          <w:rFonts w:ascii="Arial" w:hAnsi="Arial" w:cs="Arial"/>
          <w:vertAlign w:val="subscript"/>
        </w:rPr>
        <w:t>2</w:t>
      </w:r>
      <w:r w:rsidRPr="00D800F0">
        <w:rPr>
          <w:rFonts w:ascii="Arial" w:hAnsi="Arial" w:cs="Arial"/>
        </w:rPr>
        <w:t>-rich gases with water and amine solution to dissolve the CO</w:t>
      </w:r>
      <w:r w:rsidRPr="00D800F0">
        <w:rPr>
          <w:rFonts w:ascii="Arial" w:hAnsi="Arial" w:cs="Arial"/>
          <w:vertAlign w:val="subscript"/>
        </w:rPr>
        <w:t>2</w:t>
      </w:r>
      <w:r w:rsidRPr="00D800F0">
        <w:rPr>
          <w:rFonts w:ascii="Arial" w:hAnsi="Arial" w:cs="Arial"/>
        </w:rPr>
        <w:t xml:space="preserve"> in the solvent. The CO</w:t>
      </w:r>
      <w:r w:rsidRPr="00D800F0">
        <w:rPr>
          <w:rFonts w:ascii="Arial" w:hAnsi="Arial" w:cs="Arial"/>
          <w:vertAlign w:val="subscript"/>
        </w:rPr>
        <w:t>2</w:t>
      </w:r>
      <w:r w:rsidRPr="00D800F0">
        <w:rPr>
          <w:rFonts w:ascii="Arial" w:hAnsi="Arial" w:cs="Arial"/>
        </w:rPr>
        <w:t>-rich solvent can be stripped of the CO</w:t>
      </w:r>
      <w:r w:rsidRPr="00D800F0">
        <w:rPr>
          <w:rFonts w:ascii="Arial" w:hAnsi="Arial" w:cs="Arial"/>
          <w:vertAlign w:val="subscript"/>
        </w:rPr>
        <w:t xml:space="preserve">2 </w:t>
      </w:r>
      <w:r w:rsidRPr="00D800F0">
        <w:rPr>
          <w:rFonts w:ascii="Arial" w:hAnsi="Arial" w:cs="Arial"/>
        </w:rPr>
        <w:t>by heating – effectively regenerating the solvent and obtaining pure CO</w:t>
      </w:r>
      <w:r w:rsidRPr="00D800F0">
        <w:rPr>
          <w:rFonts w:ascii="Arial" w:hAnsi="Arial" w:cs="Arial"/>
          <w:vertAlign w:val="subscript"/>
        </w:rPr>
        <w:t>2</w:t>
      </w:r>
      <w:r w:rsidRPr="00D800F0">
        <w:rPr>
          <w:rFonts w:ascii="Arial" w:hAnsi="Arial" w:cs="Arial"/>
        </w:rPr>
        <w:t xml:space="preserve"> gas for transportation and storage. CCS systems can capture up to 95% of the CO</w:t>
      </w:r>
      <w:r w:rsidRPr="00D800F0">
        <w:rPr>
          <w:rFonts w:ascii="Arial" w:hAnsi="Arial" w:cs="Arial"/>
          <w:vertAlign w:val="subscript"/>
        </w:rPr>
        <w:t>2</w:t>
      </w:r>
      <w:r w:rsidRPr="00D800F0">
        <w:rPr>
          <w:rFonts w:ascii="Arial" w:hAnsi="Arial" w:cs="Arial"/>
        </w:rPr>
        <w:t xml:space="preserve"> within the AP plant at an additional electric energy penalty cost relative to AP SMR. A report by the DOE comparing hydrogen production via SMR with and without CCS found that H</w:t>
      </w:r>
      <w:r w:rsidRPr="00D800F0">
        <w:rPr>
          <w:rFonts w:ascii="Arial" w:hAnsi="Arial" w:cs="Arial"/>
          <w:vertAlign w:val="subscript"/>
        </w:rPr>
        <w:t>2</w:t>
      </w:r>
      <w:r w:rsidRPr="00D800F0">
        <w:rPr>
          <w:rFonts w:ascii="Arial" w:hAnsi="Arial" w:cs="Arial"/>
        </w:rPr>
        <w:t xml:space="preserve"> SMR required 0.65 kWh/Kg H</w:t>
      </w:r>
      <w:r w:rsidRPr="00D800F0">
        <w:rPr>
          <w:rFonts w:ascii="Arial" w:hAnsi="Arial" w:cs="Arial"/>
          <w:vertAlign w:val="subscript"/>
        </w:rPr>
        <w:t xml:space="preserve">2 </w:t>
      </w:r>
      <w:r w:rsidRPr="00D800F0">
        <w:rPr>
          <w:rFonts w:ascii="Arial" w:hAnsi="Arial" w:cs="Arial"/>
        </w:rPr>
        <w:t>of electricity, while H</w:t>
      </w:r>
      <w:r w:rsidRPr="00D800F0">
        <w:rPr>
          <w:rFonts w:ascii="Arial" w:hAnsi="Arial" w:cs="Arial"/>
          <w:vertAlign w:val="subscript"/>
        </w:rPr>
        <w:t>2</w:t>
      </w:r>
      <w:r w:rsidRPr="00D800F0">
        <w:rPr>
          <w:rFonts w:ascii="Arial" w:hAnsi="Arial" w:cs="Arial"/>
        </w:rPr>
        <w:t xml:space="preserve"> SMR with CCS required 2.04 kWh/Kg H</w:t>
      </w:r>
      <w:r w:rsidRPr="00D800F0">
        <w:rPr>
          <w:rFonts w:ascii="Arial" w:hAnsi="Arial" w:cs="Arial"/>
          <w:vertAlign w:val="subscript"/>
        </w:rPr>
        <w:t>2</w:t>
      </w:r>
      <w:r w:rsidRPr="00D800F0">
        <w:rPr>
          <w:rFonts w:ascii="Arial" w:hAnsi="Arial" w:cs="Arial"/>
        </w:rPr>
        <w:t xml:space="preserve"> H</w:t>
      </w:r>
      <w:r w:rsidRPr="00D800F0">
        <w:rPr>
          <w:rFonts w:ascii="Arial" w:hAnsi="Arial" w:cs="Arial"/>
          <w:vertAlign w:val="subscript"/>
        </w:rPr>
        <w:t>2</w:t>
      </w:r>
      <w:r w:rsidRPr="00D800F0">
        <w:rPr>
          <w:rFonts w:ascii="Arial" w:hAnsi="Arial" w:cs="Arial"/>
        </w:rPr>
        <w:t xml:space="preserve"> (Lewis et al., 2022). </w:t>
      </w:r>
    </w:p>
    <w:p w14:paraId="4B4AD777" w14:textId="77777777" w:rsidR="00DA7E40" w:rsidRPr="00D800F0" w:rsidRDefault="00DA7E40" w:rsidP="006864F3">
      <w:pPr>
        <w:pStyle w:val="Heading3"/>
        <w:rPr>
          <w:rFonts w:ascii="Arial" w:hAnsi="Arial" w:cs="Arial"/>
        </w:rPr>
      </w:pPr>
      <w:bookmarkStart w:id="93" w:name="_Toc148296641"/>
      <w:r w:rsidRPr="00D800F0">
        <w:rPr>
          <w:rFonts w:ascii="Arial" w:hAnsi="Arial" w:cs="Arial"/>
        </w:rPr>
        <w:t>AP SMR with a Biomass-derived feedstock (AP BH2S)</w:t>
      </w:r>
      <w:bookmarkEnd w:id="93"/>
    </w:p>
    <w:p w14:paraId="2B4470AA" w14:textId="77777777" w:rsidR="009D77A1" w:rsidRPr="00D800F0" w:rsidRDefault="009D77A1" w:rsidP="009D77A1">
      <w:pPr>
        <w:rPr>
          <w:rFonts w:ascii="Arial" w:hAnsi="Arial" w:cs="Arial"/>
        </w:rPr>
      </w:pPr>
      <w:bookmarkStart w:id="94" w:name="_heading=h.71en5fbgy74a" w:colFirst="0" w:colLast="0"/>
      <w:bookmarkEnd w:id="94"/>
      <w:r w:rsidRPr="00D800F0">
        <w:rPr>
          <w:rFonts w:ascii="Arial" w:hAnsi="Arial" w:cs="Arial"/>
        </w:rPr>
        <w:t>The natural gas feedstock of AP SMR can be substituted with biomass. Hydrogen production with a biomass feedstock utilizes the organic compounds in the biomass to generate small gaseous molecules (i.e., CH</w:t>
      </w:r>
      <w:r w:rsidRPr="00D800F0">
        <w:rPr>
          <w:rFonts w:ascii="Arial" w:hAnsi="Arial" w:cs="Arial"/>
          <w:vertAlign w:val="subscript"/>
        </w:rPr>
        <w:t>4</w:t>
      </w:r>
      <w:r w:rsidRPr="00D800F0">
        <w:rPr>
          <w:rFonts w:ascii="Arial" w:hAnsi="Arial" w:cs="Arial"/>
        </w:rPr>
        <w:t>, C</w:t>
      </w:r>
      <w:r w:rsidRPr="00D800F0">
        <w:rPr>
          <w:rFonts w:ascii="Arial" w:hAnsi="Arial" w:cs="Arial"/>
          <w:vertAlign w:val="subscript"/>
        </w:rPr>
        <w:t>2</w:t>
      </w:r>
      <w:r w:rsidRPr="00D800F0">
        <w:rPr>
          <w:rFonts w:ascii="Arial" w:hAnsi="Arial" w:cs="Arial"/>
        </w:rPr>
        <w:t>H</w:t>
      </w:r>
      <w:r w:rsidRPr="00D800F0">
        <w:rPr>
          <w:rFonts w:ascii="Arial" w:hAnsi="Arial" w:cs="Arial"/>
          <w:vertAlign w:val="subscript"/>
        </w:rPr>
        <w:t>4</w:t>
      </w:r>
      <w:r w:rsidRPr="00D800F0">
        <w:rPr>
          <w:rFonts w:ascii="Arial" w:hAnsi="Arial" w:cs="Arial"/>
        </w:rPr>
        <w:t>, CO, CO</w:t>
      </w:r>
      <w:r w:rsidRPr="00D800F0">
        <w:rPr>
          <w:rFonts w:ascii="Arial" w:hAnsi="Arial" w:cs="Arial"/>
          <w:vertAlign w:val="subscript"/>
        </w:rPr>
        <w:t>2</w:t>
      </w:r>
      <w:r w:rsidRPr="00D800F0">
        <w:rPr>
          <w:rFonts w:ascii="Arial" w:hAnsi="Arial" w:cs="Arial"/>
        </w:rPr>
        <w:t>, H</w:t>
      </w:r>
      <w:r w:rsidRPr="00D800F0">
        <w:rPr>
          <w:rFonts w:ascii="Arial" w:hAnsi="Arial" w:cs="Arial"/>
          <w:vertAlign w:val="subscript"/>
        </w:rPr>
        <w:t>2</w:t>
      </w:r>
      <w:r w:rsidRPr="00D800F0">
        <w:rPr>
          <w:rFonts w:ascii="Arial" w:hAnsi="Arial" w:cs="Arial"/>
        </w:rPr>
        <w:t>, N</w:t>
      </w:r>
      <w:r w:rsidRPr="00D800F0">
        <w:rPr>
          <w:rFonts w:ascii="Arial" w:hAnsi="Arial" w:cs="Arial"/>
          <w:vertAlign w:val="subscript"/>
        </w:rPr>
        <w:t>2</w:t>
      </w:r>
      <w:r w:rsidRPr="00D800F0">
        <w:rPr>
          <w:rFonts w:ascii="Arial" w:hAnsi="Arial" w:cs="Arial"/>
        </w:rPr>
        <w:t>, etc.) through a process known as gasification. These molecules are further processed into H</w:t>
      </w:r>
      <w:r w:rsidRPr="00D800F0">
        <w:rPr>
          <w:rFonts w:ascii="Arial" w:hAnsi="Arial" w:cs="Arial"/>
          <w:vertAlign w:val="subscript"/>
        </w:rPr>
        <w:t>2</w:t>
      </w:r>
      <w:r w:rsidRPr="00D800F0">
        <w:rPr>
          <w:rFonts w:ascii="Arial" w:hAnsi="Arial" w:cs="Arial"/>
        </w:rPr>
        <w:t xml:space="preserve"> and CO</w:t>
      </w:r>
      <w:r w:rsidRPr="00D800F0">
        <w:rPr>
          <w:rFonts w:ascii="Arial" w:hAnsi="Arial" w:cs="Arial"/>
          <w:vertAlign w:val="subscript"/>
        </w:rPr>
        <w:t>2</w:t>
      </w:r>
      <w:r w:rsidRPr="00D800F0">
        <w:rPr>
          <w:rFonts w:ascii="Arial" w:hAnsi="Arial" w:cs="Arial"/>
        </w:rPr>
        <w:t xml:space="preserve"> through the conventional SMR-WGS steps (Arora et al., 2017; Tock et al., 2015; Tunå et al., 2014). According to Spath et al., the organic molecules are converted to small molecules in a separate tar reformer before the SMR to pre-treat the syngas for sulfur contaminants and avoid char formation – although the goal design would be to perform tar reforming and SMR in the same vessel (Spath et al., 2005). </w:t>
      </w:r>
    </w:p>
    <w:p w14:paraId="7BA2E805" w14:textId="51E676C6" w:rsidR="009D77A1" w:rsidRPr="00D800F0" w:rsidRDefault="009D77A1" w:rsidP="009D77A1">
      <w:pPr>
        <w:ind w:firstLine="720"/>
        <w:rPr>
          <w:rFonts w:ascii="Arial" w:hAnsi="Arial" w:cs="Arial"/>
        </w:rPr>
      </w:pPr>
      <w:r w:rsidRPr="00D800F0">
        <w:rPr>
          <w:rFonts w:ascii="Arial" w:hAnsi="Arial" w:cs="Arial"/>
        </w:rPr>
        <w:t>Biomass feedstocks are effectively net-zero, as the carbon emitted by biomass comes from the atmospheric CO</w:t>
      </w:r>
      <w:r w:rsidRPr="00D800F0">
        <w:rPr>
          <w:rFonts w:ascii="Arial" w:hAnsi="Arial" w:cs="Arial"/>
          <w:vertAlign w:val="subscript"/>
        </w:rPr>
        <w:t>2</w:t>
      </w:r>
      <w:r w:rsidRPr="00D800F0">
        <w:rPr>
          <w:rFonts w:ascii="Arial" w:hAnsi="Arial" w:cs="Arial"/>
        </w:rPr>
        <w:t xml:space="preserve"> fixated into plants through photosynthesis. However, the electric energy requirements to process the biomass into usable NG-like synthesis gas are in the ballpark of AP CCS (Lewis et al., 2022; Spath et al., 2005). Hence, significant and possibly IRA-disqualifying indirect emissions of AP BH2S may be a fault of a carbon-intensive electric source (i.e., the electric grid) (EIA, 2023</w:t>
      </w:r>
      <w:r w:rsidR="00AE2B91" w:rsidRPr="00D800F0">
        <w:rPr>
          <w:rFonts w:ascii="Arial" w:hAnsi="Arial" w:cs="Arial"/>
        </w:rPr>
        <w:t>a</w:t>
      </w:r>
      <w:r w:rsidRPr="00D800F0">
        <w:rPr>
          <w:rFonts w:ascii="Arial" w:hAnsi="Arial" w:cs="Arial"/>
        </w:rPr>
        <w:t>).</w:t>
      </w:r>
    </w:p>
    <w:p w14:paraId="4A6F1D42" w14:textId="77777777" w:rsidR="00DA7E40" w:rsidRPr="00D800F0" w:rsidRDefault="00DA7E40" w:rsidP="006864F3">
      <w:pPr>
        <w:pStyle w:val="Heading3"/>
        <w:rPr>
          <w:rFonts w:ascii="Arial" w:hAnsi="Arial" w:cs="Arial"/>
        </w:rPr>
      </w:pPr>
      <w:bookmarkStart w:id="95" w:name="_Toc148296642"/>
      <w:r w:rsidRPr="00D800F0">
        <w:rPr>
          <w:rFonts w:ascii="Arial" w:hAnsi="Arial" w:cs="Arial"/>
        </w:rPr>
        <w:t>AP via Alkaline Electrolysis (AP AEC)</w:t>
      </w:r>
      <w:bookmarkEnd w:id="95"/>
    </w:p>
    <w:p w14:paraId="759EC6F8" w14:textId="77777777" w:rsidR="009D77A1" w:rsidRPr="00D800F0" w:rsidRDefault="009D77A1" w:rsidP="009D77A1">
      <w:pPr>
        <w:spacing w:line="240" w:lineRule="auto"/>
        <w:rPr>
          <w:rFonts w:ascii="Arial" w:hAnsi="Arial" w:cs="Arial"/>
        </w:rPr>
      </w:pPr>
      <w:bookmarkStart w:id="96" w:name="_heading=h.jpnyvq4gjydw" w:colFirst="0" w:colLast="0"/>
      <w:bookmarkEnd w:id="96"/>
      <w:r w:rsidRPr="00D800F0">
        <w:rPr>
          <w:rFonts w:ascii="Arial" w:hAnsi="Arial" w:cs="Arial"/>
        </w:rPr>
        <w:t xml:space="preserve">The most abundant source of hydrogen is water. Water contains zero carbon and can be electrolyzed to produce pure hydrogen and oxygen gas. The advantage of electrolysis is that it is modular and suitable for decentralized systems (Sousa et al., 2022; Böhm et al., 2020). The current competing technologies are alkaline water electrolysis (AEC), proton exchange membrane electrolysis (PEM), and solid oxide electrolysis (SOE) </w:t>
      </w:r>
      <w:r w:rsidRPr="00D800F0">
        <w:rPr>
          <w:rFonts w:ascii="Arial" w:hAnsi="Arial" w:cs="Arial"/>
          <w:color w:val="000000"/>
        </w:rPr>
        <w:t>(Böhm et al., 2020; dos Santos et al., 2017; Proost, 2017; Schmidt et al., 2017)</w:t>
      </w:r>
      <w:r w:rsidRPr="00D800F0">
        <w:rPr>
          <w:rFonts w:ascii="Arial" w:hAnsi="Arial" w:cs="Arial"/>
        </w:rPr>
        <w:t>.</w:t>
      </w:r>
    </w:p>
    <w:p w14:paraId="674418AB" w14:textId="20066BC4" w:rsidR="009D77A1" w:rsidRPr="00D800F0" w:rsidRDefault="009D77A1" w:rsidP="009D77A1">
      <w:pPr>
        <w:spacing w:after="0" w:line="240" w:lineRule="auto"/>
        <w:ind w:firstLine="720"/>
        <w:jc w:val="both"/>
        <w:rPr>
          <w:rFonts w:ascii="Arial" w:hAnsi="Arial" w:cs="Arial"/>
        </w:rPr>
      </w:pPr>
      <w:r w:rsidRPr="00D800F0">
        <w:rPr>
          <w:rFonts w:ascii="Arial" w:hAnsi="Arial" w:cs="Arial"/>
        </w:rPr>
        <w:t xml:space="preserve">AEC is the most competitive technology as it has a high lifetime (60,000-90,000 hours (h)) and a low cost (1300-500 $/kW) when compared to PEM (20,000-90,0000h and 2000-800 $/kW) (Schmidt et al., 2017). SOE stacks have the highest cost among all technologies (5000-1500 $/kW) and the shortest lifetime (&lt;20,000h) as they are still at the laboratory stage (Schmidt et al., 2017). Nevertheless, SOE stacks are expected to experience the most significant cost reductions from deployment and R&amp;D (Schmidt et al., 2017; Lee et al., 2021). AP AEC forms a small part of AP in general (&lt;0.02 Mt in 2021) (Böhm et al., 2020; IRENA &amp; AEA, 2022). AEC pathways and other electrolysis technologies expect cost reductions of 0-24% from R&amp;D and 17-30% from production scale-up (Schmidt et al., 2017). </w:t>
      </w:r>
    </w:p>
    <w:p w14:paraId="3A734CA3" w14:textId="77777777" w:rsidR="009D77A1" w:rsidRPr="00D800F0" w:rsidRDefault="009D77A1" w:rsidP="009D77A1">
      <w:pPr>
        <w:spacing w:after="0" w:line="240" w:lineRule="auto"/>
        <w:ind w:firstLine="720"/>
        <w:jc w:val="both"/>
        <w:rPr>
          <w:rFonts w:ascii="Arial" w:hAnsi="Arial" w:cs="Arial"/>
        </w:rPr>
      </w:pPr>
      <w:r w:rsidRPr="00D800F0">
        <w:rPr>
          <w:rFonts w:ascii="Arial" w:hAnsi="Arial" w:cs="Arial"/>
        </w:rPr>
        <w:lastRenderedPageBreak/>
        <w:t>While electrolytic pathways mitigate emissions by ensuring a zero-carbon feedstock, the additional electric energy demand can be higher (Singh et al., 2022). Gomez and colleagues identified that H2 electrolysis required 50-60 kWh/kg H</w:t>
      </w:r>
      <w:r w:rsidRPr="00D800F0">
        <w:rPr>
          <w:rFonts w:ascii="Arial" w:hAnsi="Arial" w:cs="Arial"/>
          <w:vertAlign w:val="subscript"/>
        </w:rPr>
        <w:t>2</w:t>
      </w:r>
      <w:r w:rsidRPr="00D800F0">
        <w:rPr>
          <w:rFonts w:ascii="Arial" w:hAnsi="Arial" w:cs="Arial"/>
        </w:rPr>
        <w:t xml:space="preserve"> versus 0.65 kWh/kg H</w:t>
      </w:r>
      <w:r w:rsidRPr="00D800F0">
        <w:rPr>
          <w:rFonts w:ascii="Arial" w:hAnsi="Arial" w:cs="Arial"/>
          <w:vertAlign w:val="subscript"/>
        </w:rPr>
        <w:t>2</w:t>
      </w:r>
      <w:r w:rsidRPr="00D800F0">
        <w:rPr>
          <w:rFonts w:ascii="Arial" w:hAnsi="Arial" w:cs="Arial"/>
        </w:rPr>
        <w:t xml:space="preserve"> for SMR (Gomez et al., 2020; Lewis et al., 2022). The additional electricity usage renders electrolytic hydrogen production to be non-zero because of the indirect emissions of the grid and construction materials. Simons and Bauer estimate solar-powered electrolysis at 3 kg CO</w:t>
      </w:r>
      <w:r w:rsidRPr="00D800F0">
        <w:rPr>
          <w:rFonts w:ascii="Arial" w:hAnsi="Arial" w:cs="Arial"/>
          <w:vertAlign w:val="subscript"/>
        </w:rPr>
        <w:t>2</w:t>
      </w:r>
      <w:r w:rsidRPr="00D800F0">
        <w:rPr>
          <w:rFonts w:ascii="Arial" w:hAnsi="Arial" w:cs="Arial"/>
        </w:rPr>
        <w:t xml:space="preserve"> eq/kg H</w:t>
      </w:r>
      <w:r w:rsidRPr="00D800F0">
        <w:rPr>
          <w:rFonts w:ascii="Arial" w:hAnsi="Arial" w:cs="Arial"/>
          <w:vertAlign w:val="subscript"/>
        </w:rPr>
        <w:t>2</w:t>
      </w:r>
      <w:r w:rsidRPr="00D800F0">
        <w:rPr>
          <w:rFonts w:ascii="Arial" w:hAnsi="Arial" w:cs="Arial"/>
        </w:rPr>
        <w:t xml:space="preserve"> and wind at 2 kg CO</w:t>
      </w:r>
      <w:r w:rsidRPr="00D800F0">
        <w:rPr>
          <w:rFonts w:ascii="Arial" w:hAnsi="Arial" w:cs="Arial"/>
          <w:vertAlign w:val="subscript"/>
        </w:rPr>
        <w:t>2</w:t>
      </w:r>
      <w:r w:rsidRPr="00D800F0">
        <w:rPr>
          <w:rFonts w:ascii="Arial" w:hAnsi="Arial" w:cs="Arial"/>
        </w:rPr>
        <w:t xml:space="preserve"> eq/kg H</w:t>
      </w:r>
      <w:r w:rsidRPr="00D800F0">
        <w:rPr>
          <w:rFonts w:ascii="Arial" w:hAnsi="Arial" w:cs="Arial"/>
          <w:vertAlign w:val="subscript"/>
        </w:rPr>
        <w:t>2</w:t>
      </w:r>
      <w:r w:rsidRPr="00D800F0">
        <w:rPr>
          <w:rFonts w:ascii="Arial" w:hAnsi="Arial" w:cs="Arial"/>
        </w:rPr>
        <w:t xml:space="preserve"> due to the indirect emissions of the construction materials for wind and solar alone</w:t>
      </w:r>
      <w:r w:rsidRPr="00D800F0">
        <w:rPr>
          <w:rFonts w:ascii="Arial" w:hAnsi="Arial" w:cs="Arial"/>
          <w:vertAlign w:val="subscript"/>
        </w:rPr>
        <w:t xml:space="preserve"> </w:t>
      </w:r>
      <w:r w:rsidRPr="00D800F0">
        <w:rPr>
          <w:rFonts w:ascii="Arial" w:hAnsi="Arial" w:cs="Arial"/>
        </w:rPr>
        <w:t>(Simons et al., 2011).</w:t>
      </w:r>
    </w:p>
    <w:p w14:paraId="033366A1" w14:textId="77777777" w:rsidR="00DA7E40" w:rsidRPr="00D800F0" w:rsidRDefault="00DA7E40" w:rsidP="006864F3">
      <w:pPr>
        <w:pStyle w:val="Heading3"/>
        <w:rPr>
          <w:rFonts w:ascii="Arial" w:hAnsi="Arial" w:cs="Arial"/>
        </w:rPr>
      </w:pPr>
      <w:bookmarkStart w:id="97" w:name="_Toc148296643"/>
      <w:r w:rsidRPr="00D800F0">
        <w:rPr>
          <w:rFonts w:ascii="Arial" w:hAnsi="Arial" w:cs="Arial"/>
        </w:rPr>
        <w:t>Economic and environmental comparison of AP across the literature.</w:t>
      </w:r>
      <w:bookmarkEnd w:id="97"/>
      <w:r w:rsidRPr="00D800F0">
        <w:rPr>
          <w:rFonts w:ascii="Arial" w:hAnsi="Arial" w:cs="Arial"/>
        </w:rPr>
        <w:t xml:space="preserve"> </w:t>
      </w:r>
    </w:p>
    <w:p w14:paraId="42EE8425" w14:textId="77777777" w:rsidR="009D77A1" w:rsidRPr="00D800F0" w:rsidRDefault="009D77A1" w:rsidP="009D77A1">
      <w:pPr>
        <w:spacing w:line="240" w:lineRule="auto"/>
        <w:rPr>
          <w:rFonts w:ascii="Arial" w:hAnsi="Arial" w:cs="Arial"/>
        </w:rPr>
      </w:pPr>
      <w:bookmarkStart w:id="98" w:name="_Hlk147148446"/>
      <w:r w:rsidRPr="00D800F0">
        <w:rPr>
          <w:rFonts w:ascii="Arial" w:hAnsi="Arial" w:cs="Arial"/>
        </w:rPr>
        <w:t xml:space="preserve">The most often used and preferred method in the literature to compare economic performance of low carbon hydrogen and ammonia is the levelized cost approach (LCOH and LCOA) </w:t>
      </w:r>
      <w:r w:rsidRPr="00D800F0">
        <w:rPr>
          <w:rFonts w:ascii="Arial" w:hAnsi="Arial" w:cs="Arial"/>
          <w:color w:val="000000"/>
        </w:rPr>
        <w:t>(Arora et al., 2016; Campion et al., 2022; del Pozo &amp; Cloete, 2022; Gomez et al., 2020; Guerra et al., 2020; B. Lee et al., 2021; Lewis et al., 2022; Osman et al., 2020; Rouwenhorst et al., 2019; Sánchez et al., 2019; Sousa et al., 2022; Tock et al., 2013; Tunå et al., 2014; Wang et al., 2020; Zhang et al., 2020)</w:t>
      </w:r>
      <w:r w:rsidRPr="00D800F0">
        <w:rPr>
          <w:rFonts w:ascii="Arial" w:hAnsi="Arial" w:cs="Arial"/>
        </w:rPr>
        <w:t>. The LCOA, while pertinent in numerous instances, is primarily focused on the production cost side of the equation, potentially overlooking the IRA's significant dynamics, which influence the revenue side.</w:t>
      </w:r>
    </w:p>
    <w:p w14:paraId="535052B0" w14:textId="77777777" w:rsidR="009D77A1" w:rsidRPr="00D800F0" w:rsidRDefault="009D77A1" w:rsidP="009D77A1">
      <w:pPr>
        <w:spacing w:line="240" w:lineRule="auto"/>
        <w:rPr>
          <w:rFonts w:ascii="Arial" w:hAnsi="Arial" w:cs="Arial"/>
        </w:rPr>
      </w:pPr>
      <w:r w:rsidRPr="00D800F0">
        <w:rPr>
          <w:rFonts w:ascii="Arial" w:hAnsi="Arial" w:cs="Arial"/>
        </w:rPr>
        <w:tab/>
        <w:t>This revenue-side influence, particularly concerning income taxes, is outside the scope of the LCOA, necessitating assumptions that could potentially overstate outcomes</w:t>
      </w:r>
      <w:r w:rsidRPr="00D800F0">
        <w:rPr>
          <w:rFonts w:ascii="Arial" w:hAnsi="Arial" w:cs="Arial"/>
          <w:vertAlign w:val="superscript"/>
        </w:rPr>
        <w:footnoteReference w:id="8"/>
      </w:r>
      <w:r w:rsidRPr="00D800F0">
        <w:rPr>
          <w:rFonts w:ascii="Arial" w:hAnsi="Arial" w:cs="Arial"/>
        </w:rPr>
        <w:t>. For instance, Jenkins et al. (2023) implicitly assumed all tax credits equal $1 US dollar by awarding full credit value to their levelized cost analysis. This approach may lead to overestimations, particularly regarding policy support for low-profit, riskier, low-carbon technologies that heavily rely on a tax credit market. Consequently, this study adopts the NPV approach, offering a more comprehensive and nuanced perspective better suited to capturing the real-world effects of income tax credit-based policies like the IRA.</w:t>
      </w:r>
    </w:p>
    <w:p w14:paraId="4B80FC35" w14:textId="77777777" w:rsidR="009D77A1" w:rsidRPr="00D800F0" w:rsidRDefault="009D77A1" w:rsidP="009D77A1">
      <w:pPr>
        <w:spacing w:line="240" w:lineRule="auto"/>
        <w:rPr>
          <w:rFonts w:ascii="Arial" w:hAnsi="Arial" w:cs="Arial"/>
        </w:rPr>
      </w:pPr>
      <w:r w:rsidRPr="00D800F0">
        <w:rPr>
          <w:rFonts w:ascii="Arial" w:hAnsi="Arial" w:cs="Arial"/>
        </w:rPr>
        <w:tab/>
        <w:t xml:space="preserve">Regarding the electric energy intensity of AP, compressing the gas out of the HP and ASU systems before the HB loop is known to be a highly energy-intensive step. Hence, using surplus energy from other parts of the process is a critical step that may sometimes drive AP SMR to generate electricity (IEAGHG, 2017). This energy integration step is essential in determining the relative OPEX between AP SMR and low-carbon technologies. Some technologies lack surplus energy to power the compression and need to purchase energy from the grid. </w:t>
      </w:r>
    </w:p>
    <w:p w14:paraId="2E586807" w14:textId="77777777" w:rsidR="009D77A1" w:rsidRPr="00D800F0" w:rsidRDefault="009D77A1" w:rsidP="009D77A1">
      <w:pPr>
        <w:spacing w:line="240" w:lineRule="auto"/>
        <w:rPr>
          <w:rFonts w:ascii="Arial" w:hAnsi="Arial" w:cs="Arial"/>
        </w:rPr>
      </w:pPr>
      <w:r w:rsidRPr="00D800F0">
        <w:rPr>
          <w:rFonts w:ascii="Arial" w:hAnsi="Arial" w:cs="Arial"/>
        </w:rPr>
        <w:tab/>
        <w:t xml:space="preserve">In general, AP SMR may have surplus energy to power the entire compression load, and hence, it uses the least amount of grid electricity (Lewis et al., 2022; IEAGHG, 2017). AP CCS does not have surplus energy and uses grid electricity (Lewis et al., 2022; IEAGHG, 2017). AP BH2S does have surplus energy for one compression process but has two in total – hence using around the same amount of grid electricity as AP CCS (Spath et al., 2005). Finally, AP AEC needs an order of magnitude larger amount of electricity for hydrogen production. It does not have surplus energy for compression – making it the most electrically energy-intensive process in the portfolio (Gomez et al., 2020). Regarding total energy efficiency, AP AEC is the least efficient, followed by BH2S and CCS. AP SMR is the most energy-efficient pathway (del Pozo &amp; Cloete, 2022; Smith et al., 2020; Tock et al., 2015; Spath et al., 2005).  </w:t>
      </w:r>
    </w:p>
    <w:p w14:paraId="109BA82B" w14:textId="77777777" w:rsidR="009D77A1" w:rsidRPr="00D800F0" w:rsidRDefault="009D77A1" w:rsidP="009D77A1">
      <w:pPr>
        <w:rPr>
          <w:rFonts w:ascii="Arial" w:hAnsi="Arial" w:cs="Arial"/>
        </w:rPr>
      </w:pPr>
      <w:r w:rsidRPr="00D800F0">
        <w:rPr>
          <w:rFonts w:ascii="Arial" w:hAnsi="Arial" w:cs="Arial"/>
        </w:rPr>
        <w:lastRenderedPageBreak/>
        <w:tab/>
        <w:t>In terms of economic cost assessment, large-scale AP SMR plants, with capacities above 2000 TPD of ammonia, can have capital expenditure (CAPEX) ranging from $500M ($250k/TPD NH3) to $1800M ($900k/TPD NH3) and operating expenditure (OPEX) ranging from $180 to $500 per ton of NH3 (IEA, 2021; Pfromm, 2017; Maxwell, 2012). For AP CCS at an 88.2% capture rate, the CAPEX is estimated to be between $298k/TPD NH3 and $275k/TPD NH3, with an OPEX of €280/Ton NH3 (del Pozo &amp; Cloete, 2022). On the other hand, AP BH2S costs have been studied at scales of 73 to 1187 TPD NH3. Arora et al. (2017) provided a detailed process model for biomass gasification at 73.5 TPD NH3. They noted that the CAPEX and OPEX of biomass gasification are between $170k to $175k/TPD NH3 and $705 to $722/ton NH3, respectively.</w:t>
      </w:r>
    </w:p>
    <w:p w14:paraId="3E8F2202" w14:textId="77777777" w:rsidR="009D77A1" w:rsidRPr="00D800F0" w:rsidRDefault="009D77A1" w:rsidP="009D77A1">
      <w:pPr>
        <w:rPr>
          <w:rFonts w:ascii="Arial" w:hAnsi="Arial" w:cs="Arial"/>
        </w:rPr>
      </w:pPr>
      <w:r w:rsidRPr="00D800F0">
        <w:rPr>
          <w:rFonts w:ascii="Arial" w:hAnsi="Arial" w:cs="Arial"/>
        </w:rPr>
        <w:tab/>
        <w:t>Although specific cost data for AP AEC was not easily found in the literature, it is likely to have similar or higher costs than AP CCS and AP BH2S, depending on variable factors such as electricity costs (OPEX-related) and electrode stack costs (CAPEX-related), which are highly uncertain variables (Sousa et al., 2022). AP AEC is the pathway expected to reduce cost due to modularity (Schmidt et al. 2017). AP CCS is expected to remain at a similar cost level –hence only seen as a transitory technology for decarbonization (MacFarlane et al., 2021). AP BH2S, on the other hand, presents significant uncertainties regarding its cost and feedstock availability (Sanchez et al., 2019; Tock et al., 2014; Tuna et al., 2013).</w:t>
      </w:r>
    </w:p>
    <w:p w14:paraId="14187CE6" w14:textId="06E11B2E" w:rsidR="009D77A1" w:rsidRPr="00D800F0" w:rsidRDefault="009D77A1" w:rsidP="009D77A1">
      <w:pPr>
        <w:rPr>
          <w:rFonts w:ascii="Arial" w:hAnsi="Arial" w:cs="Arial"/>
        </w:rPr>
      </w:pPr>
      <w:r w:rsidRPr="00D800F0">
        <w:rPr>
          <w:rFonts w:ascii="Arial" w:hAnsi="Arial" w:cs="Arial"/>
        </w:rPr>
        <w:tab/>
        <w:t>On the environmental front, life cycle assessments (LCA) of AP SMR produce variable results involving the emissions intensity of ammonia production. The cradle-to-gate equivalent CO</w:t>
      </w:r>
      <w:r w:rsidRPr="00D800F0">
        <w:rPr>
          <w:rFonts w:ascii="Arial" w:hAnsi="Arial" w:cs="Arial"/>
          <w:vertAlign w:val="subscript"/>
        </w:rPr>
        <w:t>2</w:t>
      </w:r>
      <w:r w:rsidRPr="00D800F0">
        <w:rPr>
          <w:rFonts w:ascii="Arial" w:hAnsi="Arial" w:cs="Arial"/>
        </w:rPr>
        <w:t xml:space="preserve"> emissions of AP SMR varied by 10 to 15% from the average across studies (Bicer et al., 2016; Bicer &amp; Dincer, 2017; Liu et al., 2020). For example, Bicer and colleagues measured the emissions intensity for AP SMR to be 1.6 kg of equivalent CO2 emissions (kgCO2e) per kg of NH3 with a plant-wide scope, while ARPA-E reported a value of 2.55 kgCO2e/kgNH3 for a cradle-to-gate analysis using the GREET model (Bicer et al., 2016; Bicer &amp; Dincer, 2017). Liu and colleagues reported emissions intensities of around 1.8 kgCO2e/kgNH3 for a cradle-to-gate scope (Liu et al., 2020). Young and colleagues found that CCS reduced cradle-to-gate CO2e emissions by 69% (Young et al., 2019). </w:t>
      </w:r>
    </w:p>
    <w:p w14:paraId="0A7C32B0" w14:textId="2C5E93C7" w:rsidR="009D77A1" w:rsidRPr="00D800F0" w:rsidRDefault="009D77A1" w:rsidP="009D77A1">
      <w:pPr>
        <w:rPr>
          <w:rFonts w:ascii="Arial" w:hAnsi="Arial" w:cs="Arial"/>
        </w:rPr>
      </w:pPr>
      <w:r w:rsidRPr="00D800F0">
        <w:rPr>
          <w:rFonts w:ascii="Arial" w:hAnsi="Arial" w:cs="Arial"/>
        </w:rPr>
        <w:tab/>
        <w:t>The DOE report on hydrogen production via SMR with CCS found similar results at a 61% reduction in cradle-to-gate CO2e intensity (Lewis et al., 2022). The average CO2e intensity of AP SMR across four studies is approximately 11.7 kgCO2e/kgH2 (1.99 kgCO2e/kgNH3</w:t>
      </w:r>
      <w:r w:rsidRPr="00D800F0">
        <w:rPr>
          <w:rStyle w:val="FootnoteReference"/>
          <w:rFonts w:ascii="Arial" w:hAnsi="Arial" w:cs="Arial"/>
        </w:rPr>
        <w:footnoteReference w:id="9"/>
      </w:r>
      <w:r w:rsidRPr="00D800F0">
        <w:rPr>
          <w:rFonts w:ascii="Arial" w:hAnsi="Arial" w:cs="Arial"/>
        </w:rPr>
        <w:t xml:space="preserve">) (Bicer et al., 2016; Bicer &amp; Dincer, 2017; Liu et al., 2020) – Please note that reductions by 61-69% qualify AP SMR with CCS for significant 45Q carbon sequestration credits under IRA (Lewis et al., 2022; Bauer et al., 2022; </w:t>
      </w:r>
      <w:r w:rsidR="00F80F95" w:rsidRPr="00D800F0">
        <w:rPr>
          <w:rFonts w:ascii="Arial" w:hAnsi="Arial" w:cs="Arial"/>
        </w:rPr>
        <w:t>IRA</w:t>
      </w:r>
      <w:r w:rsidRPr="00D800F0">
        <w:rPr>
          <w:rFonts w:ascii="Arial" w:hAnsi="Arial" w:cs="Arial"/>
        </w:rPr>
        <w:t xml:space="preserve">, 2022). </w:t>
      </w:r>
    </w:p>
    <w:p w14:paraId="59B14714" w14:textId="77777777" w:rsidR="009D77A1" w:rsidRPr="00D800F0" w:rsidRDefault="009D77A1" w:rsidP="009D77A1">
      <w:pPr>
        <w:rPr>
          <w:rFonts w:ascii="Arial" w:hAnsi="Arial" w:cs="Arial"/>
        </w:rPr>
      </w:pPr>
      <w:r w:rsidRPr="00D800F0">
        <w:rPr>
          <w:rFonts w:ascii="Arial" w:hAnsi="Arial" w:cs="Arial"/>
        </w:rPr>
        <w:tab/>
        <w:t xml:space="preserve">AP through BH2S has been considered a viable alternative to ammonia production as it is a zero-carbon fuel (Arora et al., 2016, 2017; Gilbert et al., 2014). Gilbert and colleagues show that biomass reduces cradle-to-gate emissions to 0.7 kg CO2e/kg NH3 (3.95 kg CO2e/kg H2 ) from a 1.9 kg CO2e/kg NH3 (10.7 kg CO2e/kg H2) natural gas AP SMR baseline (Gilbert et al., 2014). The environmental performance of AP w/ BH2S has also been shown to decrease with increasing scale at varying proportions depending on the type of biomass. Arora et al. (2017) display results indicating the inverse relationship between decreasing life-cycle emissions and scale-up cost reductions (Arora et al., 2017). </w:t>
      </w:r>
    </w:p>
    <w:p w14:paraId="0100AC80" w14:textId="77777777" w:rsidR="009D77A1" w:rsidRPr="00D800F0" w:rsidRDefault="009D77A1" w:rsidP="009D77A1">
      <w:pPr>
        <w:rPr>
          <w:rFonts w:ascii="Arial" w:hAnsi="Arial" w:cs="Arial"/>
        </w:rPr>
      </w:pPr>
      <w:r w:rsidRPr="00D800F0">
        <w:rPr>
          <w:rFonts w:ascii="Arial" w:hAnsi="Arial" w:cs="Arial"/>
        </w:rPr>
        <w:lastRenderedPageBreak/>
        <w:tab/>
        <w:t>While AP AEC pathways mitigate emissions by ensuring a zero-carbon feedstock, the additional indirect electric energy emissions can be higher. The estimated potential emissions intensity of AP AEC can range between 4.4-2.2 kg CO2e/kgH2. Simons and Bauer estimate solar-powered electrolysis at 3 kg CO2e/kgH2 and wind at 2 kgCO2e/kgH2 due to the indirect emissions of the construction materials for wind and solar (Simons et al., 2011). Borole and Greig estimated wind-powered electrolysis at 0.97 kgCO2e/kgH2, and Valente et al. estimated 0.3 kgCO2e/kgH2 (Borole &amp; Greig, 2019; Valente et al., 2020). Liu and colleagues estimated the emissions intensity of N2 production and the Haber-Bosch to be 0.3 kgCO2e/kgH2 and 0.9 kg CO2e/kgH2, respectively (Liu et al., 2020). By adding Liu et al.’s estimates to the results, the estimated potential emissions intensity of AP AEC can range between 4.4-2.2 kg CO2 eq/kg H2.</w:t>
      </w:r>
    </w:p>
    <w:p w14:paraId="11E66300" w14:textId="77777777" w:rsidR="009D77A1" w:rsidRPr="00D800F0" w:rsidRDefault="009D77A1" w:rsidP="009D77A1">
      <w:pPr>
        <w:rPr>
          <w:rFonts w:ascii="Arial" w:hAnsi="Arial" w:cs="Arial"/>
        </w:rPr>
      </w:pPr>
      <w:r w:rsidRPr="00D800F0">
        <w:rPr>
          <w:rFonts w:ascii="Arial" w:hAnsi="Arial" w:cs="Arial"/>
        </w:rPr>
        <w:tab/>
        <w:t>In essence, AP CCS and AP BH2S are effective strategies for significantly reducing the carbon emissions associated with AP SMR. Despite this, AP CCS is inherently limited by a capture rate that falls short of 100%, leading to unavoidable residual emissions. In contrast, AP BH2S holds the potential for near-net-zero emissions at the risk of limited feedstock supplies and quality.  Alternatively, AP AEC can attain net-zero emissions</w:t>
      </w:r>
      <w:r w:rsidRPr="00D800F0">
        <w:rPr>
          <w:rFonts w:ascii="Arial" w:hAnsi="Arial" w:cs="Arial"/>
          <w:i/>
          <w:iCs/>
        </w:rPr>
        <w:t xml:space="preserve">, </w:t>
      </w:r>
      <w:r w:rsidRPr="00D800F0">
        <w:rPr>
          <w:rFonts w:ascii="Arial" w:hAnsi="Arial" w:cs="Arial"/>
        </w:rPr>
        <w:t>provided that the emissions linked to the production of materials are disregarded, especially in scenarios where the power generation is green.</w:t>
      </w:r>
    </w:p>
    <w:p w14:paraId="7414181D" w14:textId="19CED759" w:rsidR="001339DD" w:rsidRPr="00D800F0" w:rsidRDefault="001339DD" w:rsidP="001339DD">
      <w:pPr>
        <w:pStyle w:val="Heading3"/>
        <w:rPr>
          <w:rFonts w:ascii="Arial" w:hAnsi="Arial" w:cs="Arial"/>
        </w:rPr>
      </w:pPr>
      <w:bookmarkStart w:id="99" w:name="_Hlk148285271"/>
      <w:bookmarkStart w:id="100" w:name="_Toc148296644"/>
      <w:r w:rsidRPr="00D800F0">
        <w:rPr>
          <w:rFonts w:ascii="Arial" w:hAnsi="Arial" w:cs="Arial"/>
        </w:rPr>
        <w:t>Haber-Bosch Flexibility</w:t>
      </w:r>
      <w:bookmarkEnd w:id="100"/>
    </w:p>
    <w:p w14:paraId="347BEB28" w14:textId="0A0DBB4E" w:rsidR="00F82D8D" w:rsidRPr="00D800F0" w:rsidRDefault="00F82D8D" w:rsidP="00F82D8D">
      <w:pPr>
        <w:pStyle w:val="Heading4"/>
        <w:rPr>
          <w:rFonts w:ascii="Arial" w:hAnsi="Arial" w:cs="Arial"/>
        </w:rPr>
      </w:pPr>
      <w:r w:rsidRPr="00D800F0">
        <w:rPr>
          <w:rFonts w:ascii="Arial" w:hAnsi="Arial" w:cs="Arial"/>
        </w:rPr>
        <w:t>HB Flexibility in Literature</w:t>
      </w:r>
    </w:p>
    <w:p w14:paraId="7D496159" w14:textId="77777777" w:rsidR="008270B1" w:rsidRPr="007A2C16" w:rsidRDefault="008270B1" w:rsidP="008270B1">
      <w:pPr>
        <w:rPr>
          <w:rFonts w:ascii="Arial" w:hAnsi="Arial" w:cs="Arial"/>
          <w:lang w:eastAsia="en-GB"/>
        </w:rPr>
      </w:pPr>
      <w:r w:rsidRPr="007A2C16">
        <w:rPr>
          <w:rFonts w:ascii="Arial" w:hAnsi="Arial" w:cs="Arial"/>
          <w:lang w:eastAsia="en-GB"/>
        </w:rPr>
        <w:t xml:space="preserve">The maximum flexibility of the HB loop varies widely between sources, ranging from 10% of nominal capacity (Ostuni &amp; Zardi, 2011) to nearly 80% (Verleysen et al., 2023), with most estimates being concentrated around the 40% level. This wide variance can be attributed to a range of underlying assumptions made by various authors; Verleysen et al. conservatively estimate a flexibility of 78.7% of maximum capacity while optimizing system performance under realistic operational constraints. They also observe a significant 76.2% decrease in mean AP for a 9.33% increase in flexibility. </w:t>
      </w:r>
    </w:p>
    <w:p w14:paraId="03289171" w14:textId="77777777" w:rsidR="008270B1" w:rsidRPr="007A2C16" w:rsidRDefault="008270B1" w:rsidP="008270B1">
      <w:pPr>
        <w:ind w:firstLine="720"/>
        <w:rPr>
          <w:rFonts w:ascii="Arial" w:hAnsi="Arial" w:cs="Arial"/>
          <w:lang w:eastAsia="en-GB"/>
        </w:rPr>
      </w:pPr>
      <w:r w:rsidRPr="007A2C16">
        <w:rPr>
          <w:rFonts w:ascii="Arial" w:hAnsi="Arial" w:cs="Arial"/>
          <w:lang w:eastAsia="en-GB"/>
        </w:rPr>
        <w:t xml:space="preserve">Another study by Cheema and Krewer found through physicochemical modeling that by reducing the H2-N2 ratio in the feed, H2 consumption can be reduced by 67% with a consequential 17% increase in recycle load (2018). Cocon conducted a technical design optimization of an HB reactor while fluctuating the feed stream composition (H2:N2) from 3:1 to 1.31:2.69 over a 24 minute simulation. No substantive comments were made on the economic implications of implementing such a reactor (Cocon 2020). </w:t>
      </w:r>
    </w:p>
    <w:p w14:paraId="46604423" w14:textId="77777777" w:rsidR="008270B1" w:rsidRPr="007A2C16" w:rsidRDefault="008270B1" w:rsidP="008270B1">
      <w:pPr>
        <w:ind w:firstLine="720"/>
        <w:rPr>
          <w:rFonts w:ascii="Arial" w:hAnsi="Arial" w:cs="Arial"/>
          <w:lang w:eastAsia="en-GB"/>
        </w:rPr>
      </w:pPr>
      <w:r w:rsidRPr="007A2C16">
        <w:rPr>
          <w:rFonts w:ascii="Arial" w:hAnsi="Arial" w:cs="Arial"/>
          <w:lang w:eastAsia="en-GB"/>
        </w:rPr>
        <w:t xml:space="preserve">Armijo and Philibert outline a standard flexibility case through interviews with manufacturers where HB flexibility is 40% of nominal capacity with a ramp rate of +/-20% of nominal capacity per hour (2020). Further, they conclude that this ramp rate is more than sufficient to not be a limiting factor, which is corroborated by Wang et al. (2023). Another first-principle-based  analysis by Lazouski et al. finds that the energy efficiency of the ammonia production reaction must be greater than 32%, and energy efficiencies below 30% dramatically increase energy costs (2022). </w:t>
      </w:r>
    </w:p>
    <w:p w14:paraId="7622D35F" w14:textId="77777777" w:rsidR="008270B1" w:rsidRPr="007A2C16" w:rsidRDefault="008270B1" w:rsidP="008270B1">
      <w:pPr>
        <w:ind w:firstLine="720"/>
        <w:rPr>
          <w:rFonts w:ascii="Arial" w:hAnsi="Arial" w:cs="Arial"/>
          <w:lang w:eastAsia="en-GB"/>
        </w:rPr>
      </w:pPr>
      <w:r w:rsidRPr="007A2C16">
        <w:rPr>
          <w:rFonts w:ascii="Arial" w:hAnsi="Arial" w:cs="Arial"/>
          <w:lang w:eastAsia="en-GB"/>
        </w:rPr>
        <w:t xml:space="preserve">These studies primarily examine the technical capabilities of HB while forgoing economic feasibility evaluation. Analyses based on cost-effectiveness yield a smaller operable capacity range; a study by Onodera et al. found a cost-optimized capacity factor for HB of 73% as part of a larger flexible AP system. Further, they found that a flexible production capacity was economically preferable to a battery buffer storage system (2023). </w:t>
      </w:r>
    </w:p>
    <w:p w14:paraId="3113E07E" w14:textId="77777777" w:rsidR="008270B1" w:rsidRPr="007A2C16" w:rsidRDefault="008270B1" w:rsidP="008270B1">
      <w:pPr>
        <w:rPr>
          <w:rFonts w:ascii="Arial" w:hAnsi="Arial" w:cs="Arial"/>
          <w:lang w:eastAsia="en-GB"/>
        </w:rPr>
      </w:pPr>
      <w:r w:rsidRPr="007A2C16">
        <w:rPr>
          <w:rFonts w:ascii="Arial" w:hAnsi="Arial" w:cs="Arial"/>
          <w:lang w:eastAsia="en-GB"/>
        </w:rPr>
        <w:lastRenderedPageBreak/>
        <w:tab/>
        <w:t>Allowing for flexible HB operation involves weighing the costs and benefits of reduced electricity matching requirements against the obvious reduced production, but also the increased risk of damaging process equipment under non optimal operating conditions (Ostuni &amp; Zardi, 2011). Flexibility in HB operation is a prominent cost driver as the CAPEX associated with supplemental renewable energy infrastructure is significantly larger than that of ammonia production or generation of hydrogen. Oftentimes, the minimum load of a flexible HB process is more impactful on overall process system costs than HB CAPEX itself given the impact of minimum load on sizing of supplemental power equipment (Wang et al., 2023). It was determined that a minimum HB load decrease from 60% of nominal to 10% supported by a hybrid renewable energy system (wind and PV) resulted in a 7.1% and 3.9% decrease in LCOA in two Australian locations for which simulations were conducted (Wang et al., 2023).</w:t>
      </w:r>
    </w:p>
    <w:p w14:paraId="62981AB6" w14:textId="77777777" w:rsidR="008270B1" w:rsidRPr="00A83749" w:rsidRDefault="008270B1" w:rsidP="008270B1">
      <w:pPr>
        <w:pStyle w:val="Heading4"/>
        <w:rPr>
          <w:rFonts w:ascii="Arial" w:hAnsi="Arial" w:cs="Arial"/>
        </w:rPr>
      </w:pPr>
      <w:r w:rsidRPr="00A83749">
        <w:rPr>
          <w:rFonts w:ascii="Arial" w:hAnsi="Arial" w:cs="Arial"/>
        </w:rPr>
        <w:t>Applications of HB Flexibility in Industry</w:t>
      </w:r>
    </w:p>
    <w:p w14:paraId="0045A943" w14:textId="77777777" w:rsidR="008270B1" w:rsidRPr="007A2C16" w:rsidRDefault="008270B1" w:rsidP="008270B1">
      <w:pPr>
        <w:pStyle w:val="NormalWeb"/>
        <w:spacing w:before="240" w:beforeAutospacing="0" w:after="240" w:afterAutospacing="0"/>
        <w:rPr>
          <w:rFonts w:ascii="Arial" w:hAnsi="Arial" w:cs="Arial"/>
          <w:color w:val="000000"/>
          <w:sz w:val="22"/>
          <w:szCs w:val="22"/>
        </w:rPr>
      </w:pPr>
      <w:r w:rsidRPr="007A2C16">
        <w:rPr>
          <w:rFonts w:ascii="Arial" w:hAnsi="Arial" w:cs="Arial"/>
          <w:color w:val="000000"/>
          <w:sz w:val="22"/>
          <w:szCs w:val="22"/>
        </w:rPr>
        <w:t>While flexibility in an HB loop is possible, research into its practical implementation and cost effectiveness is in its early stages. The breadth of literature suggests the extent to which the HB process can be operated flexibly depends on the lens through which analysis is conducted. Multiple technical analyses and patents purport HB operating ranges down to 10% of nominal capacity with ramp rates of +- 20%/hr (Ostuni &amp; Zardi, 2011). That said, economic analyses find optimal performance within significantly more stringent constraints (between 70 and 80% capacity) (Verleysen et al., 2023; Onodera et al., 2023).</w:t>
      </w:r>
    </w:p>
    <w:p w14:paraId="0B7B2D75" w14:textId="77777777" w:rsidR="008270B1" w:rsidRPr="007A2C16" w:rsidRDefault="008270B1" w:rsidP="008270B1">
      <w:pPr>
        <w:pStyle w:val="NormalWeb"/>
        <w:spacing w:before="240" w:beforeAutospacing="0" w:after="240" w:afterAutospacing="0"/>
        <w:ind w:firstLine="720"/>
        <w:rPr>
          <w:rFonts w:ascii="Arial" w:hAnsi="Arial" w:cs="Arial"/>
          <w:color w:val="000000"/>
          <w:sz w:val="22"/>
          <w:szCs w:val="22"/>
        </w:rPr>
      </w:pPr>
      <w:r w:rsidRPr="007A2C16">
        <w:rPr>
          <w:rFonts w:ascii="Arial" w:hAnsi="Arial" w:cs="Arial"/>
          <w:color w:val="000000"/>
          <w:sz w:val="22"/>
          <w:szCs w:val="22"/>
        </w:rPr>
        <w:t xml:space="preserve">There are groups working to better understand the state of flexible HB technology through more pragmatic implementation. A report for the British government introduces the Ammonia Synthesis Plant from Intermittent Renewable Energy (ASPIRE) project. This project proposes the use of seven synthesis reactors in parallel which can individually be powered on and off to achieve flexibility of down to 5% of maximum capacity (0.5MW to 10MW), storing excess thermal energy to keep idle reactors up to operating temperature (Davenne et al., 2022). They also find that flexible HB design is preferable to either energy or hydrogen storage units due to significantly reduced CAPEX. They claim that the technology for this flexible design is commercially available, but even their model plant is still in the planning stages. </w:t>
      </w:r>
    </w:p>
    <w:p w14:paraId="114B941E" w14:textId="0F8BAB3D" w:rsidR="008270B1" w:rsidRDefault="008270B1" w:rsidP="008270B1">
      <w:pPr>
        <w:pStyle w:val="NormalWeb"/>
        <w:spacing w:before="240" w:beforeAutospacing="0" w:after="240" w:afterAutospacing="0"/>
        <w:rPr>
          <w:rFonts w:ascii="Arial" w:hAnsi="Arial" w:cs="Arial"/>
        </w:rPr>
      </w:pPr>
      <w:r w:rsidRPr="007A2C16">
        <w:rPr>
          <w:rFonts w:ascii="Arial" w:hAnsi="Arial" w:cs="Arial"/>
          <w:color w:val="000000"/>
          <w:sz w:val="22"/>
          <w:szCs w:val="22"/>
        </w:rPr>
        <w:t>The Danish green energy company Topsoe plans to pilot a 25 MT per day ammonia plant with 10% to 100% flexibility in early 2024, with further plans to upscale to 1800 MT per day by 2025 (Rouwenhorst, 2023). Even when process economics are considered, there is little research into how incorporation of flexibility into a HB process will affect CAPEX, making the overall value of such a development difficult to estimate. Even Topsoe acknowledges cost optimization has not been performed on the pilot plant due to small scale process economics not being reflective of full scale. With the IRA expiring in 2035, there are economic incentives to utilize mature, available technologies to maximize the benefits of these policies.</w:t>
      </w:r>
    </w:p>
    <w:p w14:paraId="2905C840" w14:textId="77777777" w:rsidR="008270B1" w:rsidRPr="00D800F0" w:rsidRDefault="008270B1" w:rsidP="007256C3">
      <w:pPr>
        <w:pStyle w:val="NormalWeb"/>
        <w:spacing w:before="240" w:beforeAutospacing="0" w:after="240" w:afterAutospacing="0"/>
        <w:rPr>
          <w:rFonts w:ascii="Arial" w:hAnsi="Arial" w:cs="Arial"/>
        </w:rPr>
      </w:pPr>
    </w:p>
    <w:bookmarkEnd w:id="99"/>
    <w:p w14:paraId="32D331DD" w14:textId="77777777" w:rsidR="001339DD" w:rsidRPr="00D800F0" w:rsidRDefault="001339DD" w:rsidP="001339DD">
      <w:pPr>
        <w:rPr>
          <w:rFonts w:ascii="Arial" w:hAnsi="Arial" w:cs="Arial"/>
          <w:lang w:eastAsia="en-GB"/>
        </w:rPr>
      </w:pPr>
    </w:p>
    <w:p w14:paraId="0B61D189" w14:textId="77777777" w:rsidR="00DA7E40" w:rsidRPr="00D800F0" w:rsidRDefault="00DA7E40" w:rsidP="006864F3">
      <w:pPr>
        <w:pStyle w:val="Heading2"/>
        <w:rPr>
          <w:rFonts w:ascii="Arial" w:hAnsi="Arial" w:cs="Arial"/>
        </w:rPr>
      </w:pPr>
      <w:bookmarkStart w:id="101" w:name="_Toc148296645"/>
      <w:r w:rsidRPr="00D800F0">
        <w:rPr>
          <w:rFonts w:ascii="Arial" w:hAnsi="Arial" w:cs="Arial"/>
        </w:rPr>
        <w:t>Validation</w:t>
      </w:r>
      <w:bookmarkEnd w:id="101"/>
    </w:p>
    <w:p w14:paraId="42B02EB0" w14:textId="77777777" w:rsidR="00DA7E40" w:rsidRPr="00D800F0" w:rsidRDefault="00DA7E40" w:rsidP="006864F3">
      <w:pPr>
        <w:pStyle w:val="Heading3"/>
        <w:rPr>
          <w:rFonts w:ascii="Arial" w:hAnsi="Arial" w:cs="Arial"/>
        </w:rPr>
      </w:pPr>
      <w:bookmarkStart w:id="102" w:name="_Toc148296646"/>
      <w:r w:rsidRPr="00D800F0">
        <w:rPr>
          <w:rFonts w:ascii="Arial" w:hAnsi="Arial" w:cs="Arial"/>
        </w:rPr>
        <w:t>Convergence of Monte Carlo Results</w:t>
      </w:r>
      <w:bookmarkEnd w:id="102"/>
    </w:p>
    <w:p w14:paraId="7BFBFF6F" w14:textId="77777777" w:rsidR="00DA7E40" w:rsidRPr="00D800F0" w:rsidRDefault="00DA7E40" w:rsidP="00DA7E40">
      <w:pPr>
        <w:rPr>
          <w:rFonts w:ascii="Arial" w:hAnsi="Arial" w:cs="Arial"/>
          <w:lang w:eastAsia="en-GB"/>
        </w:rPr>
      </w:pPr>
      <w:r w:rsidRPr="00D800F0">
        <w:rPr>
          <w:rFonts w:ascii="Arial" w:hAnsi="Arial" w:cs="Arial"/>
          <w:lang w:eastAsia="en-GB"/>
        </w:rPr>
        <w:t xml:space="preserve">This study examined the variability of NPV values across total Monte Carlo simulations for SMR, CCS, BH2S, and AEC. Our primary objective was to evaluate the robustness of NPV values as </w:t>
      </w:r>
      <w:r w:rsidRPr="00D800F0">
        <w:rPr>
          <w:rFonts w:ascii="Arial" w:hAnsi="Arial" w:cs="Arial"/>
          <w:lang w:eastAsia="en-GB"/>
        </w:rPr>
        <w:lastRenderedPageBreak/>
        <w:t>they evolve with an increasing number of simulations, thereby providing insights into their stability in response to varying levels of simulation.</w:t>
      </w:r>
    </w:p>
    <w:p w14:paraId="0D833BF0" w14:textId="77777777" w:rsidR="00DA7E40" w:rsidRPr="00D800F0" w:rsidRDefault="00DA7E40" w:rsidP="00DA7E40">
      <w:pPr>
        <w:rPr>
          <w:rFonts w:ascii="Arial" w:hAnsi="Arial" w:cs="Arial"/>
          <w:lang w:eastAsia="en-GB"/>
        </w:rPr>
      </w:pPr>
      <w:r w:rsidRPr="00D800F0">
        <w:rPr>
          <w:rFonts w:ascii="Arial" w:hAnsi="Arial" w:cs="Arial"/>
          <w:lang w:eastAsia="en-GB"/>
        </w:rPr>
        <w:tab/>
        <w:t xml:space="preserve">For each technology, scenario, and year, we performed simulations comprising 500, 1000, 2000, 4000, and 8000 iterations (see annexed Excel file named </w:t>
      </w:r>
      <w:r w:rsidRPr="00D800F0">
        <w:rPr>
          <w:rFonts w:ascii="Arial" w:hAnsi="Arial" w:cs="Arial"/>
          <w:b/>
          <w:bCs/>
          <w:i/>
          <w:iCs/>
          <w:lang w:eastAsia="en-GB"/>
        </w:rPr>
        <w:t>AP_NE_Convergence_On_NPV.xlsx</w:t>
      </w:r>
      <w:r w:rsidRPr="00D800F0">
        <w:rPr>
          <w:rFonts w:ascii="Arial" w:hAnsi="Arial" w:cs="Arial"/>
          <w:lang w:eastAsia="en-GB"/>
        </w:rPr>
        <w:t>). We gathered statistical data during these simulations encompassing maximum, minimum, P95, P5, mean, and median values. We chose to run the model at 4,000 simulations for data collection for the reasons outlined herein.</w:t>
      </w:r>
    </w:p>
    <w:p w14:paraId="7E9F2E57" w14:textId="77777777" w:rsidR="00DA7E40" w:rsidRPr="00D800F0" w:rsidRDefault="00DA7E40" w:rsidP="00DA7E40">
      <w:pPr>
        <w:rPr>
          <w:rFonts w:ascii="Arial" w:hAnsi="Arial" w:cs="Arial"/>
          <w:lang w:eastAsia="en-GB"/>
        </w:rPr>
      </w:pPr>
      <w:r w:rsidRPr="00D800F0">
        <w:rPr>
          <w:rFonts w:ascii="Arial" w:hAnsi="Arial" w:cs="Arial"/>
          <w:lang w:eastAsia="en-GB"/>
        </w:rPr>
        <w:tab/>
        <w:t>At the outset of our analysis, we observed noteworthy fluctuations in NPV values during the initial 300 runs, indicating potential uncertainty in the early iterations. However, beyond the threshold of approximately 2000 runs, the NPV values gradually stabilized, with fluctuations diminishing significantly. Across most scenarios, a discernible convergence trend emerged after the 2000-run mark, suggesting that further iterations had a limited impact on the NPV values. We found 4,000 to be the right balance between ensuring convergence and maximizing computational tractability.</w:t>
      </w:r>
    </w:p>
    <w:p w14:paraId="3BC1BCBC" w14:textId="77777777" w:rsidR="00DA7E40" w:rsidRPr="00D800F0" w:rsidRDefault="00DA7E40" w:rsidP="006864F3">
      <w:pPr>
        <w:pStyle w:val="Heading3"/>
        <w:rPr>
          <w:rFonts w:ascii="Arial" w:hAnsi="Arial" w:cs="Arial"/>
        </w:rPr>
      </w:pPr>
      <w:bookmarkStart w:id="103" w:name="_Toc148296647"/>
      <w:r w:rsidRPr="00D800F0">
        <w:rPr>
          <w:rFonts w:ascii="Arial" w:hAnsi="Arial" w:cs="Arial"/>
        </w:rPr>
        <w:t>Comparison of SMR baseline to IEA</w:t>
      </w:r>
      <w:bookmarkEnd w:id="103"/>
    </w:p>
    <w:p w14:paraId="12725F54" w14:textId="77777777" w:rsidR="00DA7E40" w:rsidRPr="00D800F0" w:rsidRDefault="00DA7E40" w:rsidP="00DA7E40">
      <w:pPr>
        <w:rPr>
          <w:rFonts w:ascii="Arial" w:hAnsi="Arial" w:cs="Arial"/>
          <w:lang w:eastAsia="en-GB"/>
        </w:rPr>
      </w:pPr>
      <w:r w:rsidRPr="00D800F0">
        <w:rPr>
          <w:rFonts w:ascii="Arial" w:hAnsi="Arial" w:cs="Arial"/>
          <w:lang w:eastAsia="en-GB"/>
        </w:rPr>
        <w:t>The IEA shows a detailed chart of a levelized cost analysis they performed on various technologies. To validate our techno-economic methodology, we compare our AP SMR levelized cost to the AP SMR LCOA reported by the IEA (Figure 1.6, page 40) to the deterministic levelized cost of this study (IEA, 2021).</w:t>
      </w:r>
    </w:p>
    <w:p w14:paraId="48BFC3A0" w14:textId="16255061" w:rsidR="00DA7E40" w:rsidRPr="00D800F0" w:rsidRDefault="00DA7E40" w:rsidP="00DA7E40">
      <w:pPr>
        <w:rPr>
          <w:rFonts w:ascii="Arial" w:hAnsi="Arial" w:cs="Arial"/>
          <w:lang w:eastAsia="en-GB"/>
        </w:rPr>
      </w:pPr>
      <w:r w:rsidRPr="00D800F0">
        <w:rPr>
          <w:rFonts w:ascii="Arial" w:hAnsi="Arial" w:cs="Arial"/>
          <w:lang w:eastAsia="en-GB"/>
        </w:rPr>
        <w:tab/>
        <w:t xml:space="preserve">We use the sensitivity inputs for natural gas and electricity the IEA uses to obtain the range of LCOAs (see </w:t>
      </w:r>
      <w:r w:rsidRPr="00D800F0">
        <w:rPr>
          <w:rFonts w:ascii="Arial" w:hAnsi="Arial" w:cs="Arial"/>
          <w:lang w:eastAsia="en-GB"/>
        </w:rPr>
        <w:fldChar w:fldCharType="begin"/>
      </w:r>
      <w:r w:rsidRPr="00D800F0">
        <w:rPr>
          <w:rFonts w:ascii="Arial" w:hAnsi="Arial" w:cs="Arial"/>
          <w:lang w:eastAsia="en-GB"/>
        </w:rPr>
        <w:instrText xml:space="preserve"> REF _Ref147132170 \h </w:instrText>
      </w:r>
      <w:r w:rsidR="00D800F0">
        <w:rPr>
          <w:rFonts w:ascii="Arial" w:hAnsi="Arial" w:cs="Arial"/>
          <w:lang w:eastAsia="en-GB"/>
        </w:rPr>
        <w:instrText xml:space="preserve"> \* MERGEFORMAT </w:instrText>
      </w:r>
      <w:r w:rsidRPr="00D800F0">
        <w:rPr>
          <w:rFonts w:ascii="Arial" w:hAnsi="Arial" w:cs="Arial"/>
          <w:lang w:eastAsia="en-GB"/>
        </w:rPr>
      </w:r>
      <w:r w:rsidRPr="00D800F0">
        <w:rPr>
          <w:rFonts w:ascii="Arial" w:hAnsi="Arial" w:cs="Arial"/>
          <w:lang w:eastAsia="en-GB"/>
        </w:rPr>
        <w:fldChar w:fldCharType="separate"/>
      </w:r>
      <w:r w:rsidRPr="00D800F0">
        <w:rPr>
          <w:rFonts w:ascii="Arial" w:hAnsi="Arial" w:cs="Arial"/>
        </w:rPr>
        <w:t xml:space="preserve">Table </w:t>
      </w:r>
      <w:r w:rsidRPr="00D800F0">
        <w:rPr>
          <w:rFonts w:ascii="Arial" w:hAnsi="Arial" w:cs="Arial"/>
          <w:noProof/>
        </w:rPr>
        <w:t>G</w:t>
      </w:r>
      <w:r w:rsidRPr="00D800F0">
        <w:rPr>
          <w:rFonts w:ascii="Arial" w:hAnsi="Arial" w:cs="Arial"/>
        </w:rPr>
        <w:noBreakHyphen/>
      </w:r>
      <w:r w:rsidRPr="00D800F0">
        <w:rPr>
          <w:rFonts w:ascii="Arial" w:hAnsi="Arial" w:cs="Arial"/>
          <w:noProof/>
        </w:rPr>
        <w:t>1</w:t>
      </w:r>
      <w:r w:rsidRPr="00D800F0">
        <w:rPr>
          <w:rFonts w:ascii="Arial" w:hAnsi="Arial" w:cs="Arial"/>
          <w:lang w:eastAsia="en-GB"/>
        </w:rPr>
        <w:fldChar w:fldCharType="end"/>
      </w:r>
      <w:r w:rsidRPr="00D800F0">
        <w:rPr>
          <w:rFonts w:ascii="Arial" w:hAnsi="Arial" w:cs="Arial"/>
          <w:lang w:eastAsia="en-GB"/>
        </w:rPr>
        <w:t>). The IEA assumes a higher capacity factor (95%) and smaller CAPEX heuristics – hence, having a reduced CAPEX compared to this study</w:t>
      </w:r>
      <w:r w:rsidRPr="00D800F0">
        <w:rPr>
          <w:rStyle w:val="FootnoteReference"/>
          <w:rFonts w:ascii="Arial" w:hAnsi="Arial" w:cs="Arial"/>
          <w:lang w:eastAsia="en-GB"/>
        </w:rPr>
        <w:footnoteReference w:id="10"/>
      </w:r>
      <w:r w:rsidRPr="00D800F0">
        <w:rPr>
          <w:rFonts w:ascii="Arial" w:hAnsi="Arial" w:cs="Arial"/>
          <w:lang w:eastAsia="en-GB"/>
        </w:rPr>
        <w:t>. The figure below illustrates the comparison (</w:t>
      </w:r>
      <w:r w:rsidRPr="00D800F0">
        <w:rPr>
          <w:rFonts w:ascii="Arial" w:hAnsi="Arial" w:cs="Arial"/>
          <w:lang w:eastAsia="en-GB"/>
        </w:rPr>
        <w:fldChar w:fldCharType="begin"/>
      </w:r>
      <w:r w:rsidRPr="00D800F0">
        <w:rPr>
          <w:rFonts w:ascii="Arial" w:hAnsi="Arial" w:cs="Arial"/>
          <w:lang w:eastAsia="en-GB"/>
        </w:rPr>
        <w:instrText xml:space="preserve"> REF _Ref147130685 \h </w:instrText>
      </w:r>
      <w:r w:rsidR="00D800F0">
        <w:rPr>
          <w:rFonts w:ascii="Arial" w:hAnsi="Arial" w:cs="Arial"/>
          <w:lang w:eastAsia="en-GB"/>
        </w:rPr>
        <w:instrText xml:space="preserve"> \* MERGEFORMAT </w:instrText>
      </w:r>
      <w:r w:rsidRPr="00D800F0">
        <w:rPr>
          <w:rFonts w:ascii="Arial" w:hAnsi="Arial" w:cs="Arial"/>
          <w:lang w:eastAsia="en-GB"/>
        </w:rPr>
      </w:r>
      <w:r w:rsidRPr="00D800F0">
        <w:rPr>
          <w:rFonts w:ascii="Arial" w:hAnsi="Arial" w:cs="Arial"/>
          <w:lang w:eastAsia="en-GB"/>
        </w:rPr>
        <w:fldChar w:fldCharType="separate"/>
      </w:r>
      <w:r w:rsidRPr="00D800F0">
        <w:rPr>
          <w:rFonts w:ascii="Arial" w:hAnsi="Arial" w:cs="Arial"/>
        </w:rPr>
        <w:t xml:space="preserve">Figure </w:t>
      </w:r>
      <w:r w:rsidRPr="00D800F0">
        <w:rPr>
          <w:rFonts w:ascii="Arial" w:hAnsi="Arial" w:cs="Arial"/>
          <w:noProof/>
        </w:rPr>
        <w:t>G</w:t>
      </w:r>
      <w:r w:rsidRPr="00D800F0">
        <w:rPr>
          <w:rFonts w:ascii="Arial" w:hAnsi="Arial" w:cs="Arial"/>
        </w:rPr>
        <w:noBreakHyphen/>
      </w:r>
      <w:r w:rsidRPr="00D800F0">
        <w:rPr>
          <w:rFonts w:ascii="Arial" w:hAnsi="Arial" w:cs="Arial"/>
          <w:noProof/>
        </w:rPr>
        <w:t>1</w:t>
      </w:r>
      <w:r w:rsidRPr="00D800F0">
        <w:rPr>
          <w:rFonts w:ascii="Arial" w:hAnsi="Arial" w:cs="Arial"/>
          <w:lang w:eastAsia="en-GB"/>
        </w:rPr>
        <w:fldChar w:fldCharType="end"/>
      </w:r>
      <w:r w:rsidRPr="00D800F0">
        <w:rPr>
          <w:rFonts w:ascii="Arial" w:hAnsi="Arial" w:cs="Arial"/>
          <w:lang w:eastAsia="en-GB"/>
        </w:rPr>
        <w:t xml:space="preserve">). They assume a smaller discount rate of 8% (we use 9.3%) and a shorter operating lifetime (25 years versus 40 years). Therefore, their TEA is less sensitive to changes in the OPEX because the operating lifetime is much smaller (although the difference in discount rates may reduce this difference). </w:t>
      </w:r>
    </w:p>
    <w:p w14:paraId="7FC0AE1C" w14:textId="77777777" w:rsidR="00DA7E40" w:rsidRPr="00D800F0" w:rsidRDefault="00DA7E40" w:rsidP="00DA7E40">
      <w:pPr>
        <w:pStyle w:val="Caption"/>
        <w:rPr>
          <w:rFonts w:ascii="Arial" w:hAnsi="Arial" w:cs="Arial"/>
        </w:rPr>
      </w:pPr>
      <w:bookmarkStart w:id="104" w:name="_Ref147132170"/>
      <w:r w:rsidRPr="00D800F0">
        <w:rPr>
          <w:rFonts w:ascii="Arial" w:hAnsi="Arial" w:cs="Arial"/>
        </w:rPr>
        <w:t xml:space="preserve">Table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G</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Table \* ARABIC \s 2 </w:instrText>
      </w:r>
      <w:r w:rsidRPr="00D800F0">
        <w:rPr>
          <w:rFonts w:ascii="Arial" w:hAnsi="Arial" w:cs="Arial"/>
        </w:rPr>
        <w:fldChar w:fldCharType="separate"/>
      </w:r>
      <w:r w:rsidRPr="00D800F0">
        <w:rPr>
          <w:rFonts w:ascii="Arial" w:hAnsi="Arial" w:cs="Arial"/>
          <w:noProof/>
        </w:rPr>
        <w:t>1</w:t>
      </w:r>
      <w:r w:rsidRPr="00D800F0">
        <w:rPr>
          <w:rFonts w:ascii="Arial" w:hAnsi="Arial" w:cs="Arial"/>
          <w:noProof/>
        </w:rPr>
        <w:fldChar w:fldCharType="end"/>
      </w:r>
      <w:bookmarkEnd w:id="104"/>
      <w:r w:rsidRPr="00D800F0">
        <w:rPr>
          <w:rFonts w:ascii="Arial" w:hAnsi="Arial" w:cs="Arial"/>
        </w:rPr>
        <w:t xml:space="preserve">: Comparison of inputs of IEA versus this study.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1564"/>
        <w:gridCol w:w="1198"/>
      </w:tblGrid>
      <w:tr w:rsidR="00DA7E40" w:rsidRPr="00D800F0" w14:paraId="0A2C98DA" w14:textId="77777777" w:rsidTr="0000614D">
        <w:trPr>
          <w:jc w:val="center"/>
        </w:trPr>
        <w:tc>
          <w:tcPr>
            <w:tcW w:w="3116" w:type="dxa"/>
            <w:tcBorders>
              <w:bottom w:val="single" w:sz="4" w:space="0" w:color="auto"/>
            </w:tcBorders>
            <w:vAlign w:val="center"/>
          </w:tcPr>
          <w:p w14:paraId="1DE451F9" w14:textId="77777777" w:rsidR="00DA7E40" w:rsidRPr="00D800F0" w:rsidRDefault="00DA7E40" w:rsidP="0000614D">
            <w:pPr>
              <w:rPr>
                <w:rFonts w:ascii="Arial" w:hAnsi="Arial" w:cs="Arial"/>
                <w:b/>
                <w:bCs/>
              </w:rPr>
            </w:pPr>
            <w:r w:rsidRPr="00D800F0">
              <w:rPr>
                <w:rFonts w:ascii="Arial" w:hAnsi="Arial" w:cs="Arial"/>
                <w:b/>
                <w:bCs/>
              </w:rPr>
              <w:t>Inputs</w:t>
            </w:r>
          </w:p>
        </w:tc>
        <w:tc>
          <w:tcPr>
            <w:tcW w:w="1564" w:type="dxa"/>
            <w:tcBorders>
              <w:bottom w:val="single" w:sz="4" w:space="0" w:color="auto"/>
            </w:tcBorders>
            <w:vAlign w:val="center"/>
          </w:tcPr>
          <w:p w14:paraId="5B298337" w14:textId="77777777" w:rsidR="00DA7E40" w:rsidRPr="00D800F0" w:rsidRDefault="00DA7E40" w:rsidP="0000614D">
            <w:pPr>
              <w:jc w:val="right"/>
              <w:rPr>
                <w:rFonts w:ascii="Arial" w:hAnsi="Arial" w:cs="Arial"/>
                <w:b/>
                <w:bCs/>
              </w:rPr>
            </w:pPr>
            <w:r w:rsidRPr="00D800F0">
              <w:rPr>
                <w:rFonts w:ascii="Arial" w:hAnsi="Arial" w:cs="Arial"/>
                <w:b/>
                <w:bCs/>
              </w:rPr>
              <w:t>IEA, 2021</w:t>
            </w:r>
          </w:p>
        </w:tc>
        <w:tc>
          <w:tcPr>
            <w:tcW w:w="1198" w:type="dxa"/>
            <w:tcBorders>
              <w:bottom w:val="single" w:sz="4" w:space="0" w:color="auto"/>
            </w:tcBorders>
            <w:vAlign w:val="center"/>
          </w:tcPr>
          <w:p w14:paraId="629BB2F0" w14:textId="77777777" w:rsidR="00DA7E40" w:rsidRPr="00D800F0" w:rsidRDefault="00DA7E40" w:rsidP="0000614D">
            <w:pPr>
              <w:jc w:val="right"/>
              <w:rPr>
                <w:rFonts w:ascii="Arial" w:hAnsi="Arial" w:cs="Arial"/>
                <w:b/>
                <w:bCs/>
              </w:rPr>
            </w:pPr>
            <w:r w:rsidRPr="00D800F0">
              <w:rPr>
                <w:rFonts w:ascii="Arial" w:hAnsi="Arial" w:cs="Arial"/>
                <w:b/>
                <w:bCs/>
              </w:rPr>
              <w:t>This study</w:t>
            </w:r>
          </w:p>
        </w:tc>
      </w:tr>
      <w:tr w:rsidR="00DA7E40" w:rsidRPr="00D800F0" w14:paraId="2E964525" w14:textId="77777777" w:rsidTr="0000614D">
        <w:trPr>
          <w:jc w:val="center"/>
        </w:trPr>
        <w:tc>
          <w:tcPr>
            <w:tcW w:w="3116" w:type="dxa"/>
            <w:tcBorders>
              <w:top w:val="single" w:sz="4" w:space="0" w:color="auto"/>
              <w:bottom w:val="nil"/>
            </w:tcBorders>
          </w:tcPr>
          <w:p w14:paraId="6BF099BE" w14:textId="77777777" w:rsidR="00DA7E40" w:rsidRPr="00D800F0" w:rsidRDefault="00DA7E40" w:rsidP="0000614D">
            <w:pPr>
              <w:rPr>
                <w:rFonts w:ascii="Arial" w:hAnsi="Arial" w:cs="Arial"/>
              </w:rPr>
            </w:pPr>
            <w:r w:rsidRPr="00D800F0">
              <w:rPr>
                <w:rFonts w:ascii="Arial" w:hAnsi="Arial" w:cs="Arial"/>
                <w:i/>
                <w:iCs/>
              </w:rPr>
              <w:t xml:space="preserve">Electricity </w:t>
            </w:r>
            <w:r w:rsidRPr="00D800F0">
              <w:rPr>
                <w:rFonts w:ascii="Arial" w:hAnsi="Arial" w:cs="Arial"/>
              </w:rPr>
              <w:t>(cents/kWh)</w:t>
            </w:r>
          </w:p>
        </w:tc>
        <w:tc>
          <w:tcPr>
            <w:tcW w:w="1564" w:type="dxa"/>
            <w:tcBorders>
              <w:top w:val="single" w:sz="4" w:space="0" w:color="auto"/>
              <w:bottom w:val="nil"/>
            </w:tcBorders>
          </w:tcPr>
          <w:p w14:paraId="0846F0DC" w14:textId="77777777" w:rsidR="00DA7E40" w:rsidRPr="00D800F0" w:rsidRDefault="00DA7E40" w:rsidP="0000614D">
            <w:pPr>
              <w:jc w:val="center"/>
              <w:rPr>
                <w:rFonts w:ascii="Arial" w:hAnsi="Arial" w:cs="Arial"/>
              </w:rPr>
            </w:pPr>
            <w:r w:rsidRPr="00D800F0">
              <w:rPr>
                <w:rFonts w:ascii="Arial" w:hAnsi="Arial" w:cs="Arial"/>
              </w:rPr>
              <w:t>1.0 – 10</w:t>
            </w:r>
          </w:p>
        </w:tc>
        <w:tc>
          <w:tcPr>
            <w:tcW w:w="1198" w:type="dxa"/>
            <w:tcBorders>
              <w:top w:val="single" w:sz="4" w:space="0" w:color="auto"/>
              <w:bottom w:val="nil"/>
            </w:tcBorders>
          </w:tcPr>
          <w:p w14:paraId="2492CB84" w14:textId="77777777" w:rsidR="00DA7E40" w:rsidRPr="00D800F0" w:rsidRDefault="00DA7E40" w:rsidP="0000614D">
            <w:pPr>
              <w:jc w:val="center"/>
              <w:rPr>
                <w:rFonts w:ascii="Arial" w:hAnsi="Arial" w:cs="Arial"/>
              </w:rPr>
            </w:pPr>
            <w:r w:rsidRPr="00D800F0">
              <w:rPr>
                <w:rFonts w:ascii="Arial" w:hAnsi="Arial" w:cs="Arial"/>
              </w:rPr>
              <w:t>6.3</w:t>
            </w:r>
          </w:p>
        </w:tc>
      </w:tr>
      <w:tr w:rsidR="00DA7E40" w:rsidRPr="00D800F0" w14:paraId="23149245" w14:textId="77777777" w:rsidTr="0000614D">
        <w:trPr>
          <w:jc w:val="center"/>
        </w:trPr>
        <w:tc>
          <w:tcPr>
            <w:tcW w:w="3116" w:type="dxa"/>
            <w:tcBorders>
              <w:top w:val="nil"/>
              <w:bottom w:val="nil"/>
            </w:tcBorders>
          </w:tcPr>
          <w:p w14:paraId="55E76D23" w14:textId="77777777" w:rsidR="00DA7E40" w:rsidRPr="00D800F0" w:rsidRDefault="00DA7E40" w:rsidP="0000614D">
            <w:pPr>
              <w:rPr>
                <w:rFonts w:ascii="Arial" w:hAnsi="Arial" w:cs="Arial"/>
              </w:rPr>
            </w:pPr>
            <w:r w:rsidRPr="00D800F0">
              <w:rPr>
                <w:rFonts w:ascii="Arial" w:hAnsi="Arial" w:cs="Arial"/>
                <w:i/>
                <w:iCs/>
              </w:rPr>
              <w:t xml:space="preserve">Natural gas </w:t>
            </w:r>
            <w:r w:rsidRPr="00D800F0">
              <w:rPr>
                <w:rFonts w:ascii="Arial" w:hAnsi="Arial" w:cs="Arial"/>
              </w:rPr>
              <w:t>($/MMBtu)</w:t>
            </w:r>
          </w:p>
        </w:tc>
        <w:tc>
          <w:tcPr>
            <w:tcW w:w="1564" w:type="dxa"/>
            <w:tcBorders>
              <w:top w:val="nil"/>
              <w:bottom w:val="nil"/>
            </w:tcBorders>
          </w:tcPr>
          <w:p w14:paraId="2A52C99C" w14:textId="77777777" w:rsidR="00DA7E40" w:rsidRPr="00D800F0" w:rsidRDefault="00DA7E40" w:rsidP="0000614D">
            <w:pPr>
              <w:jc w:val="center"/>
              <w:rPr>
                <w:rFonts w:ascii="Arial" w:hAnsi="Arial" w:cs="Arial"/>
              </w:rPr>
            </w:pPr>
            <w:r w:rsidRPr="00D800F0">
              <w:rPr>
                <w:rFonts w:ascii="Arial" w:hAnsi="Arial" w:cs="Arial"/>
              </w:rPr>
              <w:t>2.8 – 7.765</w:t>
            </w:r>
          </w:p>
        </w:tc>
        <w:tc>
          <w:tcPr>
            <w:tcW w:w="1198" w:type="dxa"/>
            <w:tcBorders>
              <w:top w:val="nil"/>
              <w:bottom w:val="nil"/>
            </w:tcBorders>
          </w:tcPr>
          <w:p w14:paraId="450D1CBF" w14:textId="77777777" w:rsidR="00DA7E40" w:rsidRPr="00D800F0" w:rsidRDefault="00DA7E40" w:rsidP="0000614D">
            <w:pPr>
              <w:jc w:val="center"/>
              <w:rPr>
                <w:rFonts w:ascii="Arial" w:hAnsi="Arial" w:cs="Arial"/>
              </w:rPr>
            </w:pPr>
            <w:r w:rsidRPr="00D800F0">
              <w:rPr>
                <w:rFonts w:ascii="Arial" w:hAnsi="Arial" w:cs="Arial"/>
              </w:rPr>
              <w:t>2</w:t>
            </w:r>
          </w:p>
        </w:tc>
      </w:tr>
      <w:tr w:rsidR="00DA7E40" w:rsidRPr="00D800F0" w14:paraId="39F4B0B2" w14:textId="77777777" w:rsidTr="0000614D">
        <w:trPr>
          <w:jc w:val="center"/>
        </w:trPr>
        <w:tc>
          <w:tcPr>
            <w:tcW w:w="3116" w:type="dxa"/>
            <w:tcBorders>
              <w:top w:val="nil"/>
              <w:bottom w:val="nil"/>
            </w:tcBorders>
          </w:tcPr>
          <w:p w14:paraId="673C3476" w14:textId="77777777" w:rsidR="00DA7E40" w:rsidRPr="00D800F0" w:rsidRDefault="00DA7E40" w:rsidP="0000614D">
            <w:pPr>
              <w:rPr>
                <w:rFonts w:ascii="Arial" w:hAnsi="Arial" w:cs="Arial"/>
              </w:rPr>
            </w:pPr>
            <w:r w:rsidRPr="00D800F0">
              <w:rPr>
                <w:rFonts w:ascii="Arial" w:hAnsi="Arial" w:cs="Arial"/>
                <w:i/>
                <w:iCs/>
              </w:rPr>
              <w:t xml:space="preserve">Availability </w:t>
            </w:r>
            <w:r w:rsidRPr="00D800F0">
              <w:rPr>
                <w:rFonts w:ascii="Arial" w:hAnsi="Arial" w:cs="Arial"/>
              </w:rPr>
              <w:t>(%time)</w:t>
            </w:r>
          </w:p>
        </w:tc>
        <w:tc>
          <w:tcPr>
            <w:tcW w:w="1564" w:type="dxa"/>
            <w:tcBorders>
              <w:top w:val="nil"/>
              <w:bottom w:val="nil"/>
            </w:tcBorders>
          </w:tcPr>
          <w:p w14:paraId="0BB57314" w14:textId="77777777" w:rsidR="00DA7E40" w:rsidRPr="00D800F0" w:rsidRDefault="00DA7E40" w:rsidP="0000614D">
            <w:pPr>
              <w:jc w:val="center"/>
              <w:rPr>
                <w:rFonts w:ascii="Arial" w:hAnsi="Arial" w:cs="Arial"/>
              </w:rPr>
            </w:pPr>
            <w:r w:rsidRPr="00D800F0">
              <w:rPr>
                <w:rFonts w:ascii="Arial" w:hAnsi="Arial" w:cs="Arial"/>
              </w:rPr>
              <w:t>95</w:t>
            </w:r>
          </w:p>
        </w:tc>
        <w:tc>
          <w:tcPr>
            <w:tcW w:w="1198" w:type="dxa"/>
            <w:tcBorders>
              <w:top w:val="nil"/>
              <w:bottom w:val="nil"/>
            </w:tcBorders>
          </w:tcPr>
          <w:p w14:paraId="4B0C826F" w14:textId="77777777" w:rsidR="00DA7E40" w:rsidRPr="00D800F0" w:rsidRDefault="00DA7E40" w:rsidP="0000614D">
            <w:pPr>
              <w:jc w:val="center"/>
              <w:rPr>
                <w:rFonts w:ascii="Arial" w:hAnsi="Arial" w:cs="Arial"/>
              </w:rPr>
            </w:pPr>
            <w:r w:rsidRPr="00D800F0">
              <w:rPr>
                <w:rFonts w:ascii="Arial" w:hAnsi="Arial" w:cs="Arial"/>
              </w:rPr>
              <w:t>90</w:t>
            </w:r>
          </w:p>
        </w:tc>
      </w:tr>
      <w:tr w:rsidR="00DA7E40" w:rsidRPr="00D800F0" w14:paraId="4CCA830D" w14:textId="77777777" w:rsidTr="0000614D">
        <w:trPr>
          <w:jc w:val="center"/>
        </w:trPr>
        <w:tc>
          <w:tcPr>
            <w:tcW w:w="3116" w:type="dxa"/>
            <w:tcBorders>
              <w:top w:val="nil"/>
              <w:bottom w:val="nil"/>
            </w:tcBorders>
          </w:tcPr>
          <w:p w14:paraId="7B2B645E" w14:textId="77777777" w:rsidR="00DA7E40" w:rsidRPr="00D800F0" w:rsidRDefault="00DA7E40" w:rsidP="0000614D">
            <w:pPr>
              <w:rPr>
                <w:rFonts w:ascii="Arial" w:hAnsi="Arial" w:cs="Arial"/>
              </w:rPr>
            </w:pPr>
            <w:r w:rsidRPr="00D800F0">
              <w:rPr>
                <w:rFonts w:ascii="Arial" w:hAnsi="Arial" w:cs="Arial"/>
                <w:i/>
                <w:iCs/>
              </w:rPr>
              <w:t xml:space="preserve">Discount factor </w:t>
            </w:r>
            <w:r w:rsidRPr="00D800F0">
              <w:rPr>
                <w:rFonts w:ascii="Arial" w:hAnsi="Arial" w:cs="Arial"/>
              </w:rPr>
              <w:t>(%$)</w:t>
            </w:r>
          </w:p>
        </w:tc>
        <w:tc>
          <w:tcPr>
            <w:tcW w:w="1564" w:type="dxa"/>
            <w:tcBorders>
              <w:top w:val="nil"/>
              <w:bottom w:val="nil"/>
            </w:tcBorders>
          </w:tcPr>
          <w:p w14:paraId="4AB663D5" w14:textId="77777777" w:rsidR="00DA7E40" w:rsidRPr="00D800F0" w:rsidRDefault="00DA7E40" w:rsidP="0000614D">
            <w:pPr>
              <w:jc w:val="center"/>
              <w:rPr>
                <w:rFonts w:ascii="Arial" w:hAnsi="Arial" w:cs="Arial"/>
              </w:rPr>
            </w:pPr>
            <w:r w:rsidRPr="00D800F0">
              <w:rPr>
                <w:rFonts w:ascii="Arial" w:hAnsi="Arial" w:cs="Arial"/>
              </w:rPr>
              <w:t>8</w:t>
            </w:r>
          </w:p>
        </w:tc>
        <w:tc>
          <w:tcPr>
            <w:tcW w:w="1198" w:type="dxa"/>
            <w:tcBorders>
              <w:top w:val="nil"/>
              <w:bottom w:val="nil"/>
            </w:tcBorders>
          </w:tcPr>
          <w:p w14:paraId="5220BB9E" w14:textId="77777777" w:rsidR="00DA7E40" w:rsidRPr="00D800F0" w:rsidRDefault="00DA7E40" w:rsidP="0000614D">
            <w:pPr>
              <w:jc w:val="center"/>
              <w:rPr>
                <w:rFonts w:ascii="Arial" w:hAnsi="Arial" w:cs="Arial"/>
              </w:rPr>
            </w:pPr>
            <w:r w:rsidRPr="00D800F0">
              <w:rPr>
                <w:rFonts w:ascii="Arial" w:hAnsi="Arial" w:cs="Arial"/>
              </w:rPr>
              <w:t>9.3</w:t>
            </w:r>
          </w:p>
        </w:tc>
      </w:tr>
      <w:tr w:rsidR="00DA7E40" w:rsidRPr="00D800F0" w14:paraId="52C13D99" w14:textId="77777777" w:rsidTr="0000614D">
        <w:trPr>
          <w:jc w:val="center"/>
        </w:trPr>
        <w:tc>
          <w:tcPr>
            <w:tcW w:w="3116" w:type="dxa"/>
            <w:tcBorders>
              <w:top w:val="nil"/>
              <w:bottom w:val="nil"/>
            </w:tcBorders>
          </w:tcPr>
          <w:p w14:paraId="10125DB8" w14:textId="77777777" w:rsidR="00DA7E40" w:rsidRPr="00D800F0" w:rsidRDefault="00DA7E40" w:rsidP="0000614D">
            <w:pPr>
              <w:rPr>
                <w:rFonts w:ascii="Arial" w:hAnsi="Arial" w:cs="Arial"/>
              </w:rPr>
            </w:pPr>
            <w:r w:rsidRPr="00D800F0">
              <w:rPr>
                <w:rFonts w:ascii="Arial" w:hAnsi="Arial" w:cs="Arial"/>
                <w:i/>
                <w:iCs/>
              </w:rPr>
              <w:t xml:space="preserve">CAPEX heuristics </w:t>
            </w:r>
            <w:r w:rsidRPr="00D800F0">
              <w:rPr>
                <w:rFonts w:ascii="Arial" w:hAnsi="Arial" w:cs="Arial"/>
              </w:rPr>
              <w:t>(%PEC)</w:t>
            </w:r>
            <w:r w:rsidRPr="00D800F0">
              <w:rPr>
                <w:rFonts w:ascii="Arial" w:hAnsi="Arial" w:cs="Arial"/>
                <w:vertAlign w:val="superscript"/>
              </w:rPr>
              <w:t>A</w:t>
            </w:r>
          </w:p>
        </w:tc>
        <w:tc>
          <w:tcPr>
            <w:tcW w:w="1564" w:type="dxa"/>
            <w:tcBorders>
              <w:top w:val="nil"/>
              <w:bottom w:val="nil"/>
            </w:tcBorders>
          </w:tcPr>
          <w:p w14:paraId="2BA22713" w14:textId="77777777" w:rsidR="00DA7E40" w:rsidRPr="00D800F0" w:rsidRDefault="00DA7E40" w:rsidP="0000614D">
            <w:pPr>
              <w:jc w:val="center"/>
              <w:rPr>
                <w:rFonts w:ascii="Arial" w:hAnsi="Arial" w:cs="Arial"/>
              </w:rPr>
            </w:pPr>
            <w:r w:rsidRPr="00D800F0">
              <w:rPr>
                <w:rFonts w:ascii="Arial" w:hAnsi="Arial" w:cs="Arial"/>
              </w:rPr>
              <w:t>+70</w:t>
            </w:r>
          </w:p>
        </w:tc>
        <w:tc>
          <w:tcPr>
            <w:tcW w:w="1198" w:type="dxa"/>
            <w:tcBorders>
              <w:top w:val="nil"/>
              <w:bottom w:val="nil"/>
            </w:tcBorders>
          </w:tcPr>
          <w:p w14:paraId="06C1C578" w14:textId="77777777" w:rsidR="00DA7E40" w:rsidRPr="00D800F0" w:rsidRDefault="00DA7E40" w:rsidP="0000614D">
            <w:pPr>
              <w:jc w:val="center"/>
              <w:rPr>
                <w:rFonts w:ascii="Arial" w:hAnsi="Arial" w:cs="Arial"/>
              </w:rPr>
            </w:pPr>
            <w:r w:rsidRPr="00D800F0">
              <w:rPr>
                <w:rFonts w:ascii="Arial" w:hAnsi="Arial" w:cs="Arial"/>
              </w:rPr>
              <w:t>&gt;+100</w:t>
            </w:r>
          </w:p>
        </w:tc>
      </w:tr>
      <w:tr w:rsidR="00DA7E40" w:rsidRPr="00D800F0" w14:paraId="5165184A" w14:textId="77777777" w:rsidTr="0000614D">
        <w:trPr>
          <w:trHeight w:val="288"/>
          <w:jc w:val="center"/>
        </w:trPr>
        <w:tc>
          <w:tcPr>
            <w:tcW w:w="3116" w:type="dxa"/>
            <w:tcBorders>
              <w:top w:val="nil"/>
              <w:bottom w:val="single" w:sz="4" w:space="0" w:color="auto"/>
            </w:tcBorders>
          </w:tcPr>
          <w:p w14:paraId="5A64E87A" w14:textId="77777777" w:rsidR="00DA7E40" w:rsidRPr="00D800F0" w:rsidRDefault="00DA7E40" w:rsidP="0000614D">
            <w:pPr>
              <w:rPr>
                <w:rFonts w:ascii="Arial" w:hAnsi="Arial" w:cs="Arial"/>
              </w:rPr>
            </w:pPr>
            <w:r w:rsidRPr="00D800F0">
              <w:rPr>
                <w:rFonts w:ascii="Arial" w:hAnsi="Arial" w:cs="Arial"/>
                <w:i/>
                <w:iCs/>
              </w:rPr>
              <w:t xml:space="preserve">Lifetime </w:t>
            </w:r>
            <w:r w:rsidRPr="00D800F0">
              <w:rPr>
                <w:rFonts w:ascii="Arial" w:hAnsi="Arial" w:cs="Arial"/>
              </w:rPr>
              <w:t>(years)</w:t>
            </w:r>
          </w:p>
        </w:tc>
        <w:tc>
          <w:tcPr>
            <w:tcW w:w="1564" w:type="dxa"/>
            <w:tcBorders>
              <w:top w:val="nil"/>
              <w:bottom w:val="single" w:sz="4" w:space="0" w:color="auto"/>
            </w:tcBorders>
          </w:tcPr>
          <w:p w14:paraId="6C377E9D" w14:textId="77777777" w:rsidR="00DA7E40" w:rsidRPr="00D800F0" w:rsidRDefault="00DA7E40" w:rsidP="0000614D">
            <w:pPr>
              <w:jc w:val="center"/>
              <w:rPr>
                <w:rFonts w:ascii="Arial" w:hAnsi="Arial" w:cs="Arial"/>
              </w:rPr>
            </w:pPr>
            <w:r w:rsidRPr="00D800F0">
              <w:rPr>
                <w:rFonts w:ascii="Arial" w:hAnsi="Arial" w:cs="Arial"/>
              </w:rPr>
              <w:t>25</w:t>
            </w:r>
          </w:p>
        </w:tc>
        <w:tc>
          <w:tcPr>
            <w:tcW w:w="1198" w:type="dxa"/>
            <w:tcBorders>
              <w:top w:val="nil"/>
              <w:bottom w:val="single" w:sz="4" w:space="0" w:color="auto"/>
            </w:tcBorders>
          </w:tcPr>
          <w:p w14:paraId="28013543" w14:textId="77777777" w:rsidR="00DA7E40" w:rsidRPr="00D800F0" w:rsidRDefault="00DA7E40" w:rsidP="0000614D">
            <w:pPr>
              <w:jc w:val="center"/>
              <w:rPr>
                <w:rFonts w:ascii="Arial" w:hAnsi="Arial" w:cs="Arial"/>
              </w:rPr>
            </w:pPr>
            <w:r w:rsidRPr="00D800F0">
              <w:rPr>
                <w:rFonts w:ascii="Arial" w:hAnsi="Arial" w:cs="Arial"/>
              </w:rPr>
              <w:t>40</w:t>
            </w:r>
          </w:p>
        </w:tc>
      </w:tr>
      <w:tr w:rsidR="00DA7E40" w:rsidRPr="00D800F0" w14:paraId="76B48ECB" w14:textId="77777777" w:rsidTr="0000614D">
        <w:trPr>
          <w:trHeight w:val="368"/>
          <w:jc w:val="center"/>
        </w:trPr>
        <w:tc>
          <w:tcPr>
            <w:tcW w:w="5878" w:type="dxa"/>
            <w:gridSpan w:val="3"/>
            <w:tcBorders>
              <w:top w:val="single" w:sz="4" w:space="0" w:color="auto"/>
              <w:bottom w:val="single" w:sz="4" w:space="0" w:color="auto"/>
            </w:tcBorders>
            <w:vAlign w:val="center"/>
          </w:tcPr>
          <w:p w14:paraId="2E61BDA1" w14:textId="77777777" w:rsidR="00DA7E40" w:rsidRPr="00D800F0" w:rsidRDefault="00DA7E40" w:rsidP="0000614D">
            <w:pPr>
              <w:rPr>
                <w:rFonts w:ascii="Arial" w:hAnsi="Arial" w:cs="Arial"/>
              </w:rPr>
            </w:pPr>
            <w:r w:rsidRPr="00D800F0">
              <w:rPr>
                <w:rFonts w:ascii="Arial" w:hAnsi="Arial" w:cs="Arial"/>
                <w:vertAlign w:val="superscript"/>
              </w:rPr>
              <w:t>A</w:t>
            </w:r>
            <w:r w:rsidRPr="00D800F0">
              <w:rPr>
                <w:rFonts w:ascii="Arial" w:hAnsi="Arial" w:cs="Arial"/>
              </w:rPr>
              <w:t xml:space="preserve"> PEC = purchased equipment cost</w:t>
            </w:r>
          </w:p>
        </w:tc>
      </w:tr>
    </w:tbl>
    <w:p w14:paraId="07D702A0" w14:textId="77777777" w:rsidR="00DA7E40" w:rsidRPr="00D800F0" w:rsidRDefault="00DA7E40" w:rsidP="00DA7E40">
      <w:pPr>
        <w:rPr>
          <w:rFonts w:ascii="Arial" w:hAnsi="Arial" w:cs="Arial"/>
          <w:sz w:val="16"/>
          <w:szCs w:val="16"/>
          <w:lang w:eastAsia="en-GB"/>
        </w:rPr>
      </w:pPr>
      <w:r w:rsidRPr="00D800F0">
        <w:rPr>
          <w:rFonts w:ascii="Arial" w:hAnsi="Arial" w:cs="Arial"/>
          <w:sz w:val="16"/>
          <w:szCs w:val="16"/>
          <w:lang w:eastAsia="en-GB"/>
        </w:rPr>
        <w:t xml:space="preserve">Notes: For comparisons with the IEA’s levelized cost, </w:t>
      </w:r>
      <w:r w:rsidRPr="00D800F0">
        <w:rPr>
          <w:rFonts w:ascii="Arial" w:hAnsi="Arial" w:cs="Arial"/>
          <w:sz w:val="16"/>
          <w:szCs w:val="16"/>
        </w:rPr>
        <w:t>the inputs shown here differ from the baseline models we show in the previous SI sections. Here, we set the electricity and natural gas baseline values to the 2020 prices to align with IEA’s assumptions.</w:t>
      </w:r>
    </w:p>
    <w:p w14:paraId="5E8C77C9" w14:textId="77777777" w:rsidR="00DA7E40" w:rsidRPr="00D800F0" w:rsidRDefault="00DA7E40" w:rsidP="00DA7E40">
      <w:pPr>
        <w:keepNext/>
        <w:jc w:val="center"/>
        <w:rPr>
          <w:rFonts w:ascii="Arial" w:hAnsi="Arial" w:cs="Arial"/>
        </w:rPr>
      </w:pPr>
      <w:r w:rsidRPr="00D800F0">
        <w:rPr>
          <w:rFonts w:ascii="Arial" w:hAnsi="Arial" w:cs="Arial"/>
          <w:noProof/>
        </w:rPr>
        <w:lastRenderedPageBreak/>
        <w:drawing>
          <wp:inline distT="0" distB="0" distL="0" distR="0" wp14:anchorId="46B5B473" wp14:editId="43D878DE">
            <wp:extent cx="4572635" cy="2743200"/>
            <wp:effectExtent l="0" t="0" r="0" b="0"/>
            <wp:docPr id="1331531134" name="Picture 1"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31134" name="Picture 1" descr="A graph of a bar chart&#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4DDC34AF" w14:textId="7194B5A7" w:rsidR="00DA7E40" w:rsidRPr="00D800F0" w:rsidRDefault="00DA7E40" w:rsidP="00DA7E40">
      <w:pPr>
        <w:pStyle w:val="Caption"/>
        <w:jc w:val="center"/>
        <w:rPr>
          <w:rFonts w:ascii="Arial" w:hAnsi="Arial" w:cs="Arial"/>
          <w:noProof/>
        </w:rPr>
      </w:pPr>
      <w:bookmarkStart w:id="105" w:name="_Ref147130685"/>
      <w:r w:rsidRPr="00D800F0">
        <w:rPr>
          <w:rFonts w:ascii="Arial" w:hAnsi="Arial" w:cs="Arial"/>
        </w:rPr>
        <w:t xml:space="preserve">Figure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G</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Figure \* ARABIC \s 2 </w:instrText>
      </w:r>
      <w:r w:rsidRPr="00D800F0">
        <w:rPr>
          <w:rFonts w:ascii="Arial" w:hAnsi="Arial" w:cs="Arial"/>
        </w:rPr>
        <w:fldChar w:fldCharType="separate"/>
      </w:r>
      <w:r w:rsidRPr="00D800F0">
        <w:rPr>
          <w:rFonts w:ascii="Arial" w:hAnsi="Arial" w:cs="Arial"/>
          <w:noProof/>
        </w:rPr>
        <w:t>1</w:t>
      </w:r>
      <w:r w:rsidRPr="00D800F0">
        <w:rPr>
          <w:rFonts w:ascii="Arial" w:hAnsi="Arial" w:cs="Arial"/>
          <w:noProof/>
        </w:rPr>
        <w:fldChar w:fldCharType="end"/>
      </w:r>
      <w:bookmarkEnd w:id="105"/>
      <w:r w:rsidRPr="00D800F0">
        <w:rPr>
          <w:rFonts w:ascii="Arial" w:hAnsi="Arial" w:cs="Arial"/>
        </w:rPr>
        <w:t xml:space="preserve">: This study's deterministic LCOA </w:t>
      </w:r>
      <w:r w:rsidRPr="00D800F0">
        <w:rPr>
          <w:rFonts w:ascii="Arial" w:hAnsi="Arial" w:cs="Arial"/>
          <w:noProof/>
        </w:rPr>
        <w:t xml:space="preserve">compared to </w:t>
      </w:r>
      <w:r w:rsidR="00A61D93" w:rsidRPr="00D800F0">
        <w:rPr>
          <w:rFonts w:ascii="Arial" w:hAnsi="Arial" w:cs="Arial"/>
          <w:noProof/>
        </w:rPr>
        <w:t xml:space="preserve">IEA’s </w:t>
      </w:r>
      <w:r w:rsidR="00A61D93" w:rsidRPr="00D800F0">
        <w:rPr>
          <w:rFonts w:ascii="Arial" w:hAnsi="Arial" w:cs="Arial"/>
          <w:i/>
          <w:iCs/>
          <w:noProof/>
        </w:rPr>
        <w:t>Ammonia Technology Roadmap</w:t>
      </w:r>
      <w:r w:rsidR="00A61D93" w:rsidRPr="00D800F0">
        <w:rPr>
          <w:rFonts w:ascii="Arial" w:hAnsi="Arial" w:cs="Arial"/>
          <w:noProof/>
        </w:rPr>
        <w:t xml:space="preserve"> report (IEA, 2021)</w:t>
      </w:r>
      <w:r w:rsidRPr="00D800F0">
        <w:rPr>
          <w:rFonts w:ascii="Arial" w:hAnsi="Arial" w:cs="Arial"/>
          <w:noProof/>
        </w:rPr>
        <w:t xml:space="preserve">. </w:t>
      </w:r>
    </w:p>
    <w:p w14:paraId="13DDEF2D" w14:textId="30895568" w:rsidR="00DA7E40" w:rsidRPr="00D800F0" w:rsidRDefault="00DA7E40" w:rsidP="00DA7E40">
      <w:pPr>
        <w:rPr>
          <w:rFonts w:ascii="Arial" w:hAnsi="Arial" w:cs="Arial"/>
          <w:noProof/>
        </w:rPr>
      </w:pPr>
      <w:r w:rsidRPr="00D800F0">
        <w:rPr>
          <w:rFonts w:ascii="Arial" w:hAnsi="Arial" w:cs="Arial"/>
          <w:lang w:eastAsia="en-GB"/>
        </w:rPr>
        <w:tab/>
      </w:r>
      <w:r w:rsidRPr="00D800F0">
        <w:rPr>
          <w:rFonts w:ascii="Arial" w:hAnsi="Arial" w:cs="Arial"/>
        </w:rPr>
        <w:t>The deterministic LCOA is computed by setting the NPV to zero (similar to the LCOE, see SI D). The deterministic NPV is calculated by taking the average of all probabilistic inputs. The high and low error bars represent instances when the model takes the maximum and minimum probabilistic values, respectively</w:t>
      </w:r>
      <w:r w:rsidRPr="00D800F0">
        <w:rPr>
          <w:rFonts w:ascii="Arial" w:hAnsi="Arial" w:cs="Arial"/>
          <w:noProof/>
        </w:rPr>
        <w:t xml:space="preserve">. Furthermore, in the minimum and maximum scenarios, we take on the electricity and natural gas values that the IEA uses (see </w:t>
      </w:r>
      <w:r w:rsidRPr="00D800F0">
        <w:rPr>
          <w:rFonts w:ascii="Arial" w:hAnsi="Arial" w:cs="Arial"/>
          <w:noProof/>
        </w:rPr>
        <w:fldChar w:fldCharType="begin"/>
      </w:r>
      <w:r w:rsidRPr="00D800F0">
        <w:rPr>
          <w:rFonts w:ascii="Arial" w:hAnsi="Arial" w:cs="Arial"/>
          <w:noProof/>
        </w:rPr>
        <w:instrText xml:space="preserve"> REF _Ref147132170 \h </w:instrText>
      </w:r>
      <w:r w:rsidR="00D800F0">
        <w:rPr>
          <w:rFonts w:ascii="Arial" w:hAnsi="Arial" w:cs="Arial"/>
          <w:noProof/>
        </w:rPr>
        <w:instrText xml:space="preserve"> \* MERGEFORMAT </w:instrText>
      </w:r>
      <w:r w:rsidRPr="00D800F0">
        <w:rPr>
          <w:rFonts w:ascii="Arial" w:hAnsi="Arial" w:cs="Arial"/>
          <w:noProof/>
        </w:rPr>
      </w:r>
      <w:r w:rsidRPr="00D800F0">
        <w:rPr>
          <w:rFonts w:ascii="Arial" w:hAnsi="Arial" w:cs="Arial"/>
          <w:noProof/>
        </w:rPr>
        <w:fldChar w:fldCharType="separate"/>
      </w:r>
      <w:r w:rsidRPr="00D800F0">
        <w:rPr>
          <w:rFonts w:ascii="Arial" w:hAnsi="Arial" w:cs="Arial"/>
        </w:rPr>
        <w:t xml:space="preserve">Table </w:t>
      </w:r>
      <w:r w:rsidRPr="00D800F0">
        <w:rPr>
          <w:rFonts w:ascii="Arial" w:hAnsi="Arial" w:cs="Arial"/>
          <w:noProof/>
        </w:rPr>
        <w:t>G</w:t>
      </w:r>
      <w:r w:rsidRPr="00D800F0">
        <w:rPr>
          <w:rFonts w:ascii="Arial" w:hAnsi="Arial" w:cs="Arial"/>
        </w:rPr>
        <w:noBreakHyphen/>
      </w:r>
      <w:r w:rsidRPr="00D800F0">
        <w:rPr>
          <w:rFonts w:ascii="Arial" w:hAnsi="Arial" w:cs="Arial"/>
          <w:noProof/>
        </w:rPr>
        <w:t>1</w:t>
      </w:r>
      <w:r w:rsidRPr="00D800F0">
        <w:rPr>
          <w:rFonts w:ascii="Arial" w:hAnsi="Arial" w:cs="Arial"/>
          <w:noProof/>
        </w:rPr>
        <w:fldChar w:fldCharType="end"/>
      </w:r>
      <w:r w:rsidRPr="00D800F0">
        <w:rPr>
          <w:rFonts w:ascii="Arial" w:hAnsi="Arial" w:cs="Arial"/>
          <w:noProof/>
        </w:rPr>
        <w:t>).</w:t>
      </w:r>
    </w:p>
    <w:p w14:paraId="442D3D68" w14:textId="77777777" w:rsidR="00DA7E40" w:rsidRPr="00D800F0" w:rsidRDefault="00DA7E40" w:rsidP="00DA7E40">
      <w:pPr>
        <w:rPr>
          <w:rFonts w:ascii="Arial" w:eastAsiaTheme="minorEastAsia" w:hAnsi="Arial" w:cs="Arial"/>
          <w:noProof/>
        </w:rPr>
      </w:pPr>
      <w:r w:rsidRPr="00D800F0">
        <w:rPr>
          <w:rFonts w:ascii="Arial" w:hAnsi="Arial" w:cs="Arial"/>
          <w:noProof/>
        </w:rPr>
        <w:tab/>
        <w:t xml:space="preserve">In conclusion, the values we obtain are close to those of the IEA, considering the large differences across input values. Our plant model is more sensitive to natural gas, ammonia, and electricity markets (denoted as </w:t>
      </w:r>
      <m:oMath>
        <m:sSub>
          <m:sSubPr>
            <m:ctrlPr>
              <w:rPr>
                <w:rFonts w:ascii="Cambria Math" w:hAnsi="Cambria Math" w:cs="Arial"/>
                <w:b/>
                <w:bCs/>
                <w:i/>
                <w:noProof/>
              </w:rPr>
            </m:ctrlPr>
          </m:sSubPr>
          <m:e>
            <m:r>
              <m:rPr>
                <m:sty m:val="bi"/>
              </m:rPr>
              <w:rPr>
                <w:rFonts w:ascii="Cambria Math" w:hAnsi="Cambria Math" w:cs="Arial"/>
                <w:noProof/>
              </w:rPr>
              <m:t>P</m:t>
            </m:r>
          </m:e>
          <m:sub>
            <m:r>
              <m:rPr>
                <m:sty m:val="bi"/>
              </m:rPr>
              <w:rPr>
                <w:rFonts w:ascii="Cambria Math" w:hAnsi="Cambria Math" w:cs="Arial"/>
                <w:noProof/>
              </w:rPr>
              <m:t>i</m:t>
            </m:r>
          </m:sub>
        </m:sSub>
        <m:r>
          <m:rPr>
            <m:sty m:val="bi"/>
          </m:rPr>
          <w:rPr>
            <w:rFonts w:ascii="Cambria Math" w:hAnsi="Cambria Math" w:cs="Arial"/>
            <w:noProof/>
          </w:rPr>
          <m:t>(T)</m:t>
        </m:r>
      </m:oMath>
      <w:r w:rsidRPr="00D800F0">
        <w:rPr>
          <w:rFonts w:ascii="Arial" w:eastAsiaTheme="minorEastAsia" w:hAnsi="Arial" w:cs="Arial"/>
          <w:noProof/>
        </w:rPr>
        <w:t xml:space="preserve"> in SI B) than the IEA’s AP SMR. Moreover, we conservatively estimate the CAPEX with additional cost factors, contributing to the upward shift in LCOA from the IEA’s LCOA.</w:t>
      </w:r>
    </w:p>
    <w:p w14:paraId="16999121" w14:textId="77777777" w:rsidR="00DA7E40" w:rsidRPr="00D800F0" w:rsidRDefault="00DA7E40" w:rsidP="006864F3">
      <w:pPr>
        <w:pStyle w:val="Heading3"/>
        <w:rPr>
          <w:rFonts w:ascii="Arial" w:hAnsi="Arial" w:cs="Arial"/>
          <w:noProof/>
        </w:rPr>
      </w:pPr>
      <w:bookmarkStart w:id="106" w:name="_Toc148296648"/>
      <w:r w:rsidRPr="00D800F0">
        <w:rPr>
          <w:rFonts w:ascii="Arial" w:hAnsi="Arial" w:cs="Arial"/>
          <w:noProof/>
        </w:rPr>
        <w:t>Sensitivity Analysis of Inputs</w:t>
      </w:r>
      <w:bookmarkEnd w:id="106"/>
    </w:p>
    <w:p w14:paraId="1C616A5E" w14:textId="77777777" w:rsidR="00DA7E40" w:rsidRPr="00D800F0" w:rsidRDefault="00DA7E40" w:rsidP="00DA7E40">
      <w:pPr>
        <w:rPr>
          <w:rFonts w:ascii="Arial" w:hAnsi="Arial" w:cs="Arial"/>
          <w:lang w:eastAsia="en-GB"/>
        </w:rPr>
      </w:pPr>
      <w:r w:rsidRPr="00D800F0">
        <w:rPr>
          <w:rFonts w:ascii="Arial" w:hAnsi="Arial" w:cs="Arial"/>
          <w:lang w:eastAsia="en-GB"/>
        </w:rPr>
        <w:t xml:space="preserve">Ensuring the quality of our TEA through a sensitivity analysis will help us determine if directional changes in the inputs result in economically sensible shifts in the NPV of the technologies. We include an Excel file named </w:t>
      </w:r>
      <w:r w:rsidRPr="00D800F0">
        <w:rPr>
          <w:rFonts w:ascii="Arial" w:hAnsi="Arial" w:cs="Arial"/>
          <w:b/>
          <w:bCs/>
          <w:i/>
          <w:iCs/>
          <w:lang w:eastAsia="en-GB"/>
        </w:rPr>
        <w:t xml:space="preserve">AP_NE_Sensitivities.xlsx, </w:t>
      </w:r>
      <w:r w:rsidRPr="00D800F0">
        <w:rPr>
          <w:rFonts w:ascii="Arial" w:hAnsi="Arial" w:cs="Arial"/>
          <w:lang w:eastAsia="en-GB"/>
        </w:rPr>
        <w:t>which shows the difference in NPV [$/tNH3] between the deterministic baseline and the sensitivity analysis. The “input” column depicts the change in the input variables in the high and low scenarios. The sensitivities are ranked in descending order by the sum of the NPV shifts across technologies</w:t>
      </w:r>
      <w:r w:rsidRPr="00D800F0">
        <w:rPr>
          <w:rFonts w:ascii="Arial" w:hAnsi="Arial" w:cs="Arial"/>
          <w:b/>
          <w:bCs/>
          <w:lang w:eastAsia="en-GB"/>
        </w:rPr>
        <w:t>.</w:t>
      </w:r>
    </w:p>
    <w:p w14:paraId="603A67A5" w14:textId="77777777" w:rsidR="00DA7E40" w:rsidRPr="00D800F0" w:rsidRDefault="00DA7E40" w:rsidP="00DA7E40">
      <w:pPr>
        <w:rPr>
          <w:rFonts w:ascii="Arial" w:hAnsi="Arial" w:cs="Arial"/>
          <w:lang w:eastAsia="en-GB"/>
        </w:rPr>
      </w:pPr>
      <w:r w:rsidRPr="00D800F0">
        <w:rPr>
          <w:rFonts w:ascii="Arial" w:hAnsi="Arial" w:cs="Arial"/>
          <w:lang w:eastAsia="en-GB"/>
        </w:rPr>
        <w:tab/>
        <w:t xml:space="preserve">We set the bounds of the sensitivity analysis to be the distribution limits for probabilistic values and +/-20% for deterministic and composite values. Composite values are values that sit in between the outputs and inputs. For example, the OPEX is a composite value because it is not an input or an output. </w:t>
      </w:r>
    </w:p>
    <w:p w14:paraId="3BA71A6E" w14:textId="77777777" w:rsidR="00DA7E40" w:rsidRPr="00D800F0" w:rsidRDefault="00DA7E40" w:rsidP="00DA7E40">
      <w:pPr>
        <w:rPr>
          <w:rFonts w:ascii="Arial" w:hAnsi="Arial" w:cs="Arial"/>
          <w:lang w:eastAsia="en-GB"/>
        </w:rPr>
      </w:pPr>
      <w:r w:rsidRPr="00D800F0">
        <w:rPr>
          <w:rFonts w:ascii="Arial" w:hAnsi="Arial" w:cs="Arial"/>
          <w:lang w:eastAsia="en-GB"/>
        </w:rPr>
        <w:tab/>
        <w:t>There are values in the file that do not contain the input bounds for the sensitivity analysis – namely, “AEC Stack Cost” and “Wind Turbine CAPEX”. This is because the bounds of these values change over time. To find the bounds, refer to the 2023 and 2030 costs we set for these costs in SI B and D.</w:t>
      </w:r>
    </w:p>
    <w:p w14:paraId="14ADC09C" w14:textId="1F9E4B27" w:rsidR="00DA7E40" w:rsidRPr="00D800F0" w:rsidRDefault="00DA7E40" w:rsidP="00DA7E40">
      <w:pPr>
        <w:rPr>
          <w:rFonts w:ascii="Arial" w:hAnsi="Arial" w:cs="Arial"/>
          <w:lang w:eastAsia="en-GB"/>
        </w:rPr>
      </w:pPr>
      <w:r w:rsidRPr="00D800F0">
        <w:rPr>
          <w:rFonts w:ascii="Arial" w:hAnsi="Arial" w:cs="Arial"/>
          <w:lang w:eastAsia="en-GB"/>
        </w:rPr>
        <w:lastRenderedPageBreak/>
        <w:tab/>
        <w:t xml:space="preserve">In the deterministic version of the AP model, we handled commodity prices differently from the probabilistic counterpart. We set the standard deviation of the GBM module to 0 to express linear changes in commodity prices across time. This slightly affects the sensitivity analysis results (see section </w:t>
      </w:r>
      <w:r w:rsidRPr="00D800F0">
        <w:rPr>
          <w:rFonts w:ascii="Arial" w:hAnsi="Arial" w:cs="Arial"/>
          <w:lang w:eastAsia="en-GB"/>
        </w:rPr>
        <w:fldChar w:fldCharType="begin"/>
      </w:r>
      <w:r w:rsidRPr="00D800F0">
        <w:rPr>
          <w:rFonts w:ascii="Arial" w:hAnsi="Arial" w:cs="Arial"/>
          <w:lang w:eastAsia="en-GB"/>
        </w:rPr>
        <w:instrText xml:space="preserve"> REF _Ref147477683 \r \h </w:instrText>
      </w:r>
      <w:r w:rsidR="00D800F0">
        <w:rPr>
          <w:rFonts w:ascii="Arial" w:hAnsi="Arial" w:cs="Arial"/>
          <w:lang w:eastAsia="en-GB"/>
        </w:rPr>
        <w:instrText xml:space="preserve"> \* MERGEFORMAT </w:instrText>
      </w:r>
      <w:r w:rsidRPr="00D800F0">
        <w:rPr>
          <w:rFonts w:ascii="Arial" w:hAnsi="Arial" w:cs="Arial"/>
          <w:lang w:eastAsia="en-GB"/>
        </w:rPr>
      </w:r>
      <w:r w:rsidRPr="00D800F0">
        <w:rPr>
          <w:rFonts w:ascii="Arial" w:hAnsi="Arial" w:cs="Arial"/>
          <w:lang w:eastAsia="en-GB"/>
        </w:rPr>
        <w:fldChar w:fldCharType="separate"/>
      </w:r>
      <w:r w:rsidRPr="00D800F0">
        <w:rPr>
          <w:rFonts w:ascii="Arial" w:hAnsi="Arial" w:cs="Arial"/>
          <w:lang w:eastAsia="en-GB"/>
        </w:rPr>
        <w:t>G.3.3</w:t>
      </w:r>
      <w:r w:rsidRPr="00D800F0">
        <w:rPr>
          <w:rFonts w:ascii="Arial" w:hAnsi="Arial" w:cs="Arial"/>
          <w:lang w:eastAsia="en-GB"/>
        </w:rPr>
        <w:fldChar w:fldCharType="end"/>
      </w:r>
      <w:r w:rsidRPr="00D800F0">
        <w:rPr>
          <w:rFonts w:ascii="Arial" w:hAnsi="Arial" w:cs="Arial"/>
          <w:lang w:eastAsia="en-GB"/>
        </w:rPr>
        <w:t>)</w:t>
      </w:r>
    </w:p>
    <w:p w14:paraId="68C2E18F" w14:textId="77777777" w:rsidR="00DA7E40" w:rsidRPr="00D800F0" w:rsidRDefault="00DA7E40" w:rsidP="006864F3">
      <w:pPr>
        <w:pStyle w:val="Heading4"/>
        <w:rPr>
          <w:rFonts w:ascii="Arial" w:hAnsi="Arial" w:cs="Arial"/>
        </w:rPr>
      </w:pPr>
      <w:r w:rsidRPr="00D800F0">
        <w:rPr>
          <w:rFonts w:ascii="Arial" w:hAnsi="Arial" w:cs="Arial"/>
        </w:rPr>
        <w:t>CAPEX-related Sensitivities</w:t>
      </w:r>
    </w:p>
    <w:p w14:paraId="17541054" w14:textId="77777777" w:rsidR="00DA7E40" w:rsidRPr="00D800F0" w:rsidRDefault="00DA7E40" w:rsidP="00DA7E40">
      <w:pPr>
        <w:rPr>
          <w:rFonts w:ascii="Arial" w:hAnsi="Arial" w:cs="Arial"/>
          <w:lang w:eastAsia="en-GB"/>
        </w:rPr>
      </w:pPr>
      <w:r w:rsidRPr="00D800F0">
        <w:rPr>
          <w:rFonts w:ascii="Arial" w:hAnsi="Arial" w:cs="Arial"/>
          <w:lang w:eastAsia="en-GB"/>
        </w:rPr>
        <w:t xml:space="preserve">We consider the AEC CAPEX, the total CAPEX, and the wind CAPEX for the sensitivity analysis. We do not consider the battery CAPEX since monthly matching has no allocated battery capacity. </w:t>
      </w:r>
    </w:p>
    <w:p w14:paraId="0F033724" w14:textId="77777777" w:rsidR="00DA7E40" w:rsidRPr="00D800F0" w:rsidRDefault="00DA7E40" w:rsidP="00DA7E40">
      <w:pPr>
        <w:rPr>
          <w:rFonts w:ascii="Arial" w:hAnsi="Arial" w:cs="Arial"/>
          <w:lang w:eastAsia="en-GB"/>
        </w:rPr>
      </w:pPr>
      <w:r w:rsidRPr="00D800F0">
        <w:rPr>
          <w:rFonts w:ascii="Arial" w:hAnsi="Arial" w:cs="Arial"/>
          <w:lang w:eastAsia="en-GB"/>
        </w:rPr>
        <w:tab/>
        <w:t>For validation, the wind and battery CAPEX have the same sign (negative) and are part of the same equation in the Python model. Hence, they behave similarly in the hourly matching sensitivity (where battery capacity is allocated).</w:t>
      </w:r>
    </w:p>
    <w:p w14:paraId="096724A4" w14:textId="77777777" w:rsidR="00DA7E40" w:rsidRPr="00D800F0" w:rsidRDefault="00DA7E40" w:rsidP="00DA7E40">
      <w:pPr>
        <w:rPr>
          <w:rFonts w:ascii="Arial" w:hAnsi="Arial" w:cs="Arial"/>
          <w:lang w:eastAsia="en-GB"/>
        </w:rPr>
      </w:pPr>
      <w:r w:rsidRPr="00D800F0">
        <w:rPr>
          <w:rFonts w:ascii="Arial" w:hAnsi="Arial" w:cs="Arial"/>
          <w:lang w:eastAsia="en-GB"/>
        </w:rPr>
        <w:tab/>
        <w:t xml:space="preserve">Varying the overall CAPEX (composite value) by +/-20% has little effect on the NPV in scenario A. Less than $1/tNH3 was recorded, so it was rounded to 0, as such a difference is statistically insignificant. In scenario B, the CAPEX disproportionately affects the AP CCS, AP BH2S, and AP AEC NPVs relative to AP SMR. This is caused by the additional cost of the hybrid wind farm, which increases the CAPEX for the low-carbon technologies. Consequently, changes by +/-20% in the low-carbon CAPEX will also vary the CAPEX of the hybrid wind farm – thereby becoming a more sensitive parameter. AP AEC is the most sensitive because its CAPEX is the biggest (see </w:t>
      </w:r>
      <w:r w:rsidRPr="00D800F0">
        <w:rPr>
          <w:rFonts w:ascii="Arial" w:hAnsi="Arial" w:cs="Arial"/>
          <w:b/>
          <w:bCs/>
          <w:lang w:eastAsia="en-GB"/>
        </w:rPr>
        <w:t>AP_NE_CAPEX.xlsx</w:t>
      </w:r>
      <w:r w:rsidRPr="00D800F0">
        <w:rPr>
          <w:rFonts w:ascii="Arial" w:hAnsi="Arial" w:cs="Arial"/>
          <w:lang w:eastAsia="en-GB"/>
        </w:rPr>
        <w:t>). In scenario C, the CAPEX sensitivity regresses to scenario A sensitivity because the only difference between scenario A and scenario C is the OPEX.</w:t>
      </w:r>
    </w:p>
    <w:p w14:paraId="54F562C5" w14:textId="77777777" w:rsidR="00DA7E40" w:rsidRPr="00D800F0" w:rsidRDefault="00DA7E40" w:rsidP="00DA7E40">
      <w:pPr>
        <w:rPr>
          <w:rFonts w:ascii="Arial" w:hAnsi="Arial" w:cs="Arial"/>
          <w:lang w:eastAsia="en-GB"/>
        </w:rPr>
      </w:pPr>
      <w:r w:rsidRPr="00D800F0">
        <w:rPr>
          <w:rFonts w:ascii="Arial" w:hAnsi="Arial" w:cs="Arial"/>
          <w:lang w:eastAsia="en-GB"/>
        </w:rPr>
        <w:tab/>
        <w:t xml:space="preserve">This parameter is more sensitive than the CAPEX for the AEC stack CAPEX. This is because the range of variation, in terms of percentage points, is +/- 33%. Remember that the AEC stack CAPEX is a probabilistic parameter that varies according to its bounds. </w:t>
      </w:r>
    </w:p>
    <w:p w14:paraId="64DB0C6F" w14:textId="77777777" w:rsidR="00DA7E40" w:rsidRPr="00D800F0" w:rsidRDefault="00DA7E40" w:rsidP="006864F3">
      <w:pPr>
        <w:pStyle w:val="Heading3"/>
        <w:rPr>
          <w:rFonts w:ascii="Arial" w:hAnsi="Arial" w:cs="Arial"/>
        </w:rPr>
      </w:pPr>
      <w:bookmarkStart w:id="107" w:name="_Toc148296649"/>
      <w:r w:rsidRPr="00D800F0">
        <w:rPr>
          <w:rFonts w:ascii="Arial" w:hAnsi="Arial" w:cs="Arial"/>
        </w:rPr>
        <w:t>OPEX-related Sensitivites</w:t>
      </w:r>
      <w:bookmarkEnd w:id="107"/>
      <w:r w:rsidRPr="00D800F0">
        <w:rPr>
          <w:rFonts w:ascii="Arial" w:hAnsi="Arial" w:cs="Arial"/>
        </w:rPr>
        <w:t xml:space="preserve"> </w:t>
      </w:r>
    </w:p>
    <w:p w14:paraId="4278FB9B" w14:textId="77777777" w:rsidR="00DA7E40" w:rsidRPr="00D800F0" w:rsidRDefault="00DA7E40" w:rsidP="00DA7E40">
      <w:pPr>
        <w:rPr>
          <w:rFonts w:ascii="Arial" w:hAnsi="Arial" w:cs="Arial"/>
          <w:lang w:eastAsia="en-GB"/>
        </w:rPr>
      </w:pPr>
      <w:r w:rsidRPr="00D800F0">
        <w:rPr>
          <w:rFonts w:ascii="Arial" w:hAnsi="Arial" w:cs="Arial"/>
          <w:lang w:eastAsia="en-GB"/>
        </w:rPr>
        <w:t>We consider the process related OPEX (MI OPEX) and market dependent commodity prices (electricity and natural gas) for monthly matching.</w:t>
      </w:r>
    </w:p>
    <w:p w14:paraId="365937C2" w14:textId="77777777" w:rsidR="00DA7E40" w:rsidRPr="00D800F0" w:rsidRDefault="00DA7E40" w:rsidP="00AC7231">
      <w:pPr>
        <w:pStyle w:val="Heading4"/>
        <w:rPr>
          <w:rFonts w:ascii="Arial" w:hAnsi="Arial" w:cs="Arial"/>
        </w:rPr>
      </w:pPr>
      <w:r w:rsidRPr="00D800F0">
        <w:rPr>
          <w:rFonts w:ascii="Arial" w:hAnsi="Arial" w:cs="Arial"/>
        </w:rPr>
        <w:t>Process related OPEX</w:t>
      </w:r>
    </w:p>
    <w:p w14:paraId="17BCEE23" w14:textId="77777777" w:rsidR="00DA7E40" w:rsidRPr="00D800F0" w:rsidRDefault="00DA7E40" w:rsidP="00DA7E40">
      <w:pPr>
        <w:rPr>
          <w:rFonts w:ascii="Arial" w:hAnsi="Arial" w:cs="Arial"/>
          <w:lang w:eastAsia="en-GB"/>
        </w:rPr>
      </w:pPr>
      <w:r w:rsidRPr="00D800F0">
        <w:rPr>
          <w:rFonts w:ascii="Arial" w:hAnsi="Arial" w:cs="Arial"/>
          <w:lang w:eastAsia="en-GB"/>
        </w:rPr>
        <w:t xml:space="preserve">The process related OPEX is the largest in scenario B because of the O&amp;M costs of the hybrid wind farm for low-carbon technologies and looks correlated with the electricity price. AP SMR only experiences a shift of $6/tNH3 when decreasing the process related OPEX by 20%. Meanwhile AP AEC experiences a change of $65/tNH3 with the same change. This is due to the scale of the hybrid wind fam, which incurs severe O&amp;M costs. Note that the hybrid wind farm scale is directly proportional to the electricity demand of the AP technology. AP CCS and AP BH2S sit in between AP SMR and AP AEC with changes of $19/tNH3 and $25/tNH3 in scenario B, respectively. </w:t>
      </w:r>
    </w:p>
    <w:p w14:paraId="46087454" w14:textId="77777777" w:rsidR="00DA7E40" w:rsidRPr="00D800F0" w:rsidRDefault="00DA7E40" w:rsidP="00DA7E40">
      <w:pPr>
        <w:rPr>
          <w:rFonts w:ascii="Arial" w:hAnsi="Arial" w:cs="Arial"/>
          <w:lang w:eastAsia="en-GB"/>
        </w:rPr>
      </w:pPr>
      <w:r w:rsidRPr="00D800F0">
        <w:rPr>
          <w:rFonts w:ascii="Arial" w:hAnsi="Arial" w:cs="Arial"/>
          <w:lang w:eastAsia="en-GB"/>
        </w:rPr>
        <w:tab/>
        <w:t xml:space="preserve"> In scenarios A and C, the process OPEX is similar for all technologies. This is because the electricity price is not part of the process OPEX – the electricity price being the only difference between scenarios A and C in terms of OPEX. Hence, the cost drivers cause the same directional change. This change is less than scenario B. AP SMR, AP CCS, AP BH2S, and AP AEC only incur a $6/tNH3, $8/tNH3, $15/tNH3, and $9/tNH3 with a 20% decrease in the process OPEX, respectively. </w:t>
      </w:r>
    </w:p>
    <w:p w14:paraId="4D639C85" w14:textId="77777777" w:rsidR="00DA7E40" w:rsidRPr="00D800F0" w:rsidRDefault="00DA7E40" w:rsidP="00AC7231">
      <w:pPr>
        <w:pStyle w:val="Heading4"/>
        <w:rPr>
          <w:rFonts w:ascii="Arial" w:hAnsi="Arial" w:cs="Arial"/>
        </w:rPr>
      </w:pPr>
      <w:r w:rsidRPr="00D800F0">
        <w:rPr>
          <w:rFonts w:ascii="Arial" w:hAnsi="Arial" w:cs="Arial"/>
        </w:rPr>
        <w:lastRenderedPageBreak/>
        <w:t>Market commodities</w:t>
      </w:r>
    </w:p>
    <w:p w14:paraId="01788AA3" w14:textId="77777777" w:rsidR="00DA7E40" w:rsidRPr="00D800F0" w:rsidRDefault="00DA7E40" w:rsidP="00DA7E40">
      <w:pPr>
        <w:rPr>
          <w:rFonts w:ascii="Arial" w:hAnsi="Arial" w:cs="Arial"/>
          <w:lang w:eastAsia="en-GB"/>
        </w:rPr>
      </w:pPr>
      <w:r w:rsidRPr="00D800F0">
        <w:rPr>
          <w:rFonts w:ascii="Arial" w:hAnsi="Arial" w:cs="Arial"/>
          <w:lang w:eastAsia="en-GB"/>
        </w:rPr>
        <w:t xml:space="preserve">Natural gas and electricity prices were found to be significant cost drivers of the AP process. In the probabilistic model, we enforce a correlation between ammonia and natural gas prices through a bivariate distribution. In the deterministic model, we take the average markup from natural gas to ammonia prices, and make the ammonia price dependent on the product of the natural gas price and the markup. We do this to capture the hedging effect we see in the probabilistic model. </w:t>
      </w:r>
    </w:p>
    <w:p w14:paraId="086B4D69" w14:textId="2066F6FD" w:rsidR="00DA7E40" w:rsidRPr="00D800F0" w:rsidRDefault="00DA7E40" w:rsidP="00DA7E40">
      <w:pPr>
        <w:rPr>
          <w:rFonts w:ascii="Arial" w:hAnsi="Arial" w:cs="Arial"/>
          <w:lang w:eastAsia="en-GB"/>
        </w:rPr>
      </w:pPr>
      <w:r w:rsidRPr="00D800F0">
        <w:rPr>
          <w:rFonts w:ascii="Arial" w:hAnsi="Arial" w:cs="Arial"/>
          <w:lang w:eastAsia="en-GB"/>
        </w:rPr>
        <w:tab/>
        <w:t>The natural gas price along drives a large part of the NPV of AP SMR and AP CCS across all scenarios. We set a range of prices by taking the minimum and maximum natural gas prices from December 2014 until January 2023 (EIA, 2023b). Changing the natural gas price results in hedging as we see when the price is set at $2.58/MMBtu, the NPV of AP SMR and AP CCS decrease by -$42/tNH3 and -$48/tNH3 while AP BH2S and AP AEC decrease by -$75/tNH3 and -$84/tNH3. On the high sensitivity ($9.95/MMBtu), the NPV of AP SMR and AP CCS decrease by $90/tNH3 and $91/tNH3 while AP BH2S and AP AEC decrease by $100/tNH3 and $109/tNH3. We see the hedging effects result in approximately twice the loss for non-hedged technologies (AP BH2S and AP AEC) when natural gas prices reduce (and hence ammonia prices). On the other hand, the potential gain from not hedging results in 21% higher increase in NPV for BH2S and 11$ for AP AEC.</w:t>
      </w:r>
    </w:p>
    <w:p w14:paraId="17855F7C" w14:textId="51ECCBA5" w:rsidR="00DA7E40" w:rsidRPr="00D800F0" w:rsidRDefault="00DA7E40" w:rsidP="00DA7E40">
      <w:pPr>
        <w:rPr>
          <w:rFonts w:ascii="Arial" w:hAnsi="Arial" w:cs="Arial"/>
          <w:lang w:eastAsia="en-GB"/>
        </w:rPr>
      </w:pPr>
      <w:r w:rsidRPr="00D800F0">
        <w:rPr>
          <w:rFonts w:ascii="Arial" w:hAnsi="Arial" w:cs="Arial"/>
          <w:lang w:eastAsia="en-GB"/>
        </w:rPr>
        <w:tab/>
        <w:t>The markup between NH3 and natural gas was also varied. The low is 58.96 $NH3/$NG and the high is 204 $NH3/$NG. Changing the markup directly changes the ammonia price without affecting the natural gas price. Consequently, both AP SMR and AP CCS increase by $51/tNH3 when the markup is high. Similarly, AP BH2S and AP AEC increase by $52/tNH3 and $62/tNH3. On the other hand, low markup results in a loss of -$76/tNH3, -$86/tNH3, -$85/tNH3, and -$94/tNH3 for AP SMR, AP CCS, AP BH2S, and AP AEC, respectively. These results vary slightly across scenarios due to tax-credit and profitability effects (see</w:t>
      </w:r>
      <w:r w:rsidR="00A61D93" w:rsidRPr="00D800F0">
        <w:rPr>
          <w:rFonts w:ascii="Arial" w:hAnsi="Arial" w:cs="Arial"/>
          <w:lang w:eastAsia="en-GB"/>
        </w:rPr>
        <w:t xml:space="preserve"> section I</w:t>
      </w:r>
      <w:r w:rsidRPr="00D800F0">
        <w:rPr>
          <w:rFonts w:ascii="Arial" w:hAnsi="Arial" w:cs="Arial"/>
          <w:lang w:eastAsia="en-GB"/>
        </w:rPr>
        <w:t xml:space="preserve">). Nevertheless, the general trend holds. </w:t>
      </w:r>
    </w:p>
    <w:p w14:paraId="72ACC8B6" w14:textId="77777777" w:rsidR="00DA7E40" w:rsidRPr="00D800F0" w:rsidRDefault="00DA7E40" w:rsidP="00DA7E40">
      <w:pPr>
        <w:rPr>
          <w:rFonts w:ascii="Arial" w:hAnsi="Arial" w:cs="Arial"/>
          <w:lang w:eastAsia="en-GB"/>
        </w:rPr>
      </w:pPr>
      <w:r w:rsidRPr="00D800F0">
        <w:rPr>
          <w:rFonts w:ascii="Arial" w:hAnsi="Arial" w:cs="Arial"/>
          <w:lang w:eastAsia="en-GB"/>
        </w:rPr>
        <w:tab/>
        <w:t xml:space="preserve">The electricity price is one of the foundation of the NPV difference between AP SMR and the low-carbon technologies (specially AP AEC). In scenario A, the electricity price affected AP SMR, AP CCS, and AP BH2S less than their feedstock cost – specifically by +/- $1/tNH3, $3/tNH3, and $3/tNH3. The effects of biomass feedstock on BH2S were + $14/tNH3 and -$15/tNH3 for a decrease to $50.68/dry tonne and an increase to $118.24/dry tonne, respectively. Meanwhile, AP AEC uses the electricity to drive the energy input into the hydrogen product (given the delta in thermodynamic energy states of water and hydrogen gas), which results in a dramatic sensitivity of +/- $29/tNH3 for a +/- 20% change in the electricity price in scenario A. </w:t>
      </w:r>
    </w:p>
    <w:p w14:paraId="699CDA33" w14:textId="77777777" w:rsidR="00DA7E40" w:rsidRPr="00D800F0" w:rsidRDefault="00DA7E40" w:rsidP="00DA7E40">
      <w:pPr>
        <w:rPr>
          <w:rFonts w:ascii="Arial" w:hAnsi="Arial" w:cs="Arial"/>
          <w:lang w:eastAsia="en-GB"/>
        </w:rPr>
      </w:pPr>
      <w:r w:rsidRPr="00D800F0">
        <w:rPr>
          <w:rFonts w:ascii="Arial" w:hAnsi="Arial" w:cs="Arial"/>
          <w:lang w:eastAsia="en-GB"/>
        </w:rPr>
        <w:tab/>
        <w:t>In scenario B, the electricity cost sensitivity goes to zero for the low-carbon technologies and remains at the same level for AP SMR. This is because the electricity costs are shifted to the hybrid wind farm CAPEX and O&amp;M costs.</w:t>
      </w:r>
    </w:p>
    <w:p w14:paraId="416BC44C" w14:textId="77777777" w:rsidR="00DA7E40" w:rsidRPr="00D800F0" w:rsidRDefault="00DA7E40" w:rsidP="00DA7E40">
      <w:pPr>
        <w:rPr>
          <w:rFonts w:ascii="Arial" w:hAnsi="Arial" w:cs="Arial"/>
          <w:b/>
          <w:bCs/>
          <w:lang w:eastAsia="en-GB"/>
        </w:rPr>
      </w:pPr>
      <w:r w:rsidRPr="00D800F0">
        <w:rPr>
          <w:rFonts w:ascii="Arial" w:hAnsi="Arial" w:cs="Arial"/>
          <w:lang w:eastAsia="en-GB"/>
        </w:rPr>
        <w:tab/>
        <w:t>In scenario C, the electricity cost sensitivities are the same as scenario A. Although AP AEC shows slightly less sensitivity at +/- $28/tNH3 – which can be considered negligible.</w:t>
      </w:r>
    </w:p>
    <w:p w14:paraId="5E56756B" w14:textId="77777777" w:rsidR="00DA7E40" w:rsidRPr="00D800F0" w:rsidRDefault="00DA7E40" w:rsidP="00AC7231">
      <w:pPr>
        <w:pStyle w:val="Heading4"/>
        <w:rPr>
          <w:rFonts w:ascii="Arial" w:hAnsi="Arial" w:cs="Arial"/>
        </w:rPr>
      </w:pPr>
      <w:bookmarkStart w:id="108" w:name="_Ref147477683"/>
      <w:r w:rsidRPr="00D800F0">
        <w:rPr>
          <w:rFonts w:ascii="Arial" w:hAnsi="Arial" w:cs="Arial"/>
        </w:rPr>
        <w:t>Policy Sensitivities</w:t>
      </w:r>
      <w:bookmarkEnd w:id="108"/>
    </w:p>
    <w:p w14:paraId="35E37399" w14:textId="77777777" w:rsidR="00DA7E40" w:rsidRPr="00D800F0" w:rsidRDefault="00DA7E40" w:rsidP="00DA7E40">
      <w:pPr>
        <w:rPr>
          <w:rFonts w:ascii="Arial" w:hAnsi="Arial" w:cs="Arial"/>
          <w:lang w:eastAsia="en-GB"/>
        </w:rPr>
      </w:pPr>
      <w:r w:rsidRPr="00D800F0">
        <w:rPr>
          <w:rFonts w:ascii="Arial" w:hAnsi="Arial" w:cs="Arial"/>
          <w:lang w:eastAsia="en-GB"/>
        </w:rPr>
        <w:tab/>
        <w:t xml:space="preserve">We consider sensitivity of +/-20% for all programs except 48E, which was varied between 30% and 40% ITC. In scenario A, 45V credits are the only sensitive parameter. AP CCS can claim 45Q – however, this choice is suboptimal. In scenario A, AP CCS and AP BH2S </w:t>
      </w:r>
      <w:r w:rsidRPr="00D800F0">
        <w:rPr>
          <w:rFonts w:ascii="Arial" w:hAnsi="Arial" w:cs="Arial"/>
          <w:lang w:eastAsia="en-GB"/>
        </w:rPr>
        <w:lastRenderedPageBreak/>
        <w:t xml:space="preserve">are the only technologies receiving tax credits. Changing 45V credits by +20% results in a change of $4/tNH3 and $3/tNH3 for AP CCS and AP BH2S, respectively. </w:t>
      </w:r>
    </w:p>
    <w:p w14:paraId="71D6735F" w14:textId="77777777" w:rsidR="00DA7E40" w:rsidRPr="00D800F0" w:rsidRDefault="00DA7E40" w:rsidP="00DA7E40">
      <w:pPr>
        <w:rPr>
          <w:rFonts w:ascii="Arial" w:hAnsi="Arial" w:cs="Arial"/>
          <w:lang w:eastAsia="en-GB"/>
        </w:rPr>
      </w:pPr>
      <w:r w:rsidRPr="00D800F0">
        <w:rPr>
          <w:rFonts w:ascii="Arial" w:hAnsi="Arial" w:cs="Arial"/>
          <w:lang w:eastAsia="en-GB"/>
        </w:rPr>
        <w:tab/>
        <w:t xml:space="preserve">In scenario B, 45V and 48E credits are the only sensitive parameters. 48E credits are always preferred over 45Y credits given that the return on energy per $ CAPEX invested in the wind farm is not high enough make 45Y credits desirable. We find that 45V credits have a symmetric and similar effect for all three low-carbon AP technologies. The variation is +/- $12/tNH3 for AP CCS, AP BH2S, and AP AEC. 48E credits are symmetrical around the high and low sensitivities but not across technologies. The high electricity demand of AP AEC increases the scale of the hybrid wind farm – thereby increasing the amount of 48E credits awarded to AP AEC. We see AP AEC net an increase in NPV of +/- $13/tNH3. AP CCS and AP BH2S only receive +/-$2/tNH3. Note that for the deterministic model we took the inputs as the average of the probabilistic ranges, hence the baseline value for 48E credits is 35% -- which is technically not possible given the step-wise nature of the 48E program (either 30% or 40%). This discontinuity is expressed in the probabilistic model. If we were to set the 48E credits to 30%, then the sensitivity would be $0/tNH3 in the low scenario and twice the change in the high scenario. </w:t>
      </w:r>
    </w:p>
    <w:p w14:paraId="4B14E598" w14:textId="77777777" w:rsidR="00DA7E40" w:rsidRPr="00D800F0" w:rsidRDefault="00DA7E40" w:rsidP="00DA7E40">
      <w:pPr>
        <w:rPr>
          <w:rFonts w:ascii="Arial" w:hAnsi="Arial" w:cs="Arial"/>
          <w:lang w:eastAsia="en-GB"/>
        </w:rPr>
      </w:pPr>
      <w:r w:rsidRPr="00D800F0">
        <w:rPr>
          <w:rFonts w:ascii="Arial" w:hAnsi="Arial" w:cs="Arial"/>
          <w:lang w:eastAsia="en-GB"/>
        </w:rPr>
        <w:tab/>
        <w:t xml:space="preserve">In scenario C, 45V credits have the same effect on the NPV as in scenario B. In scenario C, all other credits are not sensitive because (i) the hybrid wind farm is not part of the system and (ii) 48Q credits are not preferable to 45V credits in the case of AP AEC – these two conditions leave only 45V credits. </w:t>
      </w:r>
    </w:p>
    <w:p w14:paraId="7BB8C937" w14:textId="77777777" w:rsidR="00DA7E40" w:rsidRPr="00D800F0" w:rsidRDefault="00DA7E40" w:rsidP="00AC7231">
      <w:pPr>
        <w:pStyle w:val="Heading4"/>
        <w:rPr>
          <w:rFonts w:ascii="Arial" w:eastAsiaTheme="minorHAnsi" w:hAnsi="Arial" w:cs="Arial"/>
          <w:spacing w:val="0"/>
          <w:kern w:val="2"/>
          <w:sz w:val="22"/>
          <w:szCs w:val="22"/>
          <w14:ligatures w14:val="standardContextual"/>
        </w:rPr>
      </w:pPr>
      <w:r w:rsidRPr="00D800F0">
        <w:rPr>
          <w:rFonts w:ascii="Arial" w:hAnsi="Arial" w:cs="Arial"/>
        </w:rPr>
        <w:t>Conclusions on validating sensitivities</w:t>
      </w:r>
    </w:p>
    <w:p w14:paraId="7B0C2A61" w14:textId="77777777" w:rsidR="00DA7E40" w:rsidRPr="00D800F0" w:rsidRDefault="00DA7E40" w:rsidP="00DA7E40">
      <w:pPr>
        <w:rPr>
          <w:rFonts w:ascii="Arial" w:hAnsi="Arial" w:cs="Arial"/>
        </w:rPr>
      </w:pPr>
      <w:r w:rsidRPr="00D800F0">
        <w:rPr>
          <w:rFonts w:ascii="Arial" w:hAnsi="Arial" w:cs="Arial"/>
        </w:rPr>
        <w:t xml:space="preserve">We find sensical changes in the NPV when varying the inputs. First, cost side variables drive the prices down and revenue side variables drive prices up. Second, in areas related to asymmetric resource demand across technologies (i.e., electricity demand), we see unequal changes in the NPV per unit input. On the revenue side, we find the expected hedging that AP SMR and AP CCS have against ammonia and natural gas price movements. In cases where the carbon intensities are high, we see a decreased sensitivity in policy support – which is also expected. With these results we find confidence in the formulation of the model. </w:t>
      </w:r>
    </w:p>
    <w:p w14:paraId="1CC2BE8E" w14:textId="77777777" w:rsidR="00DA7E40" w:rsidRPr="00D800F0" w:rsidRDefault="00DA7E40" w:rsidP="00DA7E40">
      <w:pPr>
        <w:rPr>
          <w:rFonts w:ascii="Arial" w:hAnsi="Arial" w:cs="Arial"/>
        </w:rPr>
      </w:pPr>
      <w:r w:rsidRPr="00D800F0">
        <w:rPr>
          <w:rFonts w:ascii="Arial" w:hAnsi="Arial" w:cs="Arial"/>
        </w:rPr>
        <w:br w:type="page"/>
      </w:r>
    </w:p>
    <w:p w14:paraId="7615160A" w14:textId="77777777" w:rsidR="00DA7E40" w:rsidRPr="00D800F0" w:rsidRDefault="00DA7E40" w:rsidP="00DA7E40">
      <w:pPr>
        <w:rPr>
          <w:rFonts w:ascii="Arial" w:hAnsi="Arial" w:cs="Arial"/>
        </w:rPr>
      </w:pPr>
    </w:p>
    <w:p w14:paraId="21FB7046" w14:textId="77777777" w:rsidR="00DA7E40" w:rsidRPr="00D800F0" w:rsidRDefault="00DA7E40" w:rsidP="00AC7231">
      <w:pPr>
        <w:pStyle w:val="Heading2"/>
        <w:rPr>
          <w:rFonts w:ascii="Arial" w:hAnsi="Arial" w:cs="Arial"/>
        </w:rPr>
      </w:pPr>
      <w:bookmarkStart w:id="109" w:name="_Toc148296650"/>
      <w:r w:rsidRPr="00D800F0">
        <w:rPr>
          <w:rFonts w:ascii="Arial" w:hAnsi="Arial" w:cs="Arial"/>
        </w:rPr>
        <w:t>Additional Results</w:t>
      </w:r>
      <w:bookmarkEnd w:id="109"/>
    </w:p>
    <w:p w14:paraId="460F03F9" w14:textId="77777777" w:rsidR="00DA7E40" w:rsidRPr="00D800F0" w:rsidRDefault="00DA7E40" w:rsidP="00DA7E40">
      <w:pPr>
        <w:jc w:val="center"/>
        <w:rPr>
          <w:rFonts w:ascii="Arial" w:hAnsi="Arial" w:cs="Arial"/>
          <w:lang w:eastAsia="en-GB"/>
        </w:rPr>
      </w:pPr>
      <w:r w:rsidRPr="00D800F0">
        <w:rPr>
          <w:rFonts w:ascii="Arial" w:hAnsi="Arial" w:cs="Arial"/>
          <w:noProof/>
        </w:rPr>
        <w:drawing>
          <wp:inline distT="0" distB="0" distL="0" distR="0" wp14:anchorId="62A1B55D" wp14:editId="70B78D05">
            <wp:extent cx="5812403" cy="4585227"/>
            <wp:effectExtent l="0" t="0" r="0" b="6350"/>
            <wp:docPr id="1026240543" name="Picture 3" descr="A group of blue and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240543" name="Picture 3" descr="A group of blue and black text boxes&#10;&#10;Description automatically generated with medium confidenc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288" t="7323" r="8223" b="6841"/>
                    <a:stretch/>
                  </pic:blipFill>
                  <pic:spPr bwMode="auto">
                    <a:xfrm>
                      <a:off x="0" y="0"/>
                      <a:ext cx="5821752" cy="4592602"/>
                    </a:xfrm>
                    <a:prstGeom prst="rect">
                      <a:avLst/>
                    </a:prstGeom>
                    <a:noFill/>
                    <a:ln>
                      <a:noFill/>
                    </a:ln>
                    <a:extLst>
                      <a:ext uri="{53640926-AAD7-44D8-BBD7-CCE9431645EC}">
                        <a14:shadowObscured xmlns:a14="http://schemas.microsoft.com/office/drawing/2010/main"/>
                      </a:ext>
                    </a:extLst>
                  </pic:spPr>
                </pic:pic>
              </a:graphicData>
            </a:graphic>
          </wp:inline>
        </w:drawing>
      </w:r>
      <w:r w:rsidRPr="00D800F0">
        <w:rPr>
          <w:rFonts w:ascii="Arial" w:hAnsi="Arial" w:cs="Arial"/>
        </w:rPr>
        <w:t xml:space="preserve">Figure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H</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Figure \* ARABIC \s 2 </w:instrText>
      </w:r>
      <w:r w:rsidRPr="00D800F0">
        <w:rPr>
          <w:rFonts w:ascii="Arial" w:hAnsi="Arial" w:cs="Arial"/>
        </w:rPr>
        <w:fldChar w:fldCharType="separate"/>
      </w:r>
      <w:r w:rsidRPr="00D800F0">
        <w:rPr>
          <w:rFonts w:ascii="Arial" w:hAnsi="Arial" w:cs="Arial"/>
          <w:noProof/>
        </w:rPr>
        <w:t>1</w:t>
      </w:r>
      <w:r w:rsidRPr="00D800F0">
        <w:rPr>
          <w:rFonts w:ascii="Arial" w:hAnsi="Arial" w:cs="Arial"/>
          <w:noProof/>
        </w:rPr>
        <w:fldChar w:fldCharType="end"/>
      </w:r>
      <w:r w:rsidRPr="00D800F0">
        <w:rPr>
          <w:rFonts w:ascii="Arial" w:hAnsi="Arial" w:cs="Arial"/>
        </w:rPr>
        <w:t>: Hourly matched total policy support in $/Kg H2. Notice scenario B charts have a y axis three times larger than scenarios A and B.</w:t>
      </w:r>
    </w:p>
    <w:p w14:paraId="4918396E" w14:textId="77777777" w:rsidR="00DA7E40" w:rsidRPr="00D800F0" w:rsidRDefault="00DA7E40" w:rsidP="00DA7E40">
      <w:pPr>
        <w:keepNext/>
        <w:rPr>
          <w:rFonts w:ascii="Arial" w:hAnsi="Arial" w:cs="Arial"/>
        </w:rPr>
      </w:pPr>
      <w:r w:rsidRPr="00D800F0">
        <w:rPr>
          <w:rFonts w:ascii="Arial" w:hAnsi="Arial" w:cs="Arial"/>
          <w:noProof/>
        </w:rPr>
        <w:lastRenderedPageBreak/>
        <w:drawing>
          <wp:inline distT="0" distB="0" distL="0" distR="0" wp14:anchorId="4CA9E9A8" wp14:editId="2D75C127">
            <wp:extent cx="5057030" cy="4031311"/>
            <wp:effectExtent l="0" t="0" r="0" b="7620"/>
            <wp:docPr id="1787280970"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80970" name="Picture 4" descr="A screenshot of a graph&#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822" t="7832" r="8090" b="5836"/>
                    <a:stretch/>
                  </pic:blipFill>
                  <pic:spPr bwMode="auto">
                    <a:xfrm>
                      <a:off x="0" y="0"/>
                      <a:ext cx="5057256" cy="4031492"/>
                    </a:xfrm>
                    <a:prstGeom prst="rect">
                      <a:avLst/>
                    </a:prstGeom>
                    <a:noFill/>
                    <a:ln>
                      <a:noFill/>
                    </a:ln>
                    <a:extLst>
                      <a:ext uri="{53640926-AAD7-44D8-BBD7-CCE9431645EC}">
                        <a14:shadowObscured xmlns:a14="http://schemas.microsoft.com/office/drawing/2010/main"/>
                      </a:ext>
                    </a:extLst>
                  </pic:spPr>
                </pic:pic>
              </a:graphicData>
            </a:graphic>
          </wp:inline>
        </w:drawing>
      </w:r>
    </w:p>
    <w:p w14:paraId="415FFFDC" w14:textId="77777777" w:rsidR="00DA7E40" w:rsidRPr="00D800F0" w:rsidRDefault="00DA7E40" w:rsidP="00DA7E40">
      <w:pPr>
        <w:pStyle w:val="Caption"/>
        <w:rPr>
          <w:rFonts w:ascii="Arial" w:hAnsi="Arial" w:cs="Arial"/>
        </w:rPr>
      </w:pPr>
      <w:r w:rsidRPr="00D800F0">
        <w:rPr>
          <w:rFonts w:ascii="Arial" w:hAnsi="Arial" w:cs="Arial"/>
        </w:rPr>
        <w:t xml:space="preserve">Figure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H</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Figure \* ARABIC \s 2 </w:instrText>
      </w:r>
      <w:r w:rsidRPr="00D800F0">
        <w:rPr>
          <w:rFonts w:ascii="Arial" w:hAnsi="Arial" w:cs="Arial"/>
        </w:rPr>
        <w:fldChar w:fldCharType="separate"/>
      </w:r>
      <w:r w:rsidRPr="00D800F0">
        <w:rPr>
          <w:rFonts w:ascii="Arial" w:hAnsi="Arial" w:cs="Arial"/>
          <w:noProof/>
        </w:rPr>
        <w:t>2</w:t>
      </w:r>
      <w:r w:rsidRPr="00D800F0">
        <w:rPr>
          <w:rFonts w:ascii="Arial" w:hAnsi="Arial" w:cs="Arial"/>
          <w:noProof/>
        </w:rPr>
        <w:fldChar w:fldCharType="end"/>
      </w:r>
      <w:r w:rsidRPr="00D800F0">
        <w:rPr>
          <w:rFonts w:ascii="Arial" w:hAnsi="Arial" w:cs="Arial"/>
        </w:rPr>
        <w:t>: Yearly matched total policy support in $/Kg H2.</w:t>
      </w:r>
    </w:p>
    <w:p w14:paraId="1AE77F07" w14:textId="77777777" w:rsidR="00DA7E40" w:rsidRPr="00D800F0" w:rsidRDefault="00DA7E40" w:rsidP="00DA7E40">
      <w:pPr>
        <w:rPr>
          <w:rFonts w:ascii="Arial" w:hAnsi="Arial" w:cs="Arial"/>
        </w:rPr>
      </w:pPr>
    </w:p>
    <w:p w14:paraId="3E00FCCB" w14:textId="77777777" w:rsidR="00DA7E40" w:rsidRPr="00D800F0" w:rsidRDefault="00DA7E40" w:rsidP="00DA7E40">
      <w:pPr>
        <w:keepNext/>
        <w:rPr>
          <w:rFonts w:ascii="Arial" w:hAnsi="Arial" w:cs="Arial"/>
        </w:rPr>
      </w:pPr>
      <w:r w:rsidRPr="00D800F0">
        <w:rPr>
          <w:rFonts w:ascii="Arial" w:hAnsi="Arial" w:cs="Arial"/>
          <w:noProof/>
        </w:rPr>
        <w:lastRenderedPageBreak/>
        <w:drawing>
          <wp:inline distT="0" distB="0" distL="0" distR="0" wp14:anchorId="197FB6F5" wp14:editId="539A9AE9">
            <wp:extent cx="5943600" cy="4457700"/>
            <wp:effectExtent l="0" t="0" r="0" b="0"/>
            <wp:docPr id="1097606987" name="Picture 1" descr="A graph showing the average electricity price over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06987" name="Picture 1" descr="A graph showing the average electricity price over time&#10;&#10;Description automatically generated"/>
                    <pic:cNvPicPr/>
                  </pic:nvPicPr>
                  <pic:blipFill>
                    <a:blip r:embed="rId17"/>
                    <a:stretch>
                      <a:fillRect/>
                    </a:stretch>
                  </pic:blipFill>
                  <pic:spPr>
                    <a:xfrm>
                      <a:off x="0" y="0"/>
                      <a:ext cx="5943600" cy="4457700"/>
                    </a:xfrm>
                    <a:prstGeom prst="rect">
                      <a:avLst/>
                    </a:prstGeom>
                  </pic:spPr>
                </pic:pic>
              </a:graphicData>
            </a:graphic>
          </wp:inline>
        </w:drawing>
      </w:r>
    </w:p>
    <w:p w14:paraId="46EEDC00" w14:textId="77777777" w:rsidR="00DA7E40" w:rsidRPr="00D800F0" w:rsidRDefault="00DA7E40" w:rsidP="00DA7E40">
      <w:pPr>
        <w:pStyle w:val="Caption"/>
        <w:rPr>
          <w:rFonts w:ascii="Arial" w:hAnsi="Arial" w:cs="Arial"/>
        </w:rPr>
      </w:pPr>
      <w:r w:rsidRPr="00D800F0">
        <w:rPr>
          <w:rFonts w:ascii="Arial" w:hAnsi="Arial" w:cs="Arial"/>
        </w:rPr>
        <w:t xml:space="preserve">Figure </w:t>
      </w:r>
      <w:r w:rsidRPr="00D800F0">
        <w:rPr>
          <w:rFonts w:ascii="Arial" w:hAnsi="Arial" w:cs="Arial"/>
        </w:rPr>
        <w:fldChar w:fldCharType="begin"/>
      </w:r>
      <w:r w:rsidRPr="00D800F0">
        <w:rPr>
          <w:rFonts w:ascii="Arial" w:hAnsi="Arial" w:cs="Arial"/>
        </w:rPr>
        <w:instrText xml:space="preserve"> STYLEREF 2 \s </w:instrText>
      </w:r>
      <w:r w:rsidRPr="00D800F0">
        <w:rPr>
          <w:rFonts w:ascii="Arial" w:hAnsi="Arial" w:cs="Arial"/>
        </w:rPr>
        <w:fldChar w:fldCharType="separate"/>
      </w:r>
      <w:r w:rsidRPr="00D800F0">
        <w:rPr>
          <w:rFonts w:ascii="Arial" w:hAnsi="Arial" w:cs="Arial"/>
          <w:noProof/>
        </w:rPr>
        <w:t>H</w:t>
      </w:r>
      <w:r w:rsidRPr="00D800F0">
        <w:rPr>
          <w:rFonts w:ascii="Arial" w:hAnsi="Arial" w:cs="Arial"/>
          <w:noProof/>
        </w:rPr>
        <w:fldChar w:fldCharType="end"/>
      </w:r>
      <w:r w:rsidRPr="00D800F0">
        <w:rPr>
          <w:rFonts w:ascii="Arial" w:hAnsi="Arial" w:cs="Arial"/>
        </w:rPr>
        <w:noBreakHyphen/>
      </w:r>
      <w:r w:rsidRPr="00D800F0">
        <w:rPr>
          <w:rFonts w:ascii="Arial" w:hAnsi="Arial" w:cs="Arial"/>
        </w:rPr>
        <w:fldChar w:fldCharType="begin"/>
      </w:r>
      <w:r w:rsidRPr="00D800F0">
        <w:rPr>
          <w:rFonts w:ascii="Arial" w:hAnsi="Arial" w:cs="Arial"/>
        </w:rPr>
        <w:instrText xml:space="preserve"> SEQ Figure \* ARABIC \s 2 </w:instrText>
      </w:r>
      <w:r w:rsidRPr="00D800F0">
        <w:rPr>
          <w:rFonts w:ascii="Arial" w:hAnsi="Arial" w:cs="Arial"/>
        </w:rPr>
        <w:fldChar w:fldCharType="separate"/>
      </w:r>
      <w:r w:rsidRPr="00D800F0">
        <w:rPr>
          <w:rFonts w:ascii="Arial" w:hAnsi="Arial" w:cs="Arial"/>
          <w:noProof/>
        </w:rPr>
        <w:t>3</w:t>
      </w:r>
      <w:r w:rsidRPr="00D800F0">
        <w:rPr>
          <w:rFonts w:ascii="Arial" w:hAnsi="Arial" w:cs="Arial"/>
          <w:noProof/>
        </w:rPr>
        <w:fldChar w:fldCharType="end"/>
      </w:r>
      <w:r w:rsidRPr="00D800F0">
        <w:rPr>
          <w:rFonts w:ascii="Arial" w:hAnsi="Arial" w:cs="Arial"/>
        </w:rPr>
        <w:t xml:space="preserve">: Mean electricity price over time. The GBM model collapses to a linear model across 4000 simulations. </w:t>
      </w:r>
    </w:p>
    <w:p w14:paraId="547AC730" w14:textId="77777777" w:rsidR="00DA7E40" w:rsidRPr="00D800F0" w:rsidRDefault="00DA7E40" w:rsidP="00DA7E40">
      <w:pPr>
        <w:rPr>
          <w:rFonts w:ascii="Arial" w:hAnsi="Arial" w:cs="Arial"/>
          <w:b/>
          <w:spacing w:val="-10"/>
          <w:kern w:val="28"/>
          <w:sz w:val="24"/>
          <w:szCs w:val="24"/>
          <w:lang w:eastAsia="en-GB"/>
        </w:rPr>
      </w:pPr>
      <w:r w:rsidRPr="00D800F0">
        <w:rPr>
          <w:rFonts w:ascii="Arial" w:hAnsi="Arial" w:cs="Arial"/>
        </w:rPr>
        <w:br w:type="page"/>
      </w:r>
    </w:p>
    <w:p w14:paraId="05385874" w14:textId="77777777" w:rsidR="00DA7E40" w:rsidRPr="00D800F0" w:rsidRDefault="00DA7E40" w:rsidP="00AC7231">
      <w:pPr>
        <w:pStyle w:val="Heading2"/>
        <w:rPr>
          <w:rFonts w:ascii="Arial" w:hAnsi="Arial" w:cs="Arial"/>
        </w:rPr>
      </w:pPr>
      <w:bookmarkStart w:id="110" w:name="_Toc148296651"/>
      <w:r w:rsidRPr="00D800F0">
        <w:rPr>
          <w:rFonts w:ascii="Arial" w:hAnsi="Arial" w:cs="Arial"/>
        </w:rPr>
        <w:lastRenderedPageBreak/>
        <w:t>Detailed Analysis of Main Results</w:t>
      </w:r>
      <w:bookmarkEnd w:id="110"/>
    </w:p>
    <w:p w14:paraId="4D173E26" w14:textId="6F55B3AD" w:rsidR="00EE3C1F" w:rsidRPr="00D800F0" w:rsidRDefault="00EE3C1F" w:rsidP="00EE3C1F">
      <w:pPr>
        <w:rPr>
          <w:rFonts w:ascii="Arial" w:hAnsi="Arial" w:cs="Arial"/>
        </w:rPr>
      </w:pPr>
      <w:r w:rsidRPr="00D800F0">
        <w:rPr>
          <w:rFonts w:ascii="Arial" w:hAnsi="Arial" w:cs="Arial"/>
        </w:rPr>
        <w:t>This section discusses the near-term (2026) potential deployment of LCAP under the IRA framework. Then, we discuss results for the medium term (2033), focusing also on the cost reduction potential of low-carbon technologies a</w:t>
      </w:r>
      <w:r w:rsidRPr="00D800F0">
        <w:rPr>
          <w:rFonts w:ascii="Arial" w:hAnsi="Arial" w:cs="Arial"/>
          <w:noProof/>
        </w:rPr>
        <w:t>nd</w:t>
      </w:r>
      <w:r w:rsidRPr="00D800F0">
        <w:rPr>
          <w:rFonts w:ascii="Arial" w:hAnsi="Arial" w:cs="Arial"/>
        </w:rPr>
        <w:t xml:space="preserve"> what this means for investments in AP under the IRA. It then discusses the carbon abatement cost (CAC) for the LCAP technologies, comparing it with the social cost of carbon (EPA, 2022) and selected carbon prices under other policy regimes. Furthermore, we discuss the shortcomings of the levelized cost approach compared to our NPV approach under the IRA framework. We include the NPV impacts of CBAM on all AP pathways as a case study. Finally, we discuss the implications of optimally sizing the hybrid wind farm</w:t>
      </w:r>
      <w:r w:rsidRPr="00D800F0" w:rsidDel="00DC6B55">
        <w:rPr>
          <w:rFonts w:ascii="Arial" w:hAnsi="Arial" w:cs="Arial"/>
        </w:rPr>
        <w:t xml:space="preserve"> </w:t>
      </w:r>
      <w:r w:rsidRPr="00D800F0">
        <w:rPr>
          <w:rFonts w:ascii="Arial" w:hAnsi="Arial" w:cs="Arial"/>
        </w:rPr>
        <w:t xml:space="preserve">under yearly, monthly, and hourly renewable electricity and hydrogen production matching rules. All of the supporting data for this analysis can be found in the Excel file named </w:t>
      </w:r>
      <w:r w:rsidRPr="00D800F0">
        <w:rPr>
          <w:rFonts w:ascii="Arial" w:hAnsi="Arial" w:cs="Arial"/>
          <w:b/>
          <w:bCs/>
          <w:i/>
          <w:iCs/>
        </w:rPr>
        <w:t>AP_NE_Statistics.xlsx</w:t>
      </w:r>
      <w:r w:rsidRPr="00D800F0">
        <w:rPr>
          <w:rFonts w:ascii="Arial" w:hAnsi="Arial" w:cs="Arial"/>
        </w:rPr>
        <w:t>.</w:t>
      </w:r>
    </w:p>
    <w:p w14:paraId="71A2117A" w14:textId="77777777" w:rsidR="00EE3C1F" w:rsidRPr="00D800F0" w:rsidRDefault="00EE3C1F" w:rsidP="00EE3C1F">
      <w:pPr>
        <w:pStyle w:val="Heading3"/>
        <w:rPr>
          <w:rFonts w:ascii="Arial" w:hAnsi="Arial" w:cs="Arial"/>
        </w:rPr>
      </w:pPr>
      <w:bookmarkStart w:id="111" w:name="_Toc148296652"/>
      <w:r w:rsidRPr="00D800F0">
        <w:rPr>
          <w:rFonts w:ascii="Arial" w:hAnsi="Arial" w:cs="Arial"/>
        </w:rPr>
        <w:t>Near-term deployment of low-carbon ammonia</w:t>
      </w:r>
      <w:bookmarkEnd w:id="111"/>
    </w:p>
    <w:p w14:paraId="3D11A8F5" w14:textId="308B8B3C" w:rsidR="00EE3C1F" w:rsidRPr="00D800F0" w:rsidRDefault="00EE3C1F" w:rsidP="00EE3C1F">
      <w:pPr>
        <w:rPr>
          <w:rFonts w:ascii="Arial" w:hAnsi="Arial" w:cs="Arial"/>
          <w:lang w:eastAsia="en-GB"/>
        </w:rPr>
      </w:pPr>
      <w:r w:rsidRPr="00D800F0">
        <w:rPr>
          <w:rFonts w:ascii="Arial" w:hAnsi="Arial" w:cs="Arial"/>
          <w:lang w:eastAsia="en-GB"/>
        </w:rPr>
        <w:t xml:space="preserve">We systematically compare AP SMR, AP CCS, AP BH2S, and AP AEC technologies in various scenarios we consider.  In this section, we refer to the sheets named </w:t>
      </w:r>
      <w:r w:rsidRPr="00D800F0">
        <w:rPr>
          <w:rFonts w:ascii="Arial" w:hAnsi="Arial" w:cs="Arial"/>
          <w:b/>
          <w:bCs/>
          <w:i/>
          <w:iCs/>
          <w:lang w:eastAsia="en-GB"/>
        </w:rPr>
        <w:t>IRA_NPV, NO_IRA_NPV</w:t>
      </w:r>
      <w:r w:rsidRPr="00D800F0">
        <w:rPr>
          <w:rFonts w:ascii="Arial" w:hAnsi="Arial" w:cs="Arial"/>
          <w:lang w:eastAsia="en-GB"/>
        </w:rPr>
        <w:t xml:space="preserve">, and </w:t>
      </w:r>
      <w:r w:rsidRPr="00D800F0">
        <w:rPr>
          <w:rFonts w:ascii="Arial" w:hAnsi="Arial" w:cs="Arial"/>
          <w:b/>
          <w:bCs/>
          <w:i/>
          <w:iCs/>
          <w:lang w:eastAsia="en-GB"/>
        </w:rPr>
        <w:t>CI_[technology]</w:t>
      </w:r>
      <w:r w:rsidRPr="00D800F0">
        <w:rPr>
          <w:rFonts w:ascii="Arial" w:hAnsi="Arial" w:cs="Arial"/>
          <w:lang w:eastAsia="en-GB"/>
        </w:rPr>
        <w:t>.</w:t>
      </w:r>
    </w:p>
    <w:p w14:paraId="185746C3" w14:textId="77777777" w:rsidR="00EE3C1F" w:rsidRPr="00D800F0" w:rsidRDefault="00EE3C1F" w:rsidP="00EE3C1F">
      <w:pPr>
        <w:pStyle w:val="Heading4"/>
        <w:rPr>
          <w:rFonts w:ascii="Arial" w:hAnsi="Arial" w:cs="Arial"/>
        </w:rPr>
      </w:pPr>
      <w:r w:rsidRPr="00D800F0">
        <w:rPr>
          <w:rFonts w:ascii="Arial" w:hAnsi="Arial" w:cs="Arial"/>
        </w:rPr>
        <w:t>Connecting to the US power grid</w:t>
      </w:r>
    </w:p>
    <w:p w14:paraId="6BA866BE" w14:textId="3219B889" w:rsidR="00EE3C1F" w:rsidRPr="00D800F0" w:rsidRDefault="00EE3C1F" w:rsidP="00EE3C1F">
      <w:pPr>
        <w:rPr>
          <w:rFonts w:ascii="Arial" w:hAnsi="Arial" w:cs="Arial"/>
          <w:lang w:eastAsia="en-GB"/>
        </w:rPr>
      </w:pPr>
      <w:r w:rsidRPr="00D800F0">
        <w:rPr>
          <w:rFonts w:ascii="Arial" w:hAnsi="Arial" w:cs="Arial"/>
          <w:lang w:eastAsia="en-GB"/>
        </w:rPr>
        <w:t>AP SMR outperforms all low-carbon alternatives in scenario 2026A. AP SMR only requires 64 MWe to operate, while AP CCS, AP BH2S, and AP AEC require 117 MWe, 127 MWe, and 910-1010 MWe, respectively</w:t>
      </w:r>
      <w:r w:rsidR="004059AC" w:rsidRPr="00D800F0">
        <w:rPr>
          <w:rStyle w:val="FootnoteReference"/>
          <w:rFonts w:ascii="Arial" w:hAnsi="Arial" w:cs="Arial"/>
          <w:lang w:eastAsia="en-GB"/>
        </w:rPr>
        <w:footnoteReference w:id="11"/>
      </w:r>
      <w:r w:rsidRPr="00D800F0">
        <w:rPr>
          <w:rFonts w:ascii="Arial" w:hAnsi="Arial" w:cs="Arial"/>
          <w:lang w:eastAsia="en-GB"/>
        </w:rPr>
        <w:t xml:space="preserve">. For SMR, CCS, and BH2S, the electrical energy demand is almost an order of magnitude smaller than AP AEC because the high energy density (fossil or bioenergy) feedstock makes up for the difference. AP AEC utilizes water as feedstock, so all energy originates from electricity. </w:t>
      </w:r>
    </w:p>
    <w:p w14:paraId="367A6EA6" w14:textId="7D624CA4" w:rsidR="00EE3C1F" w:rsidRPr="00D800F0" w:rsidRDefault="00EE3C1F" w:rsidP="00EE3C1F">
      <w:pPr>
        <w:rPr>
          <w:rFonts w:ascii="Arial" w:hAnsi="Arial" w:cs="Arial"/>
          <w:lang w:eastAsia="en-GB"/>
        </w:rPr>
      </w:pPr>
      <w:r w:rsidRPr="00D800F0">
        <w:rPr>
          <w:rFonts w:ascii="Arial" w:hAnsi="Arial" w:cs="Arial"/>
          <w:lang w:eastAsia="en-GB"/>
        </w:rPr>
        <w:tab/>
        <w:t xml:space="preserve">Furthermore, AP SMR is hedged against the NH3 market price fluctuations because of the high correlation with the input cost (natural gas prices). In this regard, AP CCS is also hedged. However, AP CCS underperforms compared to AP SMR as AP CCS exchanges the electric penalty (53 MWe) for environmental performance gains (AP SMR has an average CI of 8.9 Kg CO2 / Kg H2 versus AP CCS’ 1.45 Kg CO2 / Kg H2) </w:t>
      </w:r>
      <w:r w:rsidR="004059AC" w:rsidRPr="00D800F0">
        <w:rPr>
          <w:rStyle w:val="FootnoteReference"/>
          <w:rFonts w:ascii="Arial" w:hAnsi="Arial" w:cs="Arial"/>
          <w:lang w:eastAsia="en-GB"/>
        </w:rPr>
        <w:footnoteReference w:id="12"/>
      </w:r>
      <w:r w:rsidRPr="00D800F0">
        <w:rPr>
          <w:rFonts w:ascii="Arial" w:hAnsi="Arial" w:cs="Arial"/>
          <w:lang w:eastAsia="en-GB"/>
        </w:rPr>
        <w:t>. Furthermore, the CCS module has a significant CAPEX (52% of the SMR CAPEX). Under the IRA, the additional electricity demand of AP CCS in scenario A increases emissions and prevents maximal IRA support. Hence, the environmental performance gains of AP CCS are not optimally attained in scenario A with 45V or 45Q programs (showing a difference in the NPV of 21 $/MT NH3 between no policy and IRA scenarios). The policy support is insufficient to displace the relative costs associated with CCS (-34 $/MT NH3 difference between AP SMR and AP CCS median performance in the no policy scenario).</w:t>
      </w:r>
    </w:p>
    <w:p w14:paraId="11F3B83D" w14:textId="77777777" w:rsidR="00EE3C1F" w:rsidRPr="00D800F0" w:rsidRDefault="00EE3C1F" w:rsidP="00EE3C1F">
      <w:pPr>
        <w:rPr>
          <w:rFonts w:ascii="Arial" w:hAnsi="Arial" w:cs="Arial"/>
          <w:lang w:eastAsia="en-GB"/>
        </w:rPr>
      </w:pPr>
      <w:r w:rsidRPr="00D800F0">
        <w:rPr>
          <w:rFonts w:ascii="Arial" w:hAnsi="Arial" w:cs="Arial"/>
          <w:lang w:eastAsia="en-GB"/>
        </w:rPr>
        <w:tab/>
        <w:t xml:space="preserve">AP SMR also outperforms AP BH2S as the additional feedstock costs ($125MM/yr versus $169MM/yr) and electricity costs ($25MM/yr versus $50MM/yr) cause a median no policy cost difference of -29 $/MT NH3 and are not displaced by the 10-year policy support (17 $/MT NH3). Furthermore, AP BH2S has a higher CAPEX (24% of the AP SMR CAPEX) than AP SMR. The lackluster policy support for BH2S is due to the high grid CI (1.8 – 3.0 Kg CO2/Kg </w:t>
      </w:r>
      <w:r w:rsidRPr="00D800F0">
        <w:rPr>
          <w:rFonts w:ascii="Arial" w:hAnsi="Arial" w:cs="Arial"/>
          <w:lang w:eastAsia="en-GB"/>
        </w:rPr>
        <w:lastRenderedPageBreak/>
        <w:t>H2), which only qualifies it for $0.75-0.6/Kg H2 of 45V policy support. Even though natural gas (and NH3) prices are at an all-time high as a repercussion of the energy crisis brought by the Russia-Ukraine war, AP BH2S is not likely to outperform AP SMR under this grid connection scenario in the near term. The relatively large uncertainty bars around AP BH2S (-83 to 156 $/MT NH3 versus -67 to 137 $/MT NH3 for AP SMR) result from uncorrelated feedstock and NH3 markets.</w:t>
      </w:r>
    </w:p>
    <w:p w14:paraId="4DEFBF25" w14:textId="77777777" w:rsidR="00EE3C1F" w:rsidRPr="00D800F0" w:rsidRDefault="00EE3C1F" w:rsidP="00EE3C1F">
      <w:pPr>
        <w:rPr>
          <w:rFonts w:ascii="Arial" w:hAnsi="Arial" w:cs="Arial"/>
          <w:lang w:eastAsia="en-GB"/>
        </w:rPr>
      </w:pPr>
      <w:r w:rsidRPr="00D800F0">
        <w:rPr>
          <w:rFonts w:ascii="Arial" w:hAnsi="Arial" w:cs="Arial"/>
          <w:lang w:eastAsia="en-GB"/>
        </w:rPr>
        <w:tab/>
        <w:t>Finally, AP SMR outperforms AP AEC by such a large margin that even the 75th percentile performance of AP AEC does not outperform the 25th percentile AP SMR. The AP AEC electricity costs are sixteen times higher ($398MM/yr) than the AP SMR ($25MM/yr). Furthermore, AP AEC does not qualify for any policy support because its CI is twice AP SMR’s at 17-31 Kg CO2 / Kg H2 – values in the range Ricks et al. (2023) also derived. Even considering the potential boost to the grid decarbonization envisaged in the IRA, the US electric grid is too carbon intensive, making AP AEC ineligible for any subsidies.</w:t>
      </w:r>
    </w:p>
    <w:p w14:paraId="5C97ABE1" w14:textId="0184D71F" w:rsidR="00EE3C1F" w:rsidRPr="00D800F0" w:rsidRDefault="00EE3C1F" w:rsidP="00EE3C1F">
      <w:pPr>
        <w:rPr>
          <w:rFonts w:ascii="Arial" w:hAnsi="Arial" w:cs="Arial"/>
          <w:lang w:eastAsia="en-GB"/>
        </w:rPr>
      </w:pPr>
      <w:r w:rsidRPr="00D800F0">
        <w:rPr>
          <w:rFonts w:ascii="Arial" w:hAnsi="Arial" w:cs="Arial"/>
          <w:lang w:eastAsia="en-GB"/>
        </w:rPr>
        <w:tab/>
        <w:t>In conclusion, the LCAP support provided by IRA programs is insufficient relative to the additional costs of improving the environmental performance of AP through CCS, BH2S, or AEC technologies. Furthermore, the grid under the IRA is decarbonizing too slowly to enable low-carbon technologies to compete with AP SMR. CCS incurs too much electricity costs, and the 45Q/45V policy support is insufficient to displace the additional cost. BH2S suffers from the same weakness. AP AEC is the worst performer as it has sixteen times the electricity cost of AP SMR, emits twice as much CO2  as AP SMR, and, for this reason, has no policy support.</w:t>
      </w:r>
    </w:p>
    <w:p w14:paraId="2ED263F7" w14:textId="77777777" w:rsidR="00EE3C1F" w:rsidRPr="00D800F0" w:rsidRDefault="00EE3C1F" w:rsidP="00EE3C1F">
      <w:pPr>
        <w:pStyle w:val="Heading4"/>
        <w:rPr>
          <w:rFonts w:ascii="Arial" w:hAnsi="Arial" w:cs="Arial"/>
        </w:rPr>
      </w:pPr>
      <w:r w:rsidRPr="00D800F0">
        <w:rPr>
          <w:rFonts w:ascii="Arial" w:hAnsi="Arial" w:cs="Arial"/>
        </w:rPr>
        <w:t>Connecting to a hybrid wind farm</w:t>
      </w:r>
    </w:p>
    <w:p w14:paraId="0825991D" w14:textId="77777777" w:rsidR="00EE3C1F" w:rsidRPr="00D800F0" w:rsidRDefault="00EE3C1F" w:rsidP="00EE3C1F">
      <w:pPr>
        <w:rPr>
          <w:rFonts w:ascii="Arial" w:hAnsi="Arial" w:cs="Arial"/>
          <w:lang w:eastAsia="en-GB"/>
        </w:rPr>
      </w:pPr>
      <w:r w:rsidRPr="00D800F0">
        <w:rPr>
          <w:rFonts w:ascii="Arial" w:hAnsi="Arial" w:cs="Arial"/>
          <w:lang w:eastAsia="en-GB"/>
        </w:rPr>
        <w:t>As mentioned earlier, scenarios B and C aggregately represent zero-carbon electricity generation alternatives to the grid connection in scenario A. However, separately, scenarios B and C serve as a comparative study to understand the impact of balancing the CAPEX-dominant AP business model (in the case of "Build and Own," scenario B) versus the OPEX-dominant model (under "Power Purchase Agreement," scenario C) under zero electric emissions.</w:t>
      </w:r>
    </w:p>
    <w:p w14:paraId="256F93AD" w14:textId="77777777" w:rsidR="00EE3C1F" w:rsidRPr="00D800F0" w:rsidRDefault="00EE3C1F" w:rsidP="00EE3C1F">
      <w:pPr>
        <w:rPr>
          <w:rFonts w:ascii="Arial" w:hAnsi="Arial" w:cs="Arial"/>
          <w:lang w:eastAsia="en-GB"/>
        </w:rPr>
      </w:pPr>
      <w:r w:rsidRPr="00D800F0">
        <w:rPr>
          <w:rFonts w:ascii="Arial" w:hAnsi="Arial" w:cs="Arial"/>
          <w:lang w:eastAsia="en-GB"/>
        </w:rPr>
        <w:tab/>
        <w:t>Investors in the Build-and-Own (B) scenario would expect the sum of the benefits from either 48E or 45Y credits in conjunction with selling surplus electricity to produce a net positive cash flow from the hybrid wind farm. The AP investors in the PPA (C) scenario would prefer to avoid the risk of investing capital (to own the hybrid wind farm) upfront and instead sign a long-term PPA and pay a fixed price equal to the LCOE needed to provide firm renewable power to their AP plant.</w:t>
      </w:r>
    </w:p>
    <w:p w14:paraId="448118C8" w14:textId="7CC483AA" w:rsidR="00EE3C1F" w:rsidRPr="00D800F0" w:rsidRDefault="00EE3C1F" w:rsidP="00EE3C1F">
      <w:pPr>
        <w:rPr>
          <w:rFonts w:ascii="Arial" w:hAnsi="Arial" w:cs="Arial"/>
          <w:lang w:eastAsia="en-GB"/>
        </w:rPr>
      </w:pPr>
      <w:r w:rsidRPr="00D800F0">
        <w:rPr>
          <w:rFonts w:ascii="Arial" w:hAnsi="Arial" w:cs="Arial"/>
          <w:lang w:eastAsia="en-GB"/>
        </w:rPr>
        <w:tab/>
        <w:t xml:space="preserve">Owing to the significant up-front costs associated with building electric generation in situ, scenario B severely underperforms compared to scenario C. The NPV difference across scenarios B and C for each technology is proportional to the electricity requirements. AP AEC’s high electricity demand incurs either (i) a disproportionately large generation facility, and hence CAPEX, relative to the other technologies (scenario B) or (ii) severe electricity costs (scenario C). Thus, AP AEC suffers the most loss from scenario C to B (-$437/tNH3). AP CCS and AP BH2S are more robust to the configuration of the electric supply from the hybrid wind farm at a -$/72tNH3 and -$63/tNH3 loss for both technologies, respectively, from scenarios C to B. The difference between B and C in NPV occurs because the discount rate in the NPV favors spread-out payments, like the PPA – which exposes the investor to less risk. The first 13 years' discounted cash flows comprise approximately 75% of the total NPV, so significant upfront </w:t>
      </w:r>
      <w:r w:rsidRPr="00D800F0">
        <w:rPr>
          <w:rFonts w:ascii="Arial" w:hAnsi="Arial" w:cs="Arial"/>
          <w:lang w:eastAsia="en-GB"/>
        </w:rPr>
        <w:lastRenderedPageBreak/>
        <w:t xml:space="preserve">capital investments will penalize the NPV. On the other hand, the PPA payments are spread out over a larger horizon of 40 years and hence cost less than the upfront CAPEX costs of scenario C </w:t>
      </w:r>
      <w:r w:rsidR="004059AC" w:rsidRPr="00D800F0">
        <w:rPr>
          <w:rStyle w:val="FootnoteReference"/>
          <w:rFonts w:ascii="Arial" w:hAnsi="Arial" w:cs="Arial"/>
          <w:lang w:eastAsia="en-GB"/>
        </w:rPr>
        <w:footnoteReference w:id="13"/>
      </w:r>
      <w:r w:rsidRPr="00D800F0">
        <w:rPr>
          <w:rFonts w:ascii="Arial" w:hAnsi="Arial" w:cs="Arial"/>
          <w:lang w:eastAsia="en-GB"/>
        </w:rPr>
        <w:t>.</w:t>
      </w:r>
    </w:p>
    <w:p w14:paraId="2DA17484" w14:textId="27A08EB1" w:rsidR="00EE3C1F" w:rsidRPr="00D800F0" w:rsidRDefault="00EE3C1F" w:rsidP="00EE3C1F">
      <w:pPr>
        <w:rPr>
          <w:rFonts w:ascii="Arial" w:hAnsi="Arial" w:cs="Arial"/>
          <w:lang w:eastAsia="en-GB"/>
        </w:rPr>
      </w:pPr>
      <w:r w:rsidRPr="00D800F0">
        <w:rPr>
          <w:rFonts w:ascii="Arial" w:hAnsi="Arial" w:cs="Arial"/>
          <w:lang w:eastAsia="en-GB"/>
        </w:rPr>
        <w:tab/>
        <w:t>Under a hybrid wind farm configuration, AP CCS and AP BH2S are competitive with AP SMR with a PPA business model. The median NPV of AP CCS and AP BH2S ($51/tNH3 and $52/tNH3) is just under the 75th percentile of AP SMR (60/tNH3).  Due to higher electricity requirements and cost, AP AEC fails to compete with the average AP SMR NPV ($31/tNH3) in both scenarios (-$438/tNH3 in scenario B and $0/tNH3 for scenario C).</w:t>
      </w:r>
    </w:p>
    <w:p w14:paraId="4C0FFE7A" w14:textId="77777777" w:rsidR="00EE3C1F" w:rsidRPr="00D800F0" w:rsidRDefault="00EE3C1F" w:rsidP="00EE3C1F">
      <w:pPr>
        <w:pStyle w:val="Heading4"/>
        <w:rPr>
          <w:rFonts w:ascii="Arial" w:hAnsi="Arial" w:cs="Arial"/>
        </w:rPr>
      </w:pPr>
      <w:r w:rsidRPr="00D800F0">
        <w:rPr>
          <w:rFonts w:ascii="Arial" w:hAnsi="Arial" w:cs="Arial"/>
        </w:rPr>
        <w:t>Should low-carbon APs connect to the grid or rely on a hybrid wind farm?</w:t>
      </w:r>
    </w:p>
    <w:p w14:paraId="1C826798" w14:textId="77777777" w:rsidR="00EE3C1F" w:rsidRPr="00D800F0" w:rsidRDefault="00EE3C1F" w:rsidP="00EE3C1F">
      <w:pPr>
        <w:rPr>
          <w:rFonts w:ascii="Arial" w:hAnsi="Arial" w:cs="Arial"/>
          <w:lang w:eastAsia="en-GB"/>
        </w:rPr>
      </w:pPr>
      <w:r w:rsidRPr="00D800F0">
        <w:rPr>
          <w:rFonts w:ascii="Arial" w:hAnsi="Arial" w:cs="Arial"/>
          <w:lang w:eastAsia="en-GB"/>
        </w:rPr>
        <w:t>The grid-based business model relies more on the status of the US power markets in terms of its carbon intensity and prices. In contrast, hybrid wind farm business models heavily depend on upfront capital investments in low-carbon generation or long-term contracting with a renewable developer. The central question is whether additional policy support from investing in ensuring zero-carbon electricity generation can enhance the competitiveness of low-carbon technologies. In other words, are investors incentivized to curb electric emissions for low-carbon AP, given the anticipated direction of the US power markets?</w:t>
      </w:r>
    </w:p>
    <w:p w14:paraId="7CAD960B" w14:textId="5AAB61DE" w:rsidR="00EE3C1F" w:rsidRPr="00D800F0" w:rsidRDefault="00EE3C1F" w:rsidP="00EE3C1F">
      <w:pPr>
        <w:rPr>
          <w:rFonts w:ascii="Arial" w:hAnsi="Arial" w:cs="Arial"/>
          <w:lang w:eastAsia="en-GB"/>
        </w:rPr>
      </w:pPr>
      <w:r w:rsidRPr="00D800F0">
        <w:rPr>
          <w:rFonts w:ascii="Arial" w:hAnsi="Arial" w:cs="Arial"/>
          <w:lang w:eastAsia="en-GB"/>
        </w:rPr>
        <w:tab/>
        <w:t>Comparing different technologies, AP CCS and AP BH2S demonstrate greater resilience against fluctuations in hybrid wind farm costs due to their significantly lower electric demand than AP AEC. Consequently, AP CCS and BH2S exhibit a more diversified risk profile. Both AP CCS and BH2S are influenced by natural gas, bioenergy feedstock, and electric prices. In contrast, AP AEC's diversity is lower, as its feedstock (excluding water) is also the electricity source. Thus, if hybrid wind facilities prove excessively costly, AP AEC faces a significant risk of loss. In contrast, AP BH2S and AP CCS would experience a less pronounced impact (see scenario 2026B in</w:t>
      </w:r>
      <w:r w:rsidR="007256C3" w:rsidRPr="00D800F0">
        <w:rPr>
          <w:rFonts w:ascii="Arial" w:hAnsi="Arial" w:cs="Arial"/>
          <w:lang w:eastAsia="en-GB"/>
        </w:rPr>
        <w:t xml:space="preserve"> </w:t>
      </w:r>
      <w:r w:rsidRPr="00D800F0">
        <w:rPr>
          <w:rFonts w:ascii="Arial" w:hAnsi="Arial" w:cs="Arial"/>
          <w:b/>
          <w:bCs/>
          <w:i/>
          <w:iCs/>
          <w:lang w:eastAsia="en-GB"/>
        </w:rPr>
        <w:t>C</w:t>
      </w:r>
      <w:r w:rsidR="004059AC" w:rsidRPr="00D800F0">
        <w:rPr>
          <w:rFonts w:ascii="Arial" w:hAnsi="Arial" w:cs="Arial"/>
          <w:b/>
          <w:bCs/>
          <w:i/>
          <w:iCs/>
          <w:lang w:eastAsia="en-GB"/>
        </w:rPr>
        <w:t xml:space="preserve">I </w:t>
      </w:r>
      <w:r w:rsidR="004059AC" w:rsidRPr="00D800F0">
        <w:rPr>
          <w:rFonts w:ascii="Arial" w:hAnsi="Arial" w:cs="Arial"/>
          <w:lang w:eastAsia="en-GB"/>
        </w:rPr>
        <w:t>sheet</w:t>
      </w:r>
      <w:r w:rsidRPr="00D800F0">
        <w:rPr>
          <w:rFonts w:ascii="Arial" w:hAnsi="Arial" w:cs="Arial"/>
          <w:lang w:eastAsia="en-GB"/>
        </w:rPr>
        <w:t>).</w:t>
      </w:r>
    </w:p>
    <w:p w14:paraId="2079C0B2" w14:textId="7BD66E4B" w:rsidR="004059AC" w:rsidRPr="00D800F0" w:rsidRDefault="004059AC" w:rsidP="004059AC">
      <w:pPr>
        <w:rPr>
          <w:rFonts w:ascii="Arial" w:hAnsi="Arial" w:cs="Arial"/>
          <w:lang w:eastAsia="en-GB"/>
        </w:rPr>
      </w:pPr>
      <w:r w:rsidRPr="00D800F0">
        <w:rPr>
          <w:rFonts w:ascii="Arial" w:hAnsi="Arial" w:cs="Arial"/>
          <w:lang w:eastAsia="en-GB"/>
        </w:rPr>
        <w:tab/>
        <w:t xml:space="preserve">From sheets named </w:t>
      </w:r>
      <w:r w:rsidRPr="00D800F0">
        <w:rPr>
          <w:rFonts w:ascii="Arial" w:hAnsi="Arial" w:cs="Arial"/>
          <w:b/>
          <w:bCs/>
          <w:i/>
          <w:iCs/>
          <w:lang w:eastAsia="en-GB"/>
        </w:rPr>
        <w:t>CI</w:t>
      </w:r>
      <w:r w:rsidRPr="00D800F0">
        <w:rPr>
          <w:rFonts w:ascii="Arial" w:hAnsi="Arial" w:cs="Arial"/>
          <w:lang w:eastAsia="en-GB"/>
        </w:rPr>
        <w:t>, AP BH2S achieves an average CI that varies around the 45V 0.45 kgCO2/kgH2 threshold (0.28 – 0.54kg O2e/kgH2) in scenarios B and C – so in some simulations, AP BH2S receives only 1$/Kg H2. The resulting median policy support for BH2S under a renewable electricity source is $56/MT NH3. At this policy support level, the NPV gain is negative from grid-supported 2026A AP BH2S to 2026B AP BH2S (-$30/MT NH3) – meaning the grid configuration is preferable to in-situ power generation due to the high upfront CAPEX not offset by 45V. From 2026A to 2026C, the NPV gain is positive ($30/MT NH3), which shows that contracting with a hybrid wind farm through a PPA is preferable to both the grid connection (scenario A) and building and owning the wind farm directly (scenario B). In 2026C, this performance gain enables AP BH2S to outperform AP SMR (by $20/tNH3). Nevertheless, AP BH2S is not hedged against NH3 price drops, unlike AP SMR, a risk investors must consider (see section G). AP CCS achieves similar performance (by $19/tNH3) while its risk is more diversified.</w:t>
      </w:r>
    </w:p>
    <w:p w14:paraId="79E2326B" w14:textId="5D41B34D" w:rsidR="004059AC" w:rsidRPr="00D800F0" w:rsidRDefault="004059AC" w:rsidP="004059AC">
      <w:pPr>
        <w:rPr>
          <w:rFonts w:ascii="Arial" w:hAnsi="Arial" w:cs="Arial"/>
          <w:lang w:eastAsia="en-GB"/>
        </w:rPr>
      </w:pPr>
      <w:r w:rsidRPr="00D800F0">
        <w:rPr>
          <w:rFonts w:ascii="Arial" w:hAnsi="Arial" w:cs="Arial"/>
          <w:lang w:eastAsia="en-GB"/>
        </w:rPr>
        <w:t xml:space="preserve">While we find that CCS and BH2S have been proven as the best low-carbon options, AP BH2S does come with its unique set of limitations we did not capture in our modeling despite its better economic performance against other LCAP options. It relies on a substantial nearby biomass reserve, which may run out, limiting the scalability of AP BH2S, or incur additional costs to grow </w:t>
      </w:r>
      <w:r w:rsidRPr="00D800F0">
        <w:rPr>
          <w:rFonts w:ascii="Arial" w:hAnsi="Arial" w:cs="Arial"/>
          <w:lang w:eastAsia="en-GB"/>
        </w:rPr>
        <w:lastRenderedPageBreak/>
        <w:t>the biomass in-situ – not to mention the considerable land use that may be better allocated to agriculture (Arodudu et al., 2020; Young, 1991). Algal biomass, for example, costs between $694-864/MT to grow through pond cultivation, while in our model, we use costs between $50-118/MT of woody biomass (Klein &amp; Davis, 2021). We chose to use woody biomass because the underlying engineering design of the BH2S techno-economic model relies on NREL’s (Spath et al., 2005) rigorous work– which they only performed for woody biomass.</w:t>
      </w:r>
    </w:p>
    <w:p w14:paraId="5E6B2B77" w14:textId="24FA7DA7" w:rsidR="004059AC" w:rsidRPr="00D800F0" w:rsidRDefault="004059AC" w:rsidP="004059AC">
      <w:pPr>
        <w:rPr>
          <w:rFonts w:ascii="Arial" w:hAnsi="Arial" w:cs="Arial"/>
          <w:lang w:eastAsia="en-GB"/>
        </w:rPr>
      </w:pPr>
      <w:r w:rsidRPr="00D800F0">
        <w:rPr>
          <w:rFonts w:ascii="Arial" w:hAnsi="Arial" w:cs="Arial"/>
          <w:lang w:eastAsia="en-GB"/>
        </w:rPr>
        <w:tab/>
        <w:t xml:space="preserve">There are also process operation consequences, as biomass is known to vary in quality, thereby creating variable hydrogen output (Armijo &amp; Philibert, 2020) </w:t>
      </w:r>
      <w:r w:rsidRPr="00D800F0">
        <w:rPr>
          <w:rStyle w:val="FootnoteReference"/>
          <w:rFonts w:ascii="Arial" w:hAnsi="Arial" w:cs="Arial"/>
          <w:lang w:eastAsia="en-GB"/>
        </w:rPr>
        <w:footnoteReference w:id="14"/>
      </w:r>
      <w:r w:rsidRPr="00D800F0">
        <w:rPr>
          <w:rFonts w:ascii="Arial" w:hAnsi="Arial" w:cs="Arial"/>
          <w:lang w:eastAsia="en-GB"/>
        </w:rPr>
        <w:t xml:space="preserve">. In contrast, electrolysis is not plagued by this constraint, given water’s ubiquity and on-demand production capabilities. In our analysis of 2026B and 2026C, AP AEC not only obtains the full $3/Kg H2 45V PTCs but also receives eight times the amount of 48E ITCs than AP BH2S (see sheet named </w:t>
      </w:r>
      <w:r w:rsidRPr="00D800F0">
        <w:rPr>
          <w:rFonts w:ascii="Arial" w:hAnsi="Arial" w:cs="Arial"/>
          <w:b/>
          <w:bCs/>
          <w:i/>
          <w:iCs/>
          <w:lang w:eastAsia="en-GB"/>
        </w:rPr>
        <w:t>Absolute Tax Credits</w:t>
      </w:r>
      <w:r w:rsidRPr="00D800F0">
        <w:rPr>
          <w:rFonts w:ascii="Arial" w:hAnsi="Arial" w:cs="Arial"/>
          <w:lang w:eastAsia="en-GB"/>
        </w:rPr>
        <w:t xml:space="preserve">, scenario B) because of an 8-fold difference in electricity requirements. Nevertheless, the cost of the hybrid wind system for AP AEC is too high in proportion to the IRA PTCs awarded – as we see that on a per capital (scenario B) basis, 48E tax credits are not sufficient (for more direct visualization, see Figure 7) – making the technology largely uneconomic compared to SMR and other low-carbon AP options even under this level of support. The other (mutually exclusive) alternative, 45Y PTCs, is less valuable than 48E credits and is never chosen by the model (see sheet named </w:t>
      </w:r>
      <w:r w:rsidRPr="00D800F0">
        <w:rPr>
          <w:rFonts w:ascii="Arial" w:hAnsi="Arial" w:cs="Arial"/>
          <w:b/>
          <w:bCs/>
          <w:i/>
          <w:iCs/>
          <w:lang w:eastAsia="en-GB"/>
        </w:rPr>
        <w:t>Absolute Tax Credits</w:t>
      </w:r>
      <w:r w:rsidRPr="00D800F0">
        <w:rPr>
          <w:rFonts w:ascii="Arial" w:hAnsi="Arial" w:cs="Arial"/>
          <w:lang w:eastAsia="en-GB"/>
        </w:rPr>
        <w:t>).</w:t>
      </w:r>
    </w:p>
    <w:p w14:paraId="2285E62D" w14:textId="77777777" w:rsidR="00EE3C1F" w:rsidRPr="00D800F0" w:rsidRDefault="00EE3C1F" w:rsidP="00EE3C1F">
      <w:pPr>
        <w:pStyle w:val="Heading3"/>
        <w:rPr>
          <w:rFonts w:ascii="Arial" w:hAnsi="Arial" w:cs="Arial"/>
        </w:rPr>
      </w:pPr>
      <w:bookmarkStart w:id="112" w:name="_Toc148296653"/>
      <w:r w:rsidRPr="00D800F0">
        <w:rPr>
          <w:rFonts w:ascii="Arial" w:hAnsi="Arial" w:cs="Arial"/>
        </w:rPr>
        <w:t>Medium-term deployment of low-carbon ammonia</w:t>
      </w:r>
      <w:bookmarkEnd w:id="112"/>
    </w:p>
    <w:p w14:paraId="50D3064B" w14:textId="77777777" w:rsidR="00EE3C1F" w:rsidRPr="00D800F0" w:rsidRDefault="00EE3C1F" w:rsidP="00EE3C1F">
      <w:pPr>
        <w:pStyle w:val="Heading4"/>
        <w:rPr>
          <w:rFonts w:ascii="Arial" w:hAnsi="Arial" w:cs="Arial"/>
        </w:rPr>
      </w:pPr>
      <w:r w:rsidRPr="00D800F0">
        <w:rPr>
          <w:rFonts w:ascii="Arial" w:hAnsi="Arial" w:cs="Arial"/>
        </w:rPr>
        <w:t xml:space="preserve">Economic performance shifts from near-term scenarios </w:t>
      </w:r>
    </w:p>
    <w:p w14:paraId="23464893" w14:textId="4D40BE21" w:rsidR="004059AC" w:rsidRPr="00D800F0" w:rsidRDefault="004059AC" w:rsidP="004059AC">
      <w:pPr>
        <w:rPr>
          <w:rFonts w:ascii="Arial" w:hAnsi="Arial" w:cs="Arial"/>
        </w:rPr>
      </w:pPr>
      <w:r w:rsidRPr="00D800F0">
        <w:rPr>
          <w:rFonts w:ascii="Arial" w:hAnsi="Arial" w:cs="Arial"/>
        </w:rPr>
        <w:t>Fast forward to 2033A, and the landscape shifts. Despite predictions of significant cost reductions for electrolysis impacting economic performance, AP AEC still fails to compete when it is off taking electricity from the grid – AP AEC’s 75</w:t>
      </w:r>
      <w:r w:rsidRPr="00D800F0">
        <w:rPr>
          <w:rFonts w:ascii="Arial" w:hAnsi="Arial" w:cs="Arial"/>
          <w:vertAlign w:val="superscript"/>
        </w:rPr>
        <w:t>th</w:t>
      </w:r>
      <w:r w:rsidRPr="00D800F0">
        <w:rPr>
          <w:rFonts w:ascii="Arial" w:hAnsi="Arial" w:cs="Arial"/>
        </w:rPr>
        <w:t xml:space="preserve"> percentile performance in 2033A is still below AP SMR’s 25</w:t>
      </w:r>
      <w:r w:rsidRPr="00D800F0">
        <w:rPr>
          <w:rFonts w:ascii="Arial" w:hAnsi="Arial" w:cs="Arial"/>
          <w:vertAlign w:val="superscript"/>
        </w:rPr>
        <w:t>th</w:t>
      </w:r>
      <w:r w:rsidRPr="00D800F0">
        <w:rPr>
          <w:rFonts w:ascii="Arial" w:hAnsi="Arial" w:cs="Arial"/>
        </w:rPr>
        <w:t xml:space="preserve"> percentile by $10/tNH3. Unlikely high NH3 prices and low electricity costs characterize AP AEC’s 75th percentile and above performance. </w:t>
      </w:r>
      <w:bookmarkStart w:id="113" w:name="_Hlk146730566"/>
      <w:r w:rsidRPr="00D800F0">
        <w:rPr>
          <w:rFonts w:ascii="Arial" w:hAnsi="Arial" w:cs="Arial"/>
        </w:rPr>
        <w:t xml:space="preserve">In 2033A, AP CCS and AP BH2S performance relative to AP SMR remains the same as in 2026A. </w:t>
      </w:r>
      <w:bookmarkEnd w:id="113"/>
    </w:p>
    <w:p w14:paraId="5A5AFE13" w14:textId="77777777" w:rsidR="004059AC" w:rsidRPr="00D800F0" w:rsidRDefault="004059AC" w:rsidP="004059AC">
      <w:pPr>
        <w:ind w:firstLine="720"/>
        <w:rPr>
          <w:rFonts w:ascii="Arial" w:hAnsi="Arial" w:cs="Arial"/>
        </w:rPr>
      </w:pPr>
      <w:r w:rsidRPr="00D800F0">
        <w:rPr>
          <w:rFonts w:ascii="Arial" w:hAnsi="Arial" w:cs="Arial"/>
        </w:rPr>
        <w:t>AP SMR, AP CCS, and AP BH2S still</w:t>
      </w:r>
      <w:sdt>
        <w:sdtPr>
          <w:rPr>
            <w:rFonts w:ascii="Arial" w:hAnsi="Arial" w:cs="Arial"/>
          </w:rPr>
          <w:tag w:val="goog_rdk_70"/>
          <w:id w:val="-191774540"/>
        </w:sdtPr>
        <w:sdtContent/>
      </w:sdt>
      <w:r w:rsidRPr="00D800F0">
        <w:rPr>
          <w:rFonts w:ascii="Arial" w:hAnsi="Arial" w:cs="Arial"/>
        </w:rPr>
        <w:t xml:space="preserve"> outperform AP AEC despite technology cost reductions from deployment and R&amp;D – which are observed to increase AP AEC’s NPV by  $3/MT NH3 from 2026A to 2033A. We assume in our analysis that AP CCS and AP BH2S do not experience cost reductions</w:t>
      </w:r>
      <w:r w:rsidRPr="00D800F0">
        <w:rPr>
          <w:rStyle w:val="FootnoteReference"/>
          <w:rFonts w:ascii="Arial" w:hAnsi="Arial" w:cs="Arial"/>
        </w:rPr>
        <w:footnoteReference w:id="15"/>
      </w:r>
      <w:r w:rsidRPr="00D800F0">
        <w:rPr>
          <w:rFonts w:ascii="Arial" w:hAnsi="Arial" w:cs="Arial"/>
        </w:rPr>
        <w:t>, as these processes are not as easily deployable as AP AEC, which benefits from its modularity and scale versatility to undergo a high learning rate (Lee et al., 2021).</w:t>
      </w:r>
    </w:p>
    <w:p w14:paraId="6FD21476" w14:textId="77777777" w:rsidR="004059AC" w:rsidRPr="00D800F0" w:rsidRDefault="004059AC" w:rsidP="004059AC">
      <w:pPr>
        <w:rPr>
          <w:rFonts w:ascii="Arial" w:hAnsi="Arial" w:cs="Arial"/>
        </w:rPr>
      </w:pPr>
      <w:r w:rsidRPr="00D800F0">
        <w:rPr>
          <w:rFonts w:ascii="Arial" w:hAnsi="Arial" w:cs="Arial"/>
        </w:rPr>
        <w:tab/>
        <w:t>Technology cost reductions are generally insufficient to make the AP AEC a viable alternative to AP SMR in a grid configuration unless the grid CI is very low. Only in unlikely high NH3 prices and low electricity prices AP BH2S and AP AEC will become better options than AP SMR because (i) they are not hedged by NG markets and (ii) their economics are more sensitive to electricity prices than AP SMR.</w:t>
      </w:r>
    </w:p>
    <w:p w14:paraId="6967F2D8" w14:textId="77777777" w:rsidR="004059AC" w:rsidRPr="00D800F0" w:rsidRDefault="004059AC" w:rsidP="004059AC">
      <w:pPr>
        <w:rPr>
          <w:rFonts w:ascii="Arial" w:hAnsi="Arial" w:cs="Arial"/>
        </w:rPr>
      </w:pPr>
      <w:r w:rsidRPr="00D800F0">
        <w:rPr>
          <w:rFonts w:ascii="Arial" w:hAnsi="Arial" w:cs="Arial"/>
        </w:rPr>
        <w:tab/>
        <w:t xml:space="preserve">In 2033B, we find the most improvement to the economics of AP AEC.  AP AEC improves its performance from 2026B by $306/tNH3 because of a non-linear effect stemming from a reduction in AEC stack costs and wind CAPEX costs in conjunction with increasing hub </w:t>
      </w:r>
      <w:r w:rsidRPr="00D800F0">
        <w:rPr>
          <w:rFonts w:ascii="Arial" w:hAnsi="Arial" w:cs="Arial"/>
        </w:rPr>
        <w:lastRenderedPageBreak/>
        <w:t>heights and capacity factors for wind technology in 2033. These improvements are also observed for AP CCS ($38/tNH3) and AP BH2S ($29/tNH3) but are not as large as AP AEC due to the difference in electricity demand. Still, AP CCS and AP BH2S outperform AP AEC by a large margin ($151/tNH3 and $152/tNH3, respectively).</w:t>
      </w:r>
    </w:p>
    <w:p w14:paraId="53DC2B99" w14:textId="77777777" w:rsidR="004059AC" w:rsidRPr="00D800F0" w:rsidRDefault="004059AC" w:rsidP="004059AC">
      <w:pPr>
        <w:ind w:firstLine="720"/>
        <w:rPr>
          <w:rFonts w:ascii="Arial" w:hAnsi="Arial" w:cs="Arial"/>
        </w:rPr>
      </w:pPr>
      <w:r w:rsidRPr="00D800F0">
        <w:rPr>
          <w:rFonts w:ascii="Arial" w:hAnsi="Arial" w:cs="Arial"/>
        </w:rPr>
        <w:t>In 2033C, technology cost reductions of AEC and the hybrid wind farm, combined with now high 45V IRA-eligibility, produce an average boost in NPV for AP AEC of $44/MT NH3 from 2033A – which makes AEC surpass AP SMR by $11/tNH3.  AP CCS and AP BH2S also experience identical hybrid wind farm cost reductions in cases B and C. The NPV response, however, is much less as the scale of the hybrid wind farm required is almost an order of magnitude smaller than AP AEC’s (refer to SI G).</w:t>
      </w:r>
    </w:p>
    <w:p w14:paraId="6CBF5E83" w14:textId="243D6EB2" w:rsidR="004059AC" w:rsidRPr="00D800F0" w:rsidRDefault="004059AC" w:rsidP="004059AC">
      <w:pPr>
        <w:rPr>
          <w:rFonts w:ascii="Arial" w:hAnsi="Arial" w:cs="Arial"/>
        </w:rPr>
      </w:pPr>
      <w:r w:rsidRPr="00D800F0">
        <w:rPr>
          <w:rFonts w:ascii="Arial" w:hAnsi="Arial" w:cs="Arial"/>
        </w:rPr>
        <w:tab/>
        <w:t>In 2033A, the NPV distribution of all technologies stretches across all scenarios because of compound uncertainty from our Brownian motion modeling of NH</w:t>
      </w:r>
      <w:r w:rsidRPr="00D800F0">
        <w:rPr>
          <w:rFonts w:ascii="Arial" w:hAnsi="Arial" w:cs="Arial"/>
          <w:vertAlign w:val="subscript"/>
        </w:rPr>
        <w:t>3</w:t>
      </w:r>
      <w:r w:rsidRPr="00D800F0">
        <w:rPr>
          <w:rFonts w:ascii="Arial" w:hAnsi="Arial" w:cs="Arial"/>
        </w:rPr>
        <w:t>, natural gas, and electricity prices. The implications of the compounding market effects have a directional effect on AP BH2S, which can be observed in scenario A. As natural gas prices return to the normal range, the NH3 prices follow. The decreasing NH3 prices and lack of hedging cause AP BH2S to shift downwards by -$11/tNH3 at the mean, by $1/tNH3 at the 75</w:t>
      </w:r>
      <w:r w:rsidRPr="00D800F0">
        <w:rPr>
          <w:rFonts w:ascii="Arial" w:hAnsi="Arial" w:cs="Arial"/>
          <w:vertAlign w:val="superscript"/>
        </w:rPr>
        <w:t>th</w:t>
      </w:r>
      <w:r w:rsidRPr="00D800F0">
        <w:rPr>
          <w:rFonts w:ascii="Arial" w:hAnsi="Arial" w:cs="Arial"/>
        </w:rPr>
        <w:t xml:space="preserve"> percentile, and by $19/tNH3 at the 25</w:t>
      </w:r>
      <w:r w:rsidRPr="00D800F0">
        <w:rPr>
          <w:rFonts w:ascii="Arial" w:hAnsi="Arial" w:cs="Arial"/>
          <w:vertAlign w:val="superscript"/>
        </w:rPr>
        <w:t>th</w:t>
      </w:r>
      <w:r w:rsidRPr="00D800F0">
        <w:rPr>
          <w:rFonts w:ascii="Arial" w:hAnsi="Arial" w:cs="Arial"/>
        </w:rPr>
        <w:t xml:space="preserve"> percentile.</w:t>
      </w:r>
    </w:p>
    <w:p w14:paraId="591BFF56" w14:textId="77777777" w:rsidR="00EE3C1F" w:rsidRPr="00D800F0" w:rsidRDefault="00EE3C1F" w:rsidP="00EE3C1F">
      <w:pPr>
        <w:pStyle w:val="Heading4"/>
        <w:rPr>
          <w:rFonts w:ascii="Arial" w:hAnsi="Arial" w:cs="Arial"/>
        </w:rPr>
      </w:pPr>
      <w:r w:rsidRPr="00D800F0">
        <w:rPr>
          <w:rFonts w:ascii="Arial" w:hAnsi="Arial" w:cs="Arial"/>
        </w:rPr>
        <w:t xml:space="preserve">Technology cost reductions and the opportunity cost of waiting  </w:t>
      </w:r>
    </w:p>
    <w:p w14:paraId="62F8BB09" w14:textId="166EBC63" w:rsidR="004059AC" w:rsidRPr="00D800F0" w:rsidRDefault="004059AC" w:rsidP="004059AC">
      <w:pPr>
        <w:spacing w:line="240" w:lineRule="auto"/>
        <w:rPr>
          <w:rFonts w:ascii="Arial" w:hAnsi="Arial" w:cs="Arial"/>
        </w:rPr>
      </w:pPr>
      <w:r w:rsidRPr="00D800F0">
        <w:rPr>
          <w:rFonts w:ascii="Arial" w:hAnsi="Arial" w:cs="Arial"/>
        </w:rPr>
        <w:tab/>
        <w:t>By 2033, the reductions in technology costs for electrolysis and hybrid wind farms offset additional policy support opportunity costs between 2026 and 2033. The median NPV difference between 2026C and 2033C AP AEC is $300/MT NH3. In scenario B, AP AEC only improved by $40/MT NH3 from 2026 to 2033. The discount rate causes an asymmetric response to technology improvements and cost reductions across scenarios.</w:t>
      </w:r>
    </w:p>
    <w:p w14:paraId="7B2C210E" w14:textId="77777777" w:rsidR="004059AC" w:rsidRPr="00D800F0" w:rsidRDefault="004059AC" w:rsidP="004059AC">
      <w:pPr>
        <w:spacing w:line="240" w:lineRule="auto"/>
        <w:rPr>
          <w:rFonts w:ascii="Arial" w:hAnsi="Arial" w:cs="Arial"/>
        </w:rPr>
      </w:pPr>
      <w:r w:rsidRPr="00D800F0">
        <w:rPr>
          <w:rFonts w:ascii="Arial" w:hAnsi="Arial" w:cs="Arial"/>
        </w:rPr>
        <w:tab/>
        <w:t>The increasing value of waiting arises from two sources. Firstly, there are direct cost reductions in AEC, wind, and battery systems. Secondly, wind farm capacity factors are anticipated to rise as average hub heights shift from 90m in 2023 to 120m in 2030 due to enhanced turbine design, optimizing placement in higher wind velocity zones (OEDI, 2022). Combining cost reductions with increasing capacity factors results in non-linear NPV increments.</w:t>
      </w:r>
    </w:p>
    <w:p w14:paraId="2AB51AE0" w14:textId="77777777" w:rsidR="004059AC" w:rsidRPr="00D800F0" w:rsidRDefault="004059AC" w:rsidP="004059AC">
      <w:pPr>
        <w:spacing w:line="240" w:lineRule="auto"/>
        <w:ind w:firstLine="720"/>
        <w:rPr>
          <w:rFonts w:ascii="Arial" w:hAnsi="Arial" w:cs="Arial"/>
        </w:rPr>
      </w:pPr>
      <w:r w:rsidRPr="00D800F0">
        <w:rPr>
          <w:rFonts w:ascii="Arial" w:hAnsi="Arial" w:cs="Arial"/>
        </w:rPr>
        <w:t>By the year 2033, there are competing factors at play that influence investment decisions in AP AEC. On one side, the expectations of cost reduction and technological improvements of renewable generation technologies, including AEC, could incentivize investors to delay their investments. Conversely, the looming expiration dates of the IRA programs could prompt investors to invest immediately to maximize policy support.</w:t>
      </w:r>
    </w:p>
    <w:p w14:paraId="27D767D3" w14:textId="739F24F0" w:rsidR="004059AC" w:rsidRPr="00D800F0" w:rsidRDefault="004059AC" w:rsidP="004059AC">
      <w:pPr>
        <w:spacing w:line="240" w:lineRule="auto"/>
        <w:ind w:firstLine="720"/>
        <w:rPr>
          <w:rFonts w:ascii="Arial" w:hAnsi="Arial" w:cs="Arial"/>
        </w:rPr>
      </w:pPr>
      <w:r w:rsidRPr="00D800F0">
        <w:rPr>
          <w:rFonts w:ascii="Arial" w:hAnsi="Arial" w:cs="Arial"/>
        </w:rPr>
        <w:t>In conclusion, investors are incentivized to wait until at least 2030 to invest in AP AEC plants to maximize technology and deployment-driven cost reduction – indeed, as a function of the expected growth and volatility in the value gap</w:t>
      </w:r>
      <w:r w:rsidRPr="00D800F0">
        <w:rPr>
          <w:rFonts w:ascii="Arial" w:hAnsi="Arial" w:cs="Arial"/>
          <w:vertAlign w:val="superscript"/>
        </w:rPr>
        <w:footnoteReference w:id="16"/>
      </w:r>
      <w:r w:rsidRPr="00D800F0">
        <w:rPr>
          <w:rFonts w:ascii="Arial" w:hAnsi="Arial" w:cs="Arial"/>
        </w:rPr>
        <w:t>. This dynamic could lead to a situation where the anticipated immediate deployment of electrolysis or hybrid wind farms</w:t>
      </w:r>
      <w:r w:rsidRPr="00D800F0" w:rsidDel="00DC6B55">
        <w:rPr>
          <w:rFonts w:ascii="Arial" w:hAnsi="Arial" w:cs="Arial"/>
        </w:rPr>
        <w:t xml:space="preserve"> </w:t>
      </w:r>
      <w:r w:rsidRPr="00D800F0">
        <w:rPr>
          <w:rFonts w:ascii="Arial" w:hAnsi="Arial" w:cs="Arial"/>
        </w:rPr>
        <w:t xml:space="preserve">for AP is delayed, as investors may be waiting for further technological cost reductions. Paradoxically, if the technology is not deployed, these cost reductions could take longer to materialize, creating a “chicken-or-the-egg” problem that is at odds with the intent of the IRA. Thus, if the highest tranche of 45V policy support were to be increased to a level that lets 2026C AP AEC perform on the same level as 2033C AP AEC, the new highest 45V credit would be $4.8/Kg H2– 60% </w:t>
      </w:r>
      <w:r w:rsidRPr="00D800F0">
        <w:rPr>
          <w:rFonts w:ascii="Arial" w:hAnsi="Arial" w:cs="Arial"/>
        </w:rPr>
        <w:lastRenderedPageBreak/>
        <w:t>larger than the current 45V support</w:t>
      </w:r>
      <w:r w:rsidRPr="00D800F0">
        <w:rPr>
          <w:rStyle w:val="FootnoteReference"/>
          <w:rFonts w:ascii="Arial" w:hAnsi="Arial" w:cs="Arial"/>
        </w:rPr>
        <w:footnoteReference w:id="17"/>
      </w:r>
      <w:r w:rsidRPr="00D800F0">
        <w:rPr>
          <w:rFonts w:ascii="Arial" w:hAnsi="Arial" w:cs="Arial"/>
        </w:rPr>
        <w:t xml:space="preserve">. 92% of the support increase would be due to technological improvements and the remaining 8% due to capital appreciation at the risk-free rate. </w:t>
      </w:r>
    </w:p>
    <w:p w14:paraId="72A32F7F" w14:textId="77777777" w:rsidR="00EE3C1F" w:rsidRPr="00D800F0" w:rsidRDefault="00EE3C1F" w:rsidP="00EE3C1F">
      <w:pPr>
        <w:pStyle w:val="Heading3"/>
        <w:rPr>
          <w:rFonts w:ascii="Arial" w:hAnsi="Arial" w:cs="Arial"/>
        </w:rPr>
      </w:pPr>
      <w:bookmarkStart w:id="115" w:name="_Toc148296654"/>
      <w:r w:rsidRPr="00D800F0">
        <w:rPr>
          <w:rFonts w:ascii="Arial" w:hAnsi="Arial" w:cs="Arial"/>
        </w:rPr>
        <w:t>Carbon abatement costs of low-carbon ammonia</w:t>
      </w:r>
      <w:bookmarkEnd w:id="115"/>
    </w:p>
    <w:p w14:paraId="0CA9748E" w14:textId="291DDD21" w:rsidR="001339DD" w:rsidRPr="00D800F0" w:rsidRDefault="004059AC" w:rsidP="001339DD">
      <w:pPr>
        <w:tabs>
          <w:tab w:val="left" w:pos="0"/>
        </w:tabs>
        <w:rPr>
          <w:rFonts w:ascii="Arial" w:hAnsi="Arial" w:cs="Arial"/>
        </w:rPr>
      </w:pPr>
      <w:r w:rsidRPr="00D800F0">
        <w:rPr>
          <w:rFonts w:ascii="Arial" w:hAnsi="Arial" w:cs="Arial"/>
        </w:rPr>
        <w:t>In scenario A, the CAC is below the lower end of the social cost of carbon. Simultaneously, the NPV of AP CCS and BH2S is primarily positive, implying that these technologies can be profitable while costing less than the predicted economic cost from carbon's associated economic damages. Moreover, we note that most of the CAC hovers around 35-53 $/tCO2 for AP CCS and 28-45 $/tCO2 for AP BH2S. These figures are in line with the CO</w:t>
      </w:r>
      <w:r w:rsidRPr="00D800F0">
        <w:rPr>
          <w:rFonts w:ascii="Arial" w:hAnsi="Arial" w:cs="Arial"/>
          <w:vertAlign w:val="subscript"/>
        </w:rPr>
        <w:t>2</w:t>
      </w:r>
      <w:r w:rsidRPr="00D800F0">
        <w:rPr>
          <w:rFonts w:ascii="Arial" w:hAnsi="Arial" w:cs="Arial"/>
        </w:rPr>
        <w:t xml:space="preserve"> prices in the EU ETS. For AP CCS, our simulations reveal that the preferred policy program is 45V over 45Q because the difference in direct emissions between SMR and CCS is smaller than 45V credits at the $1/kg H</w:t>
      </w:r>
      <w:r w:rsidRPr="00D800F0">
        <w:rPr>
          <w:rFonts w:ascii="Arial" w:hAnsi="Arial" w:cs="Arial"/>
          <w:vertAlign w:val="subscript"/>
        </w:rPr>
        <w:t>2</w:t>
      </w:r>
      <w:r w:rsidRPr="00D800F0">
        <w:rPr>
          <w:rFonts w:ascii="Arial" w:hAnsi="Arial" w:cs="Arial"/>
        </w:rPr>
        <w:t xml:space="preserve"> level.</w:t>
      </w:r>
      <w:r w:rsidR="001339DD" w:rsidRPr="00D800F0">
        <w:rPr>
          <w:rFonts w:ascii="Arial" w:hAnsi="Arial" w:cs="Arial"/>
        </w:rPr>
        <w:t xml:space="preserve"> The sheet named </w:t>
      </w:r>
      <w:r w:rsidR="001339DD" w:rsidRPr="00D800F0">
        <w:rPr>
          <w:rFonts w:ascii="Arial" w:hAnsi="Arial" w:cs="Arial"/>
          <w:b/>
          <w:bCs/>
          <w:i/>
          <w:iCs/>
        </w:rPr>
        <w:t>CI_AP_CCS</w:t>
      </w:r>
      <w:r w:rsidR="001339DD" w:rsidRPr="00D800F0">
        <w:rPr>
          <w:rFonts w:ascii="Arial" w:hAnsi="Arial" w:cs="Arial"/>
        </w:rPr>
        <w:t xml:space="preserve"> shows that CCS does opt for 45Q credits sometimes, depending on its CI. Across all scenarios, AP CCS opts for 45V over 45Q in 89% of simulations.</w:t>
      </w:r>
    </w:p>
    <w:p w14:paraId="0CB252F3" w14:textId="5BF8CD3D" w:rsidR="001339DD" w:rsidRPr="00D800F0" w:rsidRDefault="001339DD" w:rsidP="001339DD">
      <w:pPr>
        <w:tabs>
          <w:tab w:val="left" w:pos="0"/>
        </w:tabs>
        <w:rPr>
          <w:rFonts w:ascii="Arial" w:hAnsi="Arial" w:cs="Arial"/>
        </w:rPr>
      </w:pPr>
      <w:r w:rsidRPr="00D800F0">
        <w:rPr>
          <w:rFonts w:ascii="Arial" w:hAnsi="Arial" w:cs="Arial"/>
        </w:rPr>
        <w:tab/>
        <w:t>Overall, AP BH2S is marginally cheaper to fund than AP CCS and has a better economic performance. However, considering the limitations of BH2S previously discussed, AP CCS seems to be a viable option for investors aiming to produce low-carbon ammonia.</w:t>
      </w:r>
    </w:p>
    <w:p w14:paraId="3024EECC" w14:textId="77777777" w:rsidR="001339DD" w:rsidRPr="00D800F0" w:rsidRDefault="001339DD" w:rsidP="001339DD">
      <w:pPr>
        <w:tabs>
          <w:tab w:val="left" w:pos="0"/>
        </w:tabs>
        <w:rPr>
          <w:rFonts w:ascii="Arial" w:hAnsi="Arial" w:cs="Arial"/>
        </w:rPr>
      </w:pPr>
      <w:r w:rsidRPr="00D800F0">
        <w:rPr>
          <w:rFonts w:ascii="Arial" w:hAnsi="Arial" w:cs="Arial"/>
        </w:rPr>
        <w:tab/>
        <w:t>In scenario B, the investor bears the high initial costs of the hybrid wind farm, anticipating a return on investment through two mechanisms: (i) support from 48E or 45Y tax credit programs and (ii) selling excess electricity resulting from the oversizing of the hybrid wind system to guarantee continuous firm electricity supply. Should electricity prices soar, this business model could become appealing as the excess electricity will offset more battery costs. We model the price at which the excess electricity is sold as the greater value between the PPA price of the wind farm without battery storage and the market electricity price from scenario A. With this reasoning in mind, we should note the following findings:</w:t>
      </w:r>
    </w:p>
    <w:p w14:paraId="13E9DCA2" w14:textId="77777777" w:rsidR="001339DD" w:rsidRPr="00D800F0" w:rsidRDefault="001339DD" w:rsidP="001339DD">
      <w:pPr>
        <w:pStyle w:val="NoSpacing"/>
        <w:rPr>
          <w:rFonts w:ascii="Arial" w:hAnsi="Arial" w:cs="Arial"/>
        </w:rPr>
      </w:pPr>
      <w:r w:rsidRPr="00D800F0">
        <w:rPr>
          <w:rFonts w:ascii="Arial" w:hAnsi="Arial" w:cs="Arial"/>
        </w:rPr>
        <w:tab/>
        <w:t>(1) The initial high costs of the hybrid wind farm and the abundance of 48E credits make the CAC of AP AEC higher than the social carbon costs in 2026B (by $28/tCO2 or +13%), implying that the IRA might be overpaying for carbon reduction via AEC technology pathway in the near term. However, by 2033, due to decreasing costs, the AEC CAC falls below the social cost of carbon ($-34/tCO2 or -16%), suggesting that the IRA might cost-efficiently fund AP AEC – albeit less efficiently than AP CCS and AP BH2S. Moreover, the range of values we use for 48E is 30-40% ITC; should an AP AEC process qualify for the maximum 50%</w:t>
      </w:r>
      <w:r w:rsidRPr="00D800F0">
        <w:rPr>
          <w:rStyle w:val="FootnoteReference"/>
          <w:rFonts w:ascii="Arial" w:hAnsi="Arial" w:cs="Arial"/>
        </w:rPr>
        <w:footnoteReference w:id="18"/>
      </w:r>
      <w:r w:rsidRPr="00D800F0">
        <w:rPr>
          <w:rFonts w:ascii="Arial" w:hAnsi="Arial" w:cs="Arial"/>
        </w:rPr>
        <w:t>,  its 2033 CAC could match or surpass the social cost.</w:t>
      </w:r>
    </w:p>
    <w:p w14:paraId="0DC1E222" w14:textId="77777777" w:rsidR="001339DD" w:rsidRPr="00D800F0" w:rsidRDefault="001339DD" w:rsidP="001339DD">
      <w:pPr>
        <w:pStyle w:val="NoSpacing"/>
        <w:rPr>
          <w:rFonts w:ascii="Arial" w:hAnsi="Arial" w:cs="Arial"/>
        </w:rPr>
      </w:pPr>
      <w:r w:rsidRPr="00D800F0">
        <w:rPr>
          <w:rFonts w:ascii="Arial" w:hAnsi="Arial" w:cs="Arial"/>
        </w:rPr>
        <w:tab/>
        <w:t>(2) The financial advantages of selling excess electricity do not compensate for the additional CAPEX because of anticipated low electricity and competitive PPA prices from wind-only farms. This suggests the IRA might be investing too much in AEC projects with a low-profit chance.</w:t>
      </w:r>
    </w:p>
    <w:p w14:paraId="620CFD6E" w14:textId="77777777" w:rsidR="001339DD" w:rsidRPr="00D800F0" w:rsidRDefault="001339DD" w:rsidP="001339DD">
      <w:pPr>
        <w:pStyle w:val="NoSpacing"/>
        <w:rPr>
          <w:rFonts w:ascii="Arial" w:hAnsi="Arial" w:cs="Arial"/>
        </w:rPr>
      </w:pPr>
      <w:r w:rsidRPr="00D800F0">
        <w:rPr>
          <w:rFonts w:ascii="Arial" w:hAnsi="Arial" w:cs="Arial"/>
        </w:rPr>
        <w:tab/>
        <w:t>In scenario C, the public will spend the same amount as in scenario B. However, in our depiction of C, the 45Y/48E credits are inherently factored into the PPA price and are not explicitly shown in the chart.</w:t>
      </w:r>
    </w:p>
    <w:p w14:paraId="528AEC52" w14:textId="494E15CB" w:rsidR="004059AC" w:rsidRPr="00D800F0" w:rsidRDefault="001339DD" w:rsidP="001339DD">
      <w:pPr>
        <w:pStyle w:val="NoSpacing"/>
        <w:ind w:firstLine="720"/>
        <w:rPr>
          <w:rFonts w:ascii="Arial" w:hAnsi="Arial" w:cs="Arial"/>
        </w:rPr>
      </w:pPr>
      <w:r w:rsidRPr="00D800F0">
        <w:rPr>
          <w:rFonts w:ascii="Arial" w:hAnsi="Arial" w:cs="Arial"/>
        </w:rPr>
        <w:tab/>
        <w:t xml:space="preserve">The CAC metric we employ measures the total credits awarded by the IRS to the private sector through low-carbon AP. In a unique case where the market value of a tax credit (TC) is $1/TC, we determine the CAC as the cash-equivalent tax credit. AP Investors </w:t>
      </w:r>
      <w:r w:rsidRPr="00D800F0">
        <w:rPr>
          <w:rFonts w:ascii="Arial" w:hAnsi="Arial" w:cs="Arial"/>
        </w:rPr>
        <w:lastRenderedPageBreak/>
        <w:t>considering any IRA-supported business model can only aspire to attain this "potential" tax credit as transaction costs are expected by the industry ( see Table 4). In the next section, we elucidate this transaction cost by comparing levelized cost versus NPV approaches.</w:t>
      </w:r>
    </w:p>
    <w:p w14:paraId="0CFE1160" w14:textId="77777777" w:rsidR="00EE3C1F" w:rsidRPr="00D800F0" w:rsidRDefault="00EE3C1F" w:rsidP="00EE3C1F">
      <w:pPr>
        <w:pStyle w:val="Heading3"/>
        <w:rPr>
          <w:rFonts w:ascii="Arial" w:hAnsi="Arial" w:cs="Arial"/>
        </w:rPr>
      </w:pPr>
      <w:bookmarkStart w:id="116" w:name="_Toc148296655"/>
      <w:r w:rsidRPr="00D800F0">
        <w:rPr>
          <w:rFonts w:ascii="Arial" w:hAnsi="Arial" w:cs="Arial"/>
        </w:rPr>
        <w:t>Over-estimating policy support under the levelized cost approach</w:t>
      </w:r>
      <w:bookmarkEnd w:id="116"/>
      <w:r w:rsidRPr="00D800F0">
        <w:rPr>
          <w:rFonts w:ascii="Arial" w:hAnsi="Arial" w:cs="Arial"/>
        </w:rPr>
        <w:t xml:space="preserve"> </w:t>
      </w:r>
    </w:p>
    <w:p w14:paraId="590C3F94" w14:textId="4511185A" w:rsidR="001339DD" w:rsidRPr="00D800F0" w:rsidRDefault="001339DD" w:rsidP="001339DD">
      <w:pPr>
        <w:spacing w:line="240" w:lineRule="auto"/>
        <w:rPr>
          <w:rFonts w:ascii="Arial" w:hAnsi="Arial" w:cs="Arial"/>
        </w:rPr>
      </w:pPr>
      <w:r w:rsidRPr="00D800F0">
        <w:rPr>
          <w:rFonts w:ascii="Arial" w:hAnsi="Arial" w:cs="Arial"/>
        </w:rPr>
        <w:t xml:space="preserve">The levelized cost approach, commonly used in hydrogen and ammonia production studies, concentrates on the impact of engineering variables on cost </w:t>
      </w:r>
      <w:r w:rsidRPr="00D800F0">
        <w:rPr>
          <w:rFonts w:ascii="Arial" w:hAnsi="Arial" w:cs="Arial"/>
          <w:color w:val="000000"/>
        </w:rPr>
        <w:t>(Arora et al., 2016; Campion et al., 2022; del Pozo &amp; Cloete, 2022; Gomez et al., 2020; Guerra et al., 2020; Lee et al., 2021; Lewis et al., 2022; Osman et al., 2020; Rouwenhorst et al., 2019; Sánchez et al., 2019; Sousa et al., 2022; Tock et al., 2013; Tunå et al., 2014; Wang et al., 2021; Zhang et al., 2020; Jenkins &amp; Ricks, 2023; Lewis et al., 2022; IEAGHG, 2017)</w:t>
      </w:r>
      <w:r w:rsidRPr="00D800F0">
        <w:rPr>
          <w:rFonts w:ascii="Arial" w:hAnsi="Arial" w:cs="Arial"/>
        </w:rPr>
        <w:t>. However, in papers focusing on the IRA, it has been assumed that deducting eligible tax credits from the cost basis is a valid modeling approach. For instance, Jenkins et al. (2023) examined the effect of IRA credits on electrolysis for hydrogen production across various technology scenarios and developed a levelized cost of hydrogen (LCOH) calculator. In this tool, altering the value of the hydrogen PTC would directly be deducted from the estimated LCOH by the PTC amount. Cheng et al. (2023) also employ the same levelized cost approach and report remarkable economic performance for low-carbon technologies (SMR CCS, electrolysis, and BH2S).</w:t>
      </w:r>
    </w:p>
    <w:p w14:paraId="5D2174D2" w14:textId="68596785" w:rsidR="001339DD" w:rsidRPr="00D800F0" w:rsidRDefault="001339DD" w:rsidP="001339DD">
      <w:pPr>
        <w:rPr>
          <w:rFonts w:ascii="Arial" w:hAnsi="Arial" w:cs="Arial"/>
        </w:rPr>
      </w:pPr>
      <w:r w:rsidRPr="00D800F0">
        <w:rPr>
          <w:rFonts w:ascii="Arial" w:hAnsi="Arial" w:cs="Arial"/>
        </w:rPr>
        <w:tab/>
        <w:t>Figure 6 presents the total tax credit policy support on a per-kilogram-of-hydrogen basis, making the support measures easily interpretable. For instance, technologies receiving $3/KgH2in support will be plotted at $3 on the tax credits Y-axis. This allows for a direct comparison of the total tax credits received by an ammonia investor against legislative provisions, taxpayer expectations, and the investor's valuation of these credits. In the subsequent results and discussion, we first describe the potential tax credits and the criteria for technology qualification. We then explore the transaction costs associated with each technology and scenario and examine how discount rates affect the value of the tax credits.</w:t>
      </w:r>
    </w:p>
    <w:p w14:paraId="3CEC2631" w14:textId="77777777" w:rsidR="00EE3C1F" w:rsidRPr="00D800F0" w:rsidRDefault="00EE3C1F" w:rsidP="00EE3C1F">
      <w:pPr>
        <w:pStyle w:val="Heading4"/>
        <w:rPr>
          <w:rFonts w:ascii="Arial" w:hAnsi="Arial" w:cs="Arial"/>
        </w:rPr>
      </w:pPr>
      <w:r w:rsidRPr="00D800F0">
        <w:rPr>
          <w:rFonts w:ascii="Arial" w:hAnsi="Arial" w:cs="Arial"/>
        </w:rPr>
        <w:t>Potential tax credits</w:t>
      </w:r>
    </w:p>
    <w:p w14:paraId="33B043A2" w14:textId="77777777" w:rsidR="001339DD" w:rsidRPr="00D800F0" w:rsidRDefault="001339DD" w:rsidP="001339DD">
      <w:pPr>
        <w:rPr>
          <w:rFonts w:ascii="Arial" w:hAnsi="Arial" w:cs="Arial"/>
        </w:rPr>
      </w:pPr>
      <w:r w:rsidRPr="00D800F0">
        <w:rPr>
          <w:rFonts w:ascii="Arial" w:hAnsi="Arial" w:cs="Arial"/>
        </w:rPr>
        <w:t>In our analysis for scenario 2026A, AP CCS receives $1.00/KgH2, aligning with the $1.00 per kilogram threshold set by the 45V program. Given the option between the 45Q and 45V programs and the input dataset, CCS chooses 45V credits in 89% of simulations; the 45Q program is selected in only 11% of simulations for carbon capture ammonia in this scenario. Turning to AP BH2S, the tax credit range is notably broader due to the variable carbon intensity of biomass, which fluctuates around the $1.00 and $0.75 per kilogram thresholds. Alkaline electrolysis, conversely, does not benefit from any tax credits in scenario 2026A.</w:t>
      </w:r>
    </w:p>
    <w:p w14:paraId="0C1F67CF" w14:textId="77777777" w:rsidR="001339DD" w:rsidRPr="00D800F0" w:rsidRDefault="001339DD" w:rsidP="001339DD">
      <w:pPr>
        <w:rPr>
          <w:rFonts w:ascii="Arial" w:hAnsi="Arial" w:cs="Arial"/>
        </w:rPr>
      </w:pPr>
      <w:r w:rsidRPr="00D800F0">
        <w:rPr>
          <w:rFonts w:ascii="Arial" w:hAnsi="Arial" w:cs="Arial"/>
        </w:rPr>
        <w:tab/>
        <w:t>In scenario 2026B, AP CCS attains the maximum $3/kgH2 tax credit under the 45V program in 75.5% of simulations. However, in 24.5% of simulations, it only garners $1.00/kgH2, making 45Q credits occasionally more favorable, though such cases are rare in this scenario. Credits under programs 48E and 45Y contribute to carbon capture ammonia's support. While all low-carbon technologies can opt between 48E and 45Y, 48E credits are consistently more attractive. If the energy efficiency per unit CAPEX for the hybrid wind facility were larger (i.e., higher capacity factors or lower system CAPEX), 45Y would be preferable.</w:t>
      </w:r>
    </w:p>
    <w:p w14:paraId="2BDE2E64" w14:textId="77777777" w:rsidR="001339DD" w:rsidRPr="00D800F0" w:rsidRDefault="001339DD" w:rsidP="001339DD">
      <w:pPr>
        <w:rPr>
          <w:rFonts w:ascii="Arial" w:hAnsi="Arial" w:cs="Arial"/>
        </w:rPr>
      </w:pPr>
      <w:r w:rsidRPr="00D800F0">
        <w:rPr>
          <w:rFonts w:ascii="Arial" w:hAnsi="Arial" w:cs="Arial"/>
        </w:rPr>
        <w:tab/>
        <w:t xml:space="preserve">For AP CCS, the total policy support exceeds $3/kgH2, reaching $3.48/kgH2 when 48E credits are included, attributing approximately $0.48/kgH2 to these credits. A similar pattern is seen for AP BH2S, with the main difference being its slightly higher emission levels. This results in more frequent qualification for the $1.00/kgH2 45V credits. </w:t>
      </w:r>
    </w:p>
    <w:p w14:paraId="05A68308" w14:textId="77777777" w:rsidR="001339DD" w:rsidRPr="00D800F0" w:rsidRDefault="001339DD" w:rsidP="001339DD">
      <w:pPr>
        <w:rPr>
          <w:rFonts w:ascii="Arial" w:hAnsi="Arial" w:cs="Arial"/>
        </w:rPr>
      </w:pPr>
      <w:r w:rsidRPr="00D800F0">
        <w:rPr>
          <w:rFonts w:ascii="Arial" w:hAnsi="Arial" w:cs="Arial"/>
        </w:rPr>
        <w:lastRenderedPageBreak/>
        <w:tab/>
        <w:t>AP AEC garners additional policy support beyond its 45V qualification of $3/kgH2. The high electricity demand makes it conducive for a large-scale hybrid wind farm, resulting in substantial 48E credits. Consequently, the total value of 48E credits is estimated at $3.07/kgH2.</w:t>
      </w:r>
    </w:p>
    <w:p w14:paraId="5FFD6F12" w14:textId="77777777" w:rsidR="001339DD" w:rsidRPr="00D800F0" w:rsidRDefault="001339DD" w:rsidP="001339DD">
      <w:pPr>
        <w:rPr>
          <w:rFonts w:ascii="Arial" w:hAnsi="Arial" w:cs="Arial"/>
        </w:rPr>
      </w:pPr>
      <w:r w:rsidRPr="00D800F0">
        <w:rPr>
          <w:rFonts w:ascii="Arial" w:hAnsi="Arial" w:cs="Arial"/>
        </w:rPr>
        <w:tab/>
        <w:t>In scenario 2026C, separating the hybrid wind farm and AP complicates the perception of actual policy support required for low-carbon AP. Despite this, the public expenditure remains consistent in scenarios B and C due to the principle of additionality (Ricks et al., 2023). All new green hydrogen capacities qualify for electricity-related tax credits. Our quantification reveals that the value of these credits is roughly on par with the $3/kgH2 offered by the 45V program. This signifies a substantial public investment in the electricity and hydrogen infrastructure essential for green hydrogen production.</w:t>
      </w:r>
    </w:p>
    <w:p w14:paraId="0B927020" w14:textId="504D1A1B" w:rsidR="001339DD" w:rsidRPr="00D800F0" w:rsidRDefault="001339DD" w:rsidP="001339DD">
      <w:pPr>
        <w:rPr>
          <w:rFonts w:ascii="Arial" w:hAnsi="Arial" w:cs="Arial"/>
          <w:lang w:eastAsia="en-GB"/>
        </w:rPr>
      </w:pPr>
      <w:r w:rsidRPr="00D800F0">
        <w:rPr>
          <w:rFonts w:ascii="Arial" w:hAnsi="Arial" w:cs="Arial"/>
        </w:rPr>
        <w:tab/>
        <w:t xml:space="preserve">Fast forward to scenario 2033B, there is a notable decline in total policy support. AP CCS sees its potential tax credits diminish from $3.48/kgH2 in 2026 to $3.22 in 2033. A similar trend is observed for AP BH2S, with credits falling from $3.42 to $3.19/kgH2. AP AEC faces a more drastic reduction, from $6.07 to $4.51/kgH2, primarily due to technological advancements that lower wind, battery, and electrolysis technologies costs – thereby reducing 48E credits. In contrast, scenarios 2033A and 2033C show no change in policy support, as they lack cost reductions, and their tax credits (45V and 45Q) are determined by carbon intensity rather than capital investment. To observe these changes in policy support more clearly, please see sheet named </w:t>
      </w:r>
      <w:r w:rsidRPr="00D800F0">
        <w:rPr>
          <w:rFonts w:ascii="Arial" w:hAnsi="Arial" w:cs="Arial"/>
          <w:b/>
          <w:bCs/>
          <w:i/>
          <w:iCs/>
        </w:rPr>
        <w:t>Absolute Tax Credits</w:t>
      </w:r>
      <w:r w:rsidRPr="00D800F0">
        <w:rPr>
          <w:rFonts w:ascii="Arial" w:hAnsi="Arial" w:cs="Arial"/>
        </w:rPr>
        <w:t>.</w:t>
      </w:r>
    </w:p>
    <w:p w14:paraId="508781BA" w14:textId="77777777" w:rsidR="00EE3C1F" w:rsidRPr="00D800F0" w:rsidRDefault="00EE3C1F" w:rsidP="00EE3C1F">
      <w:pPr>
        <w:pStyle w:val="Heading4"/>
        <w:rPr>
          <w:rFonts w:ascii="Arial" w:hAnsi="Arial" w:cs="Arial"/>
        </w:rPr>
      </w:pPr>
      <w:r w:rsidRPr="00D800F0">
        <w:rPr>
          <w:rFonts w:ascii="Arial" w:hAnsi="Arial" w:cs="Arial"/>
        </w:rPr>
        <w:t>Cash equivalent credits</w:t>
      </w:r>
    </w:p>
    <w:p w14:paraId="18F719B3" w14:textId="77777777" w:rsidR="001339DD" w:rsidRPr="00D800F0" w:rsidRDefault="001339DD" w:rsidP="001339DD">
      <w:pPr>
        <w:rPr>
          <w:rFonts w:ascii="Arial" w:hAnsi="Arial" w:cs="Arial"/>
          <w:lang w:eastAsia="en-GB"/>
        </w:rPr>
      </w:pPr>
      <w:r w:rsidRPr="00D800F0">
        <w:rPr>
          <w:rFonts w:ascii="Arial" w:hAnsi="Arial" w:cs="Arial"/>
          <w:lang w:eastAsia="en-GB"/>
        </w:rPr>
        <w:t>In scenario A, AP CCS experiences a 6.8% reduction in tax credits when converted from nominal to cash-equivalent terms (at a 2% discount), while AP BH2S sees a 4.6% decrease. These reductions are consistent across time, holding for 2026 and 2033. In scenario B, the deductions rise to 7.6%, 7.7%, and 4.6% for AP CCS, AP BH2S, and AP AEC, respectively. In scenario C, the deductions further escalate to 8.8%, 9.2%, and 8.7% for the same technologies.</w:t>
      </w:r>
    </w:p>
    <w:p w14:paraId="5AA1ADEF" w14:textId="77777777" w:rsidR="001339DD" w:rsidRPr="00D800F0" w:rsidRDefault="001339DD" w:rsidP="001339DD">
      <w:pPr>
        <w:rPr>
          <w:rFonts w:ascii="Arial" w:hAnsi="Arial" w:cs="Arial"/>
          <w:lang w:eastAsia="en-GB"/>
        </w:rPr>
      </w:pPr>
      <w:r w:rsidRPr="00D800F0">
        <w:rPr>
          <w:rFonts w:ascii="Arial" w:hAnsi="Arial" w:cs="Arial"/>
          <w:lang w:eastAsia="en-GB"/>
        </w:rPr>
        <w:tab/>
        <w:t>Explaining the variance in tax credit deductions across technologies is challenging when relying solely on aggregate metrics like total tax credits. This complexity arises from the interplay among several factors: income tax and profitability, depreciation, loan payments, and the market value of the tax credits themselves. In highly profitable cases, income taxes increase the potential for tax reduction without needing to trade credits, resulting in minimal loss in value. Conversely, an unprofitable process with negative cash flows has no income tax liability, requiring the awarded tax credits to be traded at a lesser value. Adding to this complexity are the effects of depreciation and loan payments, which reduce net revenue and income tax. While these elements act as a tax shield, they can also lower the value of eligible tax credits. Notably, these credits are generally awarded in the first 12 years of operation, during which depreciation and loan payments are still ongoing.</w:t>
      </w:r>
    </w:p>
    <w:p w14:paraId="079A95BA" w14:textId="77777777" w:rsidR="001339DD" w:rsidRPr="00D800F0" w:rsidRDefault="001339DD" w:rsidP="001339DD">
      <w:pPr>
        <w:rPr>
          <w:rFonts w:ascii="Arial" w:hAnsi="Arial" w:cs="Arial"/>
          <w:lang w:eastAsia="en-GB"/>
        </w:rPr>
      </w:pPr>
      <w:r w:rsidRPr="00D800F0">
        <w:rPr>
          <w:rFonts w:ascii="Arial" w:hAnsi="Arial" w:cs="Arial"/>
          <w:lang w:eastAsia="en-GB"/>
        </w:rPr>
        <w:tab/>
        <w:t xml:space="preserve">When evaluating the cash-equivalent tax credits discounted at a 9.3% rate, they fall below the potential tax credits in scenarios A and C. However, in scenarios 2026B and 2033B, these cash-equivalent credits can exceed the potential tax credits discounted at a 2% rate. For AP CCS and AP BH2S, the cash-equivalent tax credits discounted at 9.3% closely align with the potential tax credits. AP CCS’ potential tax credits are valued at $3.48/kgH2, while the cash-equivalent value is $3.43/kgH2 in 2026 (at a 9.3% rate). Similarly, AP BH2S shows a potential value of $3.42/kgH2 versus a cash-equivalent value of $3.35/kgH2 in 2026. In contrast, AP AEC sees a significant gain in value when discounted at a 9.3% rate compared to a 2% rate. The </w:t>
      </w:r>
      <w:r w:rsidRPr="00D800F0">
        <w:rPr>
          <w:rFonts w:ascii="Arial" w:hAnsi="Arial" w:cs="Arial"/>
          <w:lang w:eastAsia="en-GB"/>
        </w:rPr>
        <w:lastRenderedPageBreak/>
        <w:t xml:space="preserve">potential tax credits are valued at $6.07/kgH2, while the cash-equivalent value at a 9.3% discount rate is $6.97 per kilogram in 2026. </w:t>
      </w:r>
    </w:p>
    <w:p w14:paraId="506EA343" w14:textId="77777777" w:rsidR="001339DD" w:rsidRPr="00D800F0" w:rsidRDefault="001339DD" w:rsidP="001339DD">
      <w:pPr>
        <w:rPr>
          <w:rFonts w:ascii="Arial" w:hAnsi="Arial" w:cs="Arial"/>
          <w:lang w:eastAsia="en-GB"/>
        </w:rPr>
      </w:pPr>
      <w:r w:rsidRPr="00D800F0">
        <w:rPr>
          <w:rFonts w:ascii="Arial" w:hAnsi="Arial" w:cs="Arial"/>
          <w:lang w:eastAsia="en-GB"/>
        </w:rPr>
        <w:tab/>
        <w:t>In 2033, a similar trend is observed. AP CCS has potential tax credits valued at $3.22/kgH2, with its cash equivalent at $3.09/kgH2. Biomass gasification follows suit, showing a potential value of $3.19/kgH2 and a cash-equivalent value of $3.04/kgH2. The additional value from discounting the cash-equivalent credits at 9.3% diminishes alkaline electrolysis ammonia. The gap narrows from approximately $0.90 to $0.33/kgH2. The potential tax credits are valued at $4.51/kgH2, while the cash equivalent at a 9.3% discount rate is $4.84/kgH2.</w:t>
      </w:r>
    </w:p>
    <w:p w14:paraId="3F7A1F00" w14:textId="46ECB4B0" w:rsidR="001339DD" w:rsidRPr="00D800F0" w:rsidRDefault="001339DD" w:rsidP="001339DD">
      <w:pPr>
        <w:rPr>
          <w:rFonts w:ascii="Arial" w:hAnsi="Arial" w:cs="Arial"/>
          <w:lang w:eastAsia="en-GB"/>
        </w:rPr>
      </w:pPr>
      <w:r w:rsidRPr="00D800F0">
        <w:rPr>
          <w:rFonts w:ascii="Arial" w:hAnsi="Arial" w:cs="Arial"/>
          <w:lang w:eastAsia="en-GB"/>
        </w:rPr>
        <w:tab/>
        <w:t>Indeed, for all scenarios, we assume that the market value of the tax credits is the same across technologies. This assumption becomes particularly salient in the context of CCS, where both environmental and financial risks related to CO2 leakage present significant challenges (Herzog, 2011; Bartlett &amp; Krupnick, 2019). According to Norton Rose Fulbright, the financial liability for recapture under 45Q credits lasts for 15 years (Martin, 2021; Burton, 2023), thereby increasing the risk profile for tax equity investors. Consequently, the actual market value of these credits may be considerably lower than their nominal value, influencing both investment decisions and the rate of technology adoption (D’Alelio et al., 2022). Therefore, the commonly assumed value of tax credits in fostering AP CCS technologies may be more overestimated than other technologies, necessitating a more comprehensive analysis than what we present.</w:t>
      </w:r>
    </w:p>
    <w:p w14:paraId="4B041EC9" w14:textId="77777777" w:rsidR="001339DD" w:rsidRPr="00D800F0" w:rsidRDefault="001339DD" w:rsidP="001339DD">
      <w:pPr>
        <w:rPr>
          <w:rFonts w:ascii="Arial" w:hAnsi="Arial" w:cs="Arial"/>
          <w:lang w:eastAsia="en-GB"/>
        </w:rPr>
      </w:pPr>
      <w:r w:rsidRPr="00D800F0">
        <w:rPr>
          <w:rFonts w:ascii="Arial" w:hAnsi="Arial" w:cs="Arial"/>
          <w:lang w:eastAsia="en-GB"/>
        </w:rPr>
        <w:t>The value discrepancy across discount rates arises from the uneven temporal distribution of tax credits in scenario B, specifically 48E credits. These are awarded in the first year of operation and represent a substantial initial cash influx to the ammonia production process. Given the lower discount rate applied to this immediate cash injection, as opposed to hydrogen production 9 to 10 years later, the value per kilogram of hydrogen becomes significantly higher. This is especially true for private investors with higher discount rates than public investments.</w:t>
      </w:r>
    </w:p>
    <w:p w14:paraId="3EC8DE30" w14:textId="781DF269" w:rsidR="001339DD" w:rsidRPr="00D800F0" w:rsidRDefault="001339DD" w:rsidP="001339DD">
      <w:pPr>
        <w:rPr>
          <w:rFonts w:ascii="Arial" w:hAnsi="Arial" w:cs="Arial"/>
          <w:lang w:eastAsia="en-GB"/>
        </w:rPr>
      </w:pPr>
      <w:r w:rsidRPr="00D800F0">
        <w:rPr>
          <w:rFonts w:ascii="Arial" w:hAnsi="Arial" w:cs="Arial"/>
          <w:lang w:eastAsia="en-GB"/>
        </w:rPr>
        <w:tab/>
        <w:t>In conclusion, the general trend shows that the cash-equivalent value of tax credits typically falls short of the nominal value the government offers. Traditional levelized cost approaches have often overlooked this discrepancy, thereby overestimating the actual policy support. As the market value of these tax credits approaches $1 per tax credit, the gap between the levelized cost and net present value methods narrows. However, the actual market value of these credits remains uncertain due to the high-risk nature of these technologies. For instance, investors purchasing future tax credits from a particular low-carbon process risk acquiring ineligible or nonexistent credits if the process fails to meet the requisite carbon intensity levels for qualification. Such risk assessments incur additional verification, compliance, and monitoring costs. Nonetheless, it is reasonable to suggest that the actual value of tax credits could be considerably lower than projected, creating substantial valuation gaps between levelized cost and net present value approaches.</w:t>
      </w:r>
    </w:p>
    <w:p w14:paraId="2557F98A" w14:textId="77777777" w:rsidR="00EE3C1F" w:rsidRPr="00D800F0" w:rsidRDefault="00EE3C1F" w:rsidP="00EE3C1F">
      <w:pPr>
        <w:pStyle w:val="Heading3"/>
        <w:rPr>
          <w:rFonts w:ascii="Arial" w:hAnsi="Arial" w:cs="Arial"/>
        </w:rPr>
      </w:pPr>
      <w:bookmarkStart w:id="117" w:name="_Toc148296656"/>
      <w:r w:rsidRPr="00D800F0">
        <w:rPr>
          <w:rFonts w:ascii="Arial" w:hAnsi="Arial" w:cs="Arial"/>
        </w:rPr>
        <w:t>Sensitivity analysis 1: Impact of carbon border adjustment mechanism</w:t>
      </w:r>
      <w:bookmarkEnd w:id="117"/>
    </w:p>
    <w:p w14:paraId="36D505F3" w14:textId="1CE8B054" w:rsidR="001339DD" w:rsidRPr="00D800F0" w:rsidRDefault="001339DD" w:rsidP="001339DD">
      <w:pPr>
        <w:rPr>
          <w:rFonts w:ascii="Arial" w:hAnsi="Arial" w:cs="Arial"/>
        </w:rPr>
      </w:pPr>
      <w:r w:rsidRPr="00D800F0">
        <w:rPr>
          <w:rFonts w:ascii="Arial" w:hAnsi="Arial" w:cs="Arial"/>
        </w:rPr>
        <w:t xml:space="preserve">CBAM will be fully operational by 2033 (European Commission, 2023), so we model this scenario exclusively for 2033. As the European AP SMR progresses towards increasingly cleaner operations (see SI E), AP SMR and AP AEC surpass the threshold and experience diminishing cash flows over time. Conversely, those below the threshold see cash flow increases. With the advent of a border carbon tax, AP CCS and AP BH2S fall below the threshold European AP CI and realize an enhancement in profitability by approximately $13/MT </w:t>
      </w:r>
      <w:r w:rsidRPr="00D800F0">
        <w:rPr>
          <w:rFonts w:ascii="Arial" w:hAnsi="Arial" w:cs="Arial"/>
        </w:rPr>
        <w:lastRenderedPageBreak/>
        <w:t>of NH3 across all scenarios, given a CBAM certificate price uniformly ranging from $35-100 per MT of CO</w:t>
      </w:r>
      <w:r w:rsidRPr="00D800F0">
        <w:rPr>
          <w:rFonts w:ascii="Arial" w:hAnsi="Arial" w:cs="Arial"/>
          <w:vertAlign w:val="subscript"/>
        </w:rPr>
        <w:t>2e</w:t>
      </w:r>
      <w:r w:rsidRPr="00D800F0">
        <w:rPr>
          <w:rFonts w:ascii="Arial" w:hAnsi="Arial" w:cs="Arial"/>
        </w:rPr>
        <w:t xml:space="preserve"> (see sheet named </w:t>
      </w:r>
      <w:r w:rsidRPr="00D800F0">
        <w:rPr>
          <w:rFonts w:ascii="Arial" w:hAnsi="Arial" w:cs="Arial"/>
          <w:b/>
          <w:bCs/>
          <w:i/>
          <w:iCs/>
        </w:rPr>
        <w:t>IRA_NPV</w:t>
      </w:r>
      <w:r w:rsidRPr="00D800F0">
        <w:rPr>
          <w:rFonts w:ascii="Arial" w:hAnsi="Arial" w:cs="Arial"/>
        </w:rPr>
        <w:t>).</w:t>
      </w:r>
    </w:p>
    <w:p w14:paraId="12502B69" w14:textId="77777777" w:rsidR="001339DD" w:rsidRPr="00D800F0" w:rsidRDefault="001339DD" w:rsidP="001339DD">
      <w:pPr>
        <w:rPr>
          <w:rFonts w:ascii="Arial" w:hAnsi="Arial" w:cs="Arial"/>
        </w:rPr>
      </w:pPr>
      <w:r w:rsidRPr="00D800F0">
        <w:rPr>
          <w:rFonts w:ascii="Arial" w:hAnsi="Arial" w:cs="Arial"/>
        </w:rPr>
        <w:t xml:space="preserve">As would be expected, when the CBAM is introduced, the AP SMR's economic performance is pushed down while the low-carbon technologies increase. The exception is AP AEC in scenarios A and B, which have higher emissions than the established cap. In the previous US-focused context, AP BH2S and AP CCS were not, on average, competitive with AP SMR without CBAM in scenarios A and B. With CBAM in place, the median performance of AP BH2S and AP CCS improves by 13 and 14$/MT, respectively, while the AP SMR's median performance diminishes by $3/tNH3. As expected, when targeting European exports under CBAM, AP BH2S and AP CCS are poised to be as profitable as AP SMR. AP CCS is $4/tNH3 above AP SMR, and AP BH2S is $1/tNH3 above AP SMR. </w:t>
      </w:r>
    </w:p>
    <w:p w14:paraId="289E0F12" w14:textId="77777777" w:rsidR="001339DD" w:rsidRPr="00D800F0" w:rsidRDefault="001339DD" w:rsidP="001339DD">
      <w:pPr>
        <w:ind w:firstLine="720"/>
        <w:rPr>
          <w:rFonts w:ascii="Arial" w:hAnsi="Arial" w:cs="Arial"/>
        </w:rPr>
      </w:pPr>
      <w:r w:rsidRPr="00D800F0">
        <w:rPr>
          <w:rFonts w:ascii="Arial" w:hAnsi="Arial" w:cs="Arial"/>
        </w:rPr>
        <w:t>In scenario 2033C, the technologies were already on par with AP SMR without CBAM. Previously, the median performance of AP CCS and AP BH2S matched that of AP SMR. Now, the median of AP CCS and AP BH2S technologies occupy the 75</w:t>
      </w:r>
      <w:r w:rsidRPr="00D800F0">
        <w:rPr>
          <w:rFonts w:ascii="Arial" w:hAnsi="Arial" w:cs="Arial"/>
          <w:vertAlign w:val="superscript"/>
        </w:rPr>
        <w:t>th</w:t>
      </w:r>
      <w:r w:rsidRPr="00D800F0">
        <w:rPr>
          <w:rFonts w:ascii="Arial" w:hAnsi="Arial" w:cs="Arial"/>
        </w:rPr>
        <w:t xml:space="preserve"> percentile of AP SMR ($58/MT), implying that AP SMR has only a 25% probability of matching or surpassing the median performance of AP CCS and AP BH2S.</w:t>
      </w:r>
    </w:p>
    <w:p w14:paraId="52B4FAA8" w14:textId="77777777" w:rsidR="001339DD" w:rsidRPr="00D800F0" w:rsidRDefault="001339DD" w:rsidP="001339DD">
      <w:pPr>
        <w:rPr>
          <w:rFonts w:ascii="Arial" w:hAnsi="Arial" w:cs="Arial"/>
        </w:rPr>
      </w:pPr>
      <w:r w:rsidRPr="00D800F0">
        <w:rPr>
          <w:rFonts w:ascii="Arial" w:hAnsi="Arial" w:cs="Arial"/>
        </w:rPr>
        <w:tab/>
        <w:t>In scenario A, AP AEC struggles to compete under the CBAM framework. It emits too much and incurs CBAM certificate costs rather than benefits. Scenario B accumulates excessive costs associated with upfront investment in the hybrid wind farm, exceeding the benefits from CBAM, hence still underperforming compared to all other AP options. Nonetheless, in scenario C, AP AEC surpasses AP SMR in performance because of the advantage of the PPA and CBAM support. In the baseline 2033C, AP AEC surpasses AP SMR by $13/tNH3. Under CBAM, this difference becomes $30/tNH3.</w:t>
      </w:r>
    </w:p>
    <w:p w14:paraId="6B7DD7D2" w14:textId="25C13E90" w:rsidR="001339DD" w:rsidRPr="00D800F0" w:rsidRDefault="001339DD" w:rsidP="001339DD">
      <w:pPr>
        <w:rPr>
          <w:rFonts w:ascii="Arial" w:eastAsiaTheme="majorEastAsia" w:hAnsi="Arial" w:cs="Arial"/>
          <w:color w:val="2F5496" w:themeColor="accent1" w:themeShade="BF"/>
          <w:sz w:val="32"/>
          <w:szCs w:val="32"/>
        </w:rPr>
      </w:pPr>
      <w:r w:rsidRPr="00D800F0">
        <w:rPr>
          <w:rFonts w:ascii="Arial" w:hAnsi="Arial" w:cs="Arial"/>
        </w:rPr>
        <w:tab/>
        <w:t>Inherent to this analysis is the assumption that the IRA mandates monthly renewable electricity and hydrogen production matching. Extensive discourse surrounds the impact of matching rules on green hydrogen deployment (see, e.g., Cybulsky et al., 2023; Ricks et al., 2023; Vargas et al., 2023; Boston Consulting Group, 2023; Riley et al., 2023; Ruhnau &amp; Schiele, 2023). Yearly matching, while promoting green hydrogen deployment, comes at the cost of consequential emissions depending on power grid CI. Conversely, hourly matching would decelerate green hydrogen adoption while closely ensuring zero emissions. Therefore, in the following sensitivity analysis, we gauge the impact of yearly and hourly matching requirements on the performance of low-carbon AP options.</w:t>
      </w:r>
    </w:p>
    <w:p w14:paraId="301799CD" w14:textId="77777777" w:rsidR="00EE3C1F" w:rsidRPr="00D800F0" w:rsidRDefault="00EE3C1F" w:rsidP="00EE3C1F">
      <w:pPr>
        <w:pStyle w:val="Heading3"/>
        <w:rPr>
          <w:rFonts w:ascii="Arial" w:hAnsi="Arial" w:cs="Arial"/>
        </w:rPr>
      </w:pPr>
      <w:bookmarkStart w:id="118" w:name="_Toc148296657"/>
      <w:r w:rsidRPr="00D800F0">
        <w:rPr>
          <w:rFonts w:ascii="Arial" w:hAnsi="Arial" w:cs="Arial"/>
        </w:rPr>
        <w:t>Sensitivity analysis 2: Cost of matching renewable generation with hydrogen production</w:t>
      </w:r>
      <w:bookmarkEnd w:id="118"/>
    </w:p>
    <w:p w14:paraId="59414C81" w14:textId="77777777" w:rsidR="001339DD" w:rsidRPr="00D800F0" w:rsidRDefault="001339DD" w:rsidP="001339DD">
      <w:pPr>
        <w:rPr>
          <w:rFonts w:ascii="Arial" w:eastAsia="Times New Roman" w:hAnsi="Arial" w:cs="Arial"/>
          <w:color w:val="000000" w:themeColor="text1"/>
        </w:rPr>
      </w:pPr>
      <w:r w:rsidRPr="00D800F0">
        <w:rPr>
          <w:rFonts w:ascii="Arial" w:hAnsi="Arial" w:cs="Arial"/>
          <w:color w:val="000000" w:themeColor="text1"/>
        </w:rPr>
        <w:t xml:space="preserve">It is worth noting that </w:t>
      </w:r>
      <w:r w:rsidRPr="00D800F0">
        <w:rPr>
          <w:rFonts w:ascii="Arial" w:eastAsia="Times New Roman" w:hAnsi="Arial" w:cs="Arial"/>
          <w:color w:val="000000" w:themeColor="text1"/>
        </w:rPr>
        <w:t xml:space="preserve">due to primarily inherent </w:t>
      </w:r>
      <w:r w:rsidRPr="00D800F0">
        <w:rPr>
          <w:rFonts w:ascii="Arial" w:hAnsi="Arial" w:cs="Arial"/>
          <w:color w:val="000000" w:themeColor="text1"/>
        </w:rPr>
        <w:t xml:space="preserve">physical and technical limitations, the requirement of a steady-state/stable hydrogen production output profile still dominates industrial applications of end-use hydrogen such as i) ammonia (36%), methanol (15%), ii) hydrogen liquefication for transportation purposes, iii) hydrogen utilization in oil refining facilities to </w:t>
      </w:r>
      <w:r w:rsidRPr="00D800F0">
        <w:rPr>
          <w:rFonts w:ascii="Arial" w:eastAsia="Times New Roman" w:hAnsi="Arial" w:cs="Arial"/>
          <w:color w:val="000000" w:themeColor="text1"/>
        </w:rPr>
        <w:t xml:space="preserve">desulfurize oil (42%), iv) mining activities and also in v) steelmaking through the direct reduced iron (DRI) process (5%) (Barbir et al. 2016; IEA 2019;  </w:t>
      </w:r>
      <w:r w:rsidRPr="00D800F0">
        <w:rPr>
          <w:rFonts w:ascii="Arial" w:hAnsi="Arial" w:cs="Arial"/>
          <w:color w:val="000000" w:themeColor="text1"/>
        </w:rPr>
        <w:t xml:space="preserve">Dincer and Ishak 2021; </w:t>
      </w:r>
      <w:r w:rsidRPr="00D800F0">
        <w:rPr>
          <w:rFonts w:ascii="Arial" w:eastAsia="Times New Roman" w:hAnsi="Arial" w:cs="Arial"/>
          <w:color w:val="000000" w:themeColor="text1"/>
        </w:rPr>
        <w:t xml:space="preserve">van Wijk 2021; </w:t>
      </w:r>
      <w:r w:rsidRPr="00D800F0">
        <w:rPr>
          <w:rFonts w:ascii="Arial" w:hAnsi="Arial" w:cs="Arial"/>
          <w:color w:val="000000" w:themeColor="text1"/>
        </w:rPr>
        <w:t>Genovese 2023)</w:t>
      </w:r>
      <w:r w:rsidRPr="00D800F0">
        <w:rPr>
          <w:rFonts w:ascii="Arial" w:eastAsia="Times New Roman" w:hAnsi="Arial" w:cs="Arial"/>
          <w:color w:val="000000" w:themeColor="text1"/>
        </w:rPr>
        <w:t>.</w:t>
      </w:r>
    </w:p>
    <w:p w14:paraId="3920E441" w14:textId="77777777" w:rsidR="001339DD" w:rsidRPr="00D800F0" w:rsidRDefault="001339DD" w:rsidP="001339DD">
      <w:pPr>
        <w:ind w:firstLine="720"/>
        <w:rPr>
          <w:rFonts w:ascii="Arial" w:eastAsia="Times New Roman" w:hAnsi="Arial" w:cs="Arial"/>
          <w:color w:val="000000" w:themeColor="text1"/>
        </w:rPr>
      </w:pPr>
      <w:r w:rsidRPr="00D800F0">
        <w:rPr>
          <w:rFonts w:ascii="Arial" w:eastAsia="Times New Roman" w:hAnsi="Arial" w:cs="Arial"/>
          <w:color w:val="000000" w:themeColor="text1"/>
        </w:rPr>
        <w:t xml:space="preserve">In all the above industrial applications, modern sensor and feedback control technology is employed to ensure smooth dynamic reversion to the desirable design operating steady states in the presence of inevitable disturbances/shocks (system regulation) and also enforce </w:t>
      </w:r>
      <w:r w:rsidRPr="00D800F0">
        <w:rPr>
          <w:rFonts w:ascii="Arial" w:eastAsia="Times New Roman" w:hAnsi="Arial" w:cs="Arial"/>
          <w:color w:val="000000" w:themeColor="text1"/>
        </w:rPr>
        <w:lastRenderedPageBreak/>
        <w:t xml:space="preserve">smooth transitions under desirable time scales to new operating steady states (set point tracking) that may reflect new production (or other performance-related requirements) (Barbir et al. 2016; Green and Southard 2018; </w:t>
      </w:r>
      <w:r w:rsidRPr="00D800F0">
        <w:rPr>
          <w:rFonts w:ascii="Arial" w:hAnsi="Arial" w:cs="Arial"/>
          <w:color w:val="000000" w:themeColor="text1"/>
        </w:rPr>
        <w:t>Dincer and Ishak 2021</w:t>
      </w:r>
      <w:r w:rsidRPr="00D800F0">
        <w:rPr>
          <w:rFonts w:ascii="Arial" w:eastAsia="Times New Roman" w:hAnsi="Arial" w:cs="Arial"/>
          <w:color w:val="000000" w:themeColor="text1"/>
        </w:rPr>
        <w:t>).</w:t>
      </w:r>
    </w:p>
    <w:p w14:paraId="3DE160F6" w14:textId="77777777" w:rsidR="001339DD" w:rsidRPr="00D800F0" w:rsidRDefault="001339DD" w:rsidP="001339DD">
      <w:pPr>
        <w:rPr>
          <w:rFonts w:ascii="Arial" w:eastAsia="Times New Roman" w:hAnsi="Arial" w:cs="Arial"/>
          <w:color w:val="000000" w:themeColor="text1"/>
        </w:rPr>
      </w:pPr>
      <w:r w:rsidRPr="00D800F0">
        <w:rPr>
          <w:rFonts w:ascii="Arial" w:eastAsia="Times New Roman" w:hAnsi="Arial" w:cs="Arial"/>
          <w:color w:val="000000" w:themeColor="text1"/>
        </w:rPr>
        <w:tab/>
        <w:t>However, in systems reliant on continuous hydrogen intake without hydrogen storage (i.e., ammonia, methanol, etc.), conventional control systems face limitations in adapting to the rapid variability of hydrogen input with the existing control system and equipment technology. While hydrogen production can fluctuate on a minute time scale, the Haber-Bosch process lacks such agility. The initiation of the Haber-Bosch (HB) system startup can span multiple days (Verleysen et al., 2023). Armijo and Philibert (2020) highlighted the HBS flexibility at 20% of the nominal hourly flow rate. Across the capacity factor datasets we study, we ascertain an hourly coefficient of variation ranging from 67% to 108%</w:t>
      </w:r>
      <w:r w:rsidRPr="00D800F0">
        <w:rPr>
          <w:rStyle w:val="FootnoteReference"/>
          <w:rFonts w:ascii="Arial" w:eastAsia="Times New Roman" w:hAnsi="Arial" w:cs="Arial"/>
          <w:color w:val="000000" w:themeColor="text1"/>
        </w:rPr>
        <w:footnoteReference w:id="19"/>
      </w:r>
      <w:r w:rsidRPr="00D800F0">
        <w:rPr>
          <w:rFonts w:ascii="Arial" w:eastAsia="Times New Roman" w:hAnsi="Arial" w:cs="Arial"/>
          <w:color w:val="000000" w:themeColor="text1"/>
        </w:rPr>
        <w:t>. Given that green hydrogen production closely parallels electricity production on a minute scale, steady-state green hydrogen supply from VREs to the Haber-Bosch process is technically not feasible in the IRA timeframe.</w:t>
      </w:r>
    </w:p>
    <w:p w14:paraId="326F0855" w14:textId="23A4D6A3" w:rsidR="001339DD" w:rsidRPr="00D800F0" w:rsidRDefault="001339DD" w:rsidP="001339DD">
      <w:pPr>
        <w:rPr>
          <w:rFonts w:ascii="Arial" w:hAnsi="Arial" w:cs="Arial"/>
          <w:noProof/>
        </w:rPr>
      </w:pPr>
      <w:r w:rsidRPr="00D800F0">
        <w:rPr>
          <w:rFonts w:ascii="Arial" w:eastAsia="Times New Roman" w:hAnsi="Arial" w:cs="Arial"/>
          <w:color w:val="000000" w:themeColor="text1"/>
        </w:rPr>
        <w:tab/>
        <w:t xml:space="preserve">In the ensuing section, we explore the implications of changing electricity-hydrogen matching rules while aligning with the Haber-Bosch process's steady-state requirements. In the ensuing section, we explore the implications of changing electricity-hydrogen matching rules while aligning with the Haber-Bosch process's steady-state requirements. We focus on AP AEC because it is the most sensitive technology to electricity by a large margin. The other technologies experience the same effects but to a lesser extent ( see sheet named </w:t>
      </w:r>
      <w:r w:rsidRPr="00D800F0">
        <w:rPr>
          <w:rFonts w:ascii="Arial" w:eastAsia="Times New Roman" w:hAnsi="Arial" w:cs="Arial"/>
          <w:b/>
          <w:bCs/>
          <w:i/>
          <w:iCs/>
          <w:color w:val="000000" w:themeColor="text1"/>
        </w:rPr>
        <w:t>IRA_NPV</w:t>
      </w:r>
      <w:r w:rsidRPr="00D800F0">
        <w:rPr>
          <w:rFonts w:ascii="Arial" w:eastAsia="Times New Roman" w:hAnsi="Arial" w:cs="Arial"/>
          <w:b/>
          <w:bCs/>
          <w:color w:val="000000" w:themeColor="text1"/>
        </w:rPr>
        <w:t>)</w:t>
      </w:r>
      <w:r w:rsidRPr="00D800F0">
        <w:rPr>
          <w:rFonts w:ascii="Arial" w:eastAsia="Times New Roman" w:hAnsi="Arial" w:cs="Arial"/>
          <w:color w:val="000000" w:themeColor="text1"/>
        </w:rPr>
        <w:t xml:space="preserve">. </w:t>
      </w:r>
    </w:p>
    <w:p w14:paraId="00AF67F9" w14:textId="77777777" w:rsidR="00EE3C1F" w:rsidRPr="00D800F0" w:rsidRDefault="00EE3C1F" w:rsidP="00EE3C1F">
      <w:pPr>
        <w:pStyle w:val="Heading4"/>
        <w:rPr>
          <w:rFonts w:ascii="Arial" w:hAnsi="Arial" w:cs="Arial"/>
        </w:rPr>
      </w:pPr>
      <w:r w:rsidRPr="00D800F0">
        <w:rPr>
          <w:rFonts w:ascii="Arial" w:hAnsi="Arial" w:cs="Arial"/>
        </w:rPr>
        <w:t>Yearly Matching</w:t>
      </w:r>
    </w:p>
    <w:p w14:paraId="7EDC3ECF" w14:textId="77777777" w:rsidR="001339DD" w:rsidRPr="00D800F0" w:rsidRDefault="001339DD" w:rsidP="001339DD">
      <w:pPr>
        <w:rPr>
          <w:rFonts w:ascii="Arial" w:hAnsi="Arial" w:cs="Arial"/>
          <w:noProof/>
        </w:rPr>
      </w:pPr>
      <w:r w:rsidRPr="00D800F0">
        <w:rPr>
          <w:rFonts w:ascii="Arial" w:hAnsi="Arial" w:cs="Arial"/>
          <w:noProof/>
        </w:rPr>
        <w:t>Replacing monthly constraints with yearly constraints yields positive outcomes for AEC. In 2026B, yearly matching AP AEC NPV outperforms monthly matching NPV by $289/tNH3. Furthermore, the gap between AP SMR and AP AEC shortens from $471/tNH3 (monthly matched) to $182/tNH3 (yearly matched) in scenario 2026B. Significant enhancements are also observed in AP AEC’s NPV in 2033 scenario B (by $134/tNH3). The gap between AP AEC and AP SMR shrunk from $155/tNH3 to $38/tNH3 from monthly to yearly matching. The difference in NPV between yearly and monthly scenarios for scenario B, between 2026 and 2033, shrunk by 60% ($289/MT in 2023 to $117/MT in 2033). As renewable technology becomes more efficient and cheaper, the economic gain from relaxed matching shrinks considerably.</w:t>
      </w:r>
    </w:p>
    <w:p w14:paraId="2E245B3F" w14:textId="77777777" w:rsidR="001339DD" w:rsidRPr="00D800F0" w:rsidRDefault="001339DD" w:rsidP="001339DD">
      <w:pPr>
        <w:rPr>
          <w:rFonts w:ascii="Arial" w:hAnsi="Arial" w:cs="Arial"/>
          <w:noProof/>
        </w:rPr>
      </w:pPr>
      <w:r w:rsidRPr="00D800F0">
        <w:rPr>
          <w:rFonts w:ascii="Arial" w:hAnsi="Arial" w:cs="Arial"/>
          <w:noProof/>
        </w:rPr>
        <w:t>Under the monthly scenario and in the absence of batteries, the wind farm must be designed to ensure that there is sufficient energy supply for the AP plant even during the least efficient month of electricity production (typically in the summer; see SI D for more details). In the monthly matching scenario context, due to the cost differential between wind and battery technologies and wind resource availability (see section D), our optimization reveals that the most cost-effective solution is oversizing the wind farm without a battery.</w:t>
      </w:r>
    </w:p>
    <w:p w14:paraId="43CD4379" w14:textId="77777777" w:rsidR="001339DD" w:rsidRPr="00D800F0" w:rsidRDefault="001339DD" w:rsidP="001339DD">
      <w:pPr>
        <w:rPr>
          <w:rFonts w:ascii="Arial" w:hAnsi="Arial" w:cs="Arial"/>
        </w:rPr>
      </w:pPr>
      <w:r w:rsidRPr="00D800F0">
        <w:rPr>
          <w:rFonts w:ascii="Arial" w:hAnsi="Arial" w:cs="Arial"/>
          <w:noProof/>
        </w:rPr>
        <w:tab/>
        <w:t>Conversely, under a yearly matching scenario, the wind plant's objective is to generate sufficient renewable energy over a year to meet the energy requirements of the AP plant. When the wind farm falls short of producing the necessary electricity, the AP plant draws power from the grid, resulting in CO</w:t>
      </w:r>
      <w:r w:rsidRPr="00D800F0">
        <w:rPr>
          <w:rFonts w:ascii="Arial" w:hAnsi="Arial" w:cs="Arial"/>
          <w:noProof/>
          <w:vertAlign w:val="subscript"/>
        </w:rPr>
        <w:t>2</w:t>
      </w:r>
      <w:r w:rsidRPr="00D800F0">
        <w:rPr>
          <w:rFonts w:ascii="Arial" w:hAnsi="Arial" w:cs="Arial"/>
          <w:noProof/>
        </w:rPr>
        <w:t xml:space="preserve"> emissions (which depend on the grid’s CI; see Ricks et al. 2023 for a </w:t>
      </w:r>
      <w:r w:rsidRPr="00D800F0">
        <w:rPr>
          <w:rFonts w:ascii="Arial" w:hAnsi="Arial" w:cs="Arial"/>
          <w:noProof/>
        </w:rPr>
        <w:lastRenderedPageBreak/>
        <w:t>discussion of this issue). Conversely, the excess clean energy could neutralize the CO</w:t>
      </w:r>
      <w:r w:rsidRPr="00D800F0">
        <w:rPr>
          <w:rFonts w:ascii="Arial" w:hAnsi="Arial" w:cs="Arial"/>
          <w:noProof/>
          <w:vertAlign w:val="subscript"/>
        </w:rPr>
        <w:t>2</w:t>
      </w:r>
      <w:r w:rsidRPr="00D800F0">
        <w:rPr>
          <w:rFonts w:ascii="Arial" w:hAnsi="Arial" w:cs="Arial"/>
          <w:noProof/>
        </w:rPr>
        <w:t xml:space="preserve"> emissions during wind farm surpluses.</w:t>
      </w:r>
      <w:r w:rsidRPr="00D800F0">
        <w:rPr>
          <w:rStyle w:val="FootnoteReference"/>
          <w:rFonts w:ascii="Arial" w:hAnsi="Arial" w:cs="Arial"/>
          <w:noProof/>
        </w:rPr>
        <w:footnoteReference w:id="20"/>
      </w:r>
      <w:r w:rsidRPr="00D800F0">
        <w:rPr>
          <w:rFonts w:ascii="Arial" w:hAnsi="Arial" w:cs="Arial"/>
          <w:noProof/>
        </w:rPr>
        <w:t xml:space="preserve"> However, this assessment does not encompass the potential consequential emissions arising from the need for additional dispatchable (most likely fossil-based) power to meet the increased power demand of the AP plant. This observation aligns with the conclusions drawn by Ricks et al. (2023) and other relevant studies </w:t>
      </w:r>
      <w:r w:rsidRPr="00D800F0">
        <w:rPr>
          <w:rFonts w:ascii="Arial" w:hAnsi="Arial" w:cs="Arial"/>
        </w:rPr>
        <w:t>(Cybulsky et al., 2023; Vargas et al., 2023; Boston Consulting Group, 2023)</w:t>
      </w:r>
      <w:r w:rsidRPr="00D800F0">
        <w:rPr>
          <w:rFonts w:ascii="Arial" w:hAnsi="Arial" w:cs="Arial"/>
          <w:noProof/>
        </w:rPr>
        <w:t>.</w:t>
      </w:r>
      <w:r w:rsidRPr="00D800F0">
        <w:rPr>
          <w:rFonts w:ascii="Arial" w:hAnsi="Arial" w:cs="Arial"/>
        </w:rPr>
        <w:t xml:space="preserve"> </w:t>
      </w:r>
    </w:p>
    <w:p w14:paraId="34A24CA7" w14:textId="77777777" w:rsidR="001339DD" w:rsidRPr="00D800F0" w:rsidRDefault="001339DD" w:rsidP="001339DD">
      <w:pPr>
        <w:rPr>
          <w:rFonts w:ascii="Arial" w:hAnsi="Arial" w:cs="Arial"/>
          <w:noProof/>
        </w:rPr>
      </w:pPr>
      <w:r w:rsidRPr="00D800F0">
        <w:rPr>
          <w:rFonts w:ascii="Arial" w:hAnsi="Arial" w:cs="Arial"/>
        </w:rPr>
        <w:tab/>
        <w:t>In scenario C, the performance between yearly and monthly matching is the same because there is no battery storage. When there are no batteries, the only difference between yearly and monthly matching is the wind farm's capacity. The PPA price is indifferent to scale (capacity) and equal across these matching cases ($46.2/MWh) (see SI D for more details).</w:t>
      </w:r>
    </w:p>
    <w:p w14:paraId="70287066" w14:textId="3D4E38D4" w:rsidR="001339DD" w:rsidRPr="00D800F0" w:rsidRDefault="001339DD" w:rsidP="001339DD">
      <w:pPr>
        <w:rPr>
          <w:rFonts w:ascii="Arial" w:hAnsi="Arial" w:cs="Arial"/>
          <w:noProof/>
        </w:rPr>
      </w:pPr>
      <w:r w:rsidRPr="00D800F0">
        <w:rPr>
          <w:rFonts w:ascii="Arial" w:hAnsi="Arial" w:cs="Arial"/>
        </w:rPr>
        <w:tab/>
        <w:t xml:space="preserve">In scenario B, </w:t>
      </w:r>
      <w:r w:rsidRPr="00D800F0">
        <w:rPr>
          <w:rFonts w:ascii="Arial" w:hAnsi="Arial" w:cs="Arial"/>
          <w:noProof/>
        </w:rPr>
        <w:t>the significant shortening of the matching gap is due to the compounding effects of both technology cost reductions and increasing wind farm capacity factors. As wind turbine hub height increases (in our study, 90m in 2023 to 120m in 2030), so is the average capacity factor, reducing the required wind design capacity by 16% (</w:t>
      </w:r>
      <w:r w:rsidRPr="00D800F0">
        <w:rPr>
          <w:rFonts w:ascii="Arial" w:hAnsi="Arial" w:cs="Arial"/>
        </w:rPr>
        <w:t>Pfenninger et al. (2016); (OEDI, 2022))</w:t>
      </w:r>
      <w:r w:rsidRPr="00D800F0">
        <w:rPr>
          <w:rFonts w:ascii="Arial" w:hAnsi="Arial" w:cs="Arial"/>
          <w:noProof/>
        </w:rPr>
        <w:t>. Similarly, the cost per nameplate capacity decreases by 2033, resulting in non-linear cost reductions.</w:t>
      </w:r>
    </w:p>
    <w:p w14:paraId="1D471058" w14:textId="77777777" w:rsidR="00EE3C1F" w:rsidRPr="00D800F0" w:rsidRDefault="00EE3C1F" w:rsidP="00EE3C1F">
      <w:pPr>
        <w:pStyle w:val="Heading4"/>
        <w:rPr>
          <w:rFonts w:ascii="Arial" w:hAnsi="Arial" w:cs="Arial"/>
        </w:rPr>
      </w:pPr>
      <w:r w:rsidRPr="00D800F0">
        <w:rPr>
          <w:rFonts w:ascii="Arial" w:hAnsi="Arial" w:cs="Arial"/>
        </w:rPr>
        <w:t>Hourly Matching</w:t>
      </w:r>
    </w:p>
    <w:p w14:paraId="75645CFB" w14:textId="77777777" w:rsidR="001339DD" w:rsidRPr="00D800F0" w:rsidRDefault="001339DD" w:rsidP="001339DD">
      <w:pPr>
        <w:rPr>
          <w:rFonts w:ascii="Arial" w:hAnsi="Arial" w:cs="Arial"/>
        </w:rPr>
      </w:pPr>
      <w:r w:rsidRPr="00D800F0">
        <w:rPr>
          <w:rFonts w:ascii="Arial" w:hAnsi="Arial" w:cs="Arial"/>
        </w:rPr>
        <w:t>The median difference in AP AEC NPV across yearly and hourly matching is massive $1739/MT and $207/MT for scenarios B and C, respectively, in 2026. In 2033, the gap decreases to -$785/MT in scenario B and -$96/MT in scenario C. The economic costs of ensuring hourly matching are non-linear.  The gap across seven years is decreasing by  54.9% and 54.6% in scenarios B and C due to technological improvements and cost reductions of the AEC stack and hybrid wind farm. However, by 2033, the gap will not shrink enough to make AP AEC viable. Even in a case of outstanding performance (75</w:t>
      </w:r>
      <w:r w:rsidRPr="00D800F0">
        <w:rPr>
          <w:rFonts w:ascii="Arial" w:hAnsi="Arial" w:cs="Arial"/>
          <w:vertAlign w:val="superscript"/>
        </w:rPr>
        <w:t>th</w:t>
      </w:r>
      <w:r w:rsidRPr="00D800F0">
        <w:rPr>
          <w:rFonts w:ascii="Arial" w:hAnsi="Arial" w:cs="Arial"/>
        </w:rPr>
        <w:t xml:space="preserve"> percentile NPV) in 2033, AP AEC lags behind AP SMR by $659/MT in case B and 206/MT in case C.  Hence, we see that a build-and-own scenario is never viable while a PPA contract AP AEC may outperform AP SMR slightly in less than 25% of simulations – which are characterized by high technology cost reductions, high ammonia prices, and high wind capacity factors.</w:t>
      </w:r>
    </w:p>
    <w:p w14:paraId="26500F62" w14:textId="77777777" w:rsidR="001339DD" w:rsidRPr="00D800F0" w:rsidRDefault="001339DD" w:rsidP="001339DD">
      <w:pPr>
        <w:ind w:firstLine="720"/>
        <w:rPr>
          <w:rFonts w:ascii="Arial" w:hAnsi="Arial" w:cs="Arial"/>
        </w:rPr>
      </w:pPr>
      <w:r w:rsidRPr="00D800F0">
        <w:rPr>
          <w:rFonts w:ascii="Arial" w:hAnsi="Arial" w:cs="Arial"/>
        </w:rPr>
        <w:t>The problem we describe in hourly matching is designing a hybrid wind farm to be resilient to long-lasting periods of low capacity while simultaneously maintaining emissions from the grid to a minimum. This problem has been investigated to assess the performance of Power-to-Ammonia plants in the context of a feasibility analysis by Verleysen et al., 2023. The most general form of the problem arises when recognizing the capacity factor as a stochastic function. Engineers can design renewable variable electricity generation and hydrogen production matching resilience for a given probability of consecutive hours with minimal electric generation. With more resilience, the facility's nameplate capacity becomes more significant to withstand prolonged periods of low electricity generation.</w:t>
      </w:r>
      <w:r w:rsidRPr="00D800F0">
        <w:rPr>
          <w:rStyle w:val="FootnoteReference"/>
          <w:rFonts w:ascii="Arial" w:hAnsi="Arial" w:cs="Arial"/>
        </w:rPr>
        <w:footnoteReference w:id="21"/>
      </w:r>
    </w:p>
    <w:p w14:paraId="686AE25D" w14:textId="77777777" w:rsidR="001339DD" w:rsidRPr="00D800F0" w:rsidRDefault="001339DD" w:rsidP="001339DD">
      <w:pPr>
        <w:rPr>
          <w:rFonts w:ascii="Arial" w:hAnsi="Arial" w:cs="Arial"/>
        </w:rPr>
      </w:pPr>
      <w:r w:rsidRPr="00D800F0">
        <w:rPr>
          <w:rFonts w:ascii="Arial" w:hAnsi="Arial" w:cs="Arial"/>
        </w:rPr>
        <w:lastRenderedPageBreak/>
        <w:tab/>
        <w:t>The concept of resiliency serves as a representation of the matching constraint. Over a 40-year plant lifespan, achieving a fully resilient design on a yearly matching basis involves selecting the poorest-performing year from the 40-year duration (assuming perfect foresight) and designing the system accordingly. This approach guarantees zero carbon emissions on a yearly matching basis</w:t>
      </w:r>
      <w:r w:rsidRPr="00D800F0">
        <w:rPr>
          <w:rStyle w:val="FootnoteReference"/>
          <w:rFonts w:ascii="Arial" w:hAnsi="Arial" w:cs="Arial"/>
        </w:rPr>
        <w:footnoteReference w:id="22"/>
      </w:r>
      <w:r w:rsidRPr="00D800F0">
        <w:rPr>
          <w:rFonts w:ascii="Arial" w:hAnsi="Arial" w:cs="Arial"/>
        </w:rPr>
        <w:t>.</w:t>
      </w:r>
    </w:p>
    <w:p w14:paraId="73062810" w14:textId="18B92930" w:rsidR="001339DD" w:rsidRPr="00D800F0" w:rsidRDefault="001339DD" w:rsidP="001339DD">
      <w:pPr>
        <w:rPr>
          <w:rFonts w:ascii="Arial" w:hAnsi="Arial" w:cs="Arial"/>
        </w:rPr>
      </w:pPr>
      <w:r w:rsidRPr="00D800F0">
        <w:rPr>
          <w:rFonts w:ascii="Arial" w:hAnsi="Arial" w:cs="Arial"/>
        </w:rPr>
        <w:tab/>
        <w:t>Now, envision extending this statistical exercise to the hourly timescale, which involves a staggering 350,400 hours. Given that the minimum value is likely to be near zero</w:t>
      </w:r>
      <w:r w:rsidRPr="00D800F0">
        <w:rPr>
          <w:rStyle w:val="FootnoteReference"/>
          <w:rFonts w:ascii="Arial" w:hAnsi="Arial" w:cs="Arial"/>
        </w:rPr>
        <w:footnoteReference w:id="23"/>
      </w:r>
      <w:r w:rsidRPr="00D800F0">
        <w:rPr>
          <w:rFonts w:ascii="Arial" w:hAnsi="Arial" w:cs="Arial"/>
        </w:rPr>
        <w:t>, and in the case of wind-only setups, the optimal scale would tend toward infinity, necessitating battery integration to prevent this outcome. Consequently, one can infer that the sizing of an hourly matched wind farm should be notably larger than its yearly matched counterpart to deliver an equivalent amount of firm power.</w:t>
      </w:r>
    </w:p>
    <w:p w14:paraId="3DB7BAB3" w14:textId="77777777" w:rsidR="00EE3C1F" w:rsidRPr="00D800F0" w:rsidRDefault="00EE3C1F" w:rsidP="00EE3C1F">
      <w:pPr>
        <w:pStyle w:val="Heading4"/>
        <w:rPr>
          <w:rFonts w:ascii="Arial" w:hAnsi="Arial" w:cs="Arial"/>
        </w:rPr>
      </w:pPr>
      <w:r w:rsidRPr="00D800F0">
        <w:rPr>
          <w:rFonts w:ascii="Arial" w:hAnsi="Arial" w:cs="Arial"/>
        </w:rPr>
        <w:t>Hydrogen deployment and IRA implications of an hourly matched world</w:t>
      </w:r>
    </w:p>
    <w:p w14:paraId="1D64AAA1" w14:textId="77777777" w:rsidR="001339DD" w:rsidRPr="00D800F0" w:rsidRDefault="001339DD" w:rsidP="001339DD">
      <w:pPr>
        <w:rPr>
          <w:rFonts w:ascii="Arial" w:hAnsi="Arial" w:cs="Arial"/>
        </w:rPr>
      </w:pPr>
      <w:r w:rsidRPr="00D800F0">
        <w:rPr>
          <w:rFonts w:ascii="Arial" w:hAnsi="Arial" w:cs="Arial"/>
        </w:rPr>
        <w:t>Given that most of the hydrogen production serves established fossil-fuel-based chemical plants (e.g., those producing ammonia, methanol, hydrogen peroxide, etc.)—which have (i) vertically integrated fossil-fuel hydrogen production and (ii) cannot accommodate hydrogen fluctuations (</w:t>
      </w:r>
      <w:r w:rsidRPr="00D800F0">
        <w:rPr>
          <w:rFonts w:ascii="Arial" w:eastAsia="Times New Roman" w:hAnsi="Arial" w:cs="Arial"/>
        </w:rPr>
        <w:t>Armijo, J., &amp; Philibert, 2020</w:t>
      </w:r>
      <w:r w:rsidRPr="00D800F0">
        <w:rPr>
          <w:rFonts w:ascii="Arial" w:hAnsi="Arial" w:cs="Arial"/>
        </w:rPr>
        <w:t>)—it is improbable that AEC will achieve significant market penetration in the near term, especially under the hourly matching requirement</w:t>
      </w:r>
      <w:r w:rsidRPr="00D800F0">
        <w:rPr>
          <w:rStyle w:val="FootnoteReference"/>
          <w:rFonts w:ascii="Arial" w:hAnsi="Arial" w:cs="Arial"/>
        </w:rPr>
        <w:footnoteReference w:id="24"/>
      </w:r>
      <w:r w:rsidRPr="00D800F0">
        <w:rPr>
          <w:rFonts w:ascii="Arial" w:hAnsi="Arial" w:cs="Arial"/>
        </w:rPr>
        <w:t>.</w:t>
      </w:r>
    </w:p>
    <w:p w14:paraId="39F2B0CA" w14:textId="77777777" w:rsidR="001339DD" w:rsidRPr="00D800F0" w:rsidRDefault="001339DD" w:rsidP="001339DD">
      <w:pPr>
        <w:rPr>
          <w:rFonts w:ascii="Arial" w:hAnsi="Arial" w:cs="Arial"/>
        </w:rPr>
      </w:pPr>
      <w:r w:rsidRPr="00D800F0">
        <w:rPr>
          <w:rFonts w:ascii="Arial" w:hAnsi="Arial" w:cs="Arial"/>
        </w:rPr>
        <w:tab/>
        <w:t>In scenario B, the 48E credits directly influence the CAC, whereas in scenario C, these credits are implicitly factored into the PPA. As a result, the most representative CAC for the low-carbon technologies producing ammonia is that shown in scenario B. This approach mirrors the accounting methods used for carbon emissions via the LCA. In scenario B, the policy support is comprehensively incorporated. In contrast, in scenario C, the credits achieved by the wind farm are not considered part of CAC computations (subsidies for the hybrid wind farm in C are not part of CAC calculations for low-carbon ammonia). We highlight this distinction as we aim to identify a technology that (a) competes with AP SMR and (b) realizes such an economic outcome while minimally utilizing public funds.</w:t>
      </w:r>
    </w:p>
    <w:p w14:paraId="2E75081B" w14:textId="77777777" w:rsidR="001339DD" w:rsidRPr="00D800F0" w:rsidRDefault="001339DD" w:rsidP="001339DD">
      <w:pPr>
        <w:rPr>
          <w:rFonts w:ascii="Arial" w:hAnsi="Arial" w:cs="Arial"/>
        </w:rPr>
      </w:pPr>
      <w:r w:rsidRPr="00D800F0">
        <w:rPr>
          <w:rFonts w:ascii="Arial" w:hAnsi="Arial" w:cs="Arial"/>
        </w:rPr>
        <w:tab/>
        <w:t>Under the outlined criteria, by 2033, the current AP AEC technology is less likely to attract investment when other low-carbon alternatives, such as AP CCS and AP BH2S, are on the table. AP CCS stands out as the most viable option for investors. Its economic performance aligns closely with AP SMR and AP BH2S, but it circumvents the market risks inherent to AP BH2S. AP CCS naturally offers a hedge against decrements in ammonia prices and spikes in natural gas costs. Although the median CAC of AP CCS is 22% greater than that of AP BH2S, it remains a cost-effective avenue for public funds to cut emissions substantially. When set side by side, AP AEC does not come close to the NPV of either AP CCS or AP BH2S. Its median CAC stands higher at a median of 257% and 80% of the social cost of carbon for hourly and yearly matching in 2026, respectively, while AP CCS and AP BH2S only stand at a median of 68-56% and 60-49% for hourly and yearly matching</w:t>
      </w:r>
      <w:r w:rsidRPr="00D800F0">
        <w:rPr>
          <w:rStyle w:val="FootnoteReference"/>
          <w:rFonts w:ascii="Arial" w:hAnsi="Arial" w:cs="Arial"/>
        </w:rPr>
        <w:footnoteReference w:id="25"/>
      </w:r>
      <w:r w:rsidRPr="00D800F0">
        <w:rPr>
          <w:rFonts w:ascii="Arial" w:hAnsi="Arial" w:cs="Arial"/>
        </w:rPr>
        <w:t xml:space="preserve">. In a scenario where matching occurs </w:t>
      </w:r>
      <w:r w:rsidRPr="00D800F0">
        <w:rPr>
          <w:rFonts w:ascii="Arial" w:hAnsi="Arial" w:cs="Arial"/>
        </w:rPr>
        <w:lastRenderedPageBreak/>
        <w:t>annually, 2033C AP AEC has the potential to economically compete with AP BH2S and AP CCS albeit at a higher abatement cost ($147/tCO2 for AP AEC while AP BH2S and AP CCS are at $107/tCO2 and $129/tCO2, respectively)</w:t>
      </w:r>
      <w:r w:rsidRPr="00D800F0">
        <w:rPr>
          <w:rStyle w:val="FootnoteReference"/>
          <w:rFonts w:ascii="Arial" w:hAnsi="Arial" w:cs="Arial"/>
        </w:rPr>
        <w:footnoteReference w:id="26"/>
      </w:r>
      <w:r w:rsidRPr="00D800F0">
        <w:rPr>
          <w:rFonts w:ascii="Arial" w:hAnsi="Arial" w:cs="Arial"/>
        </w:rPr>
        <w:t>.</w:t>
      </w:r>
    </w:p>
    <w:p w14:paraId="5AC4BBAA" w14:textId="77777777" w:rsidR="001339DD" w:rsidRPr="00D800F0" w:rsidRDefault="001339DD" w:rsidP="001339DD">
      <w:pPr>
        <w:rPr>
          <w:rFonts w:ascii="Arial" w:hAnsi="Arial" w:cs="Arial"/>
        </w:rPr>
      </w:pPr>
      <w:r w:rsidRPr="00D800F0">
        <w:rPr>
          <w:rFonts w:ascii="Arial" w:hAnsi="Arial" w:cs="Arial"/>
        </w:rPr>
        <w:tab/>
        <w:t xml:space="preserve">Given these findings, there are essential insights that policymakers must consider. Should the primary aim be carbon emissions reduction cost-effectively, then it is a no-regret policy to sustain and possibly enhance support for AP CCS and AP BH2S until AP AEC can bridge the technological gap —  whether this comes from direct advancements in electrolyzer technology or through peripheral benefits stemming from the maturation of wind farms and batteries or when the US power grid becomes (near) zero carbon. During this period, enforcing monthly matching and gradually transitioning to hourly matching would be a strategic approach – similar to the European approach, allowing monthly matching until 2030 (OJEU, 2023). While it will always be true that yearly matching will be better than hourly matching due to the statistical problem we described, if wind technology can reach sufficiently high capacity factors, then the hourly matched scenario may be competitive with AP SMR. </w:t>
      </w:r>
    </w:p>
    <w:p w14:paraId="1CBA50A5" w14:textId="4CE19179" w:rsidR="001339DD" w:rsidRPr="00D800F0" w:rsidRDefault="001339DD" w:rsidP="001339DD">
      <w:pPr>
        <w:ind w:firstLine="720"/>
        <w:rPr>
          <w:rFonts w:ascii="Arial" w:hAnsi="Arial" w:cs="Arial"/>
        </w:rPr>
      </w:pPr>
      <w:r w:rsidRPr="00D800F0">
        <w:rPr>
          <w:rFonts w:ascii="Arial" w:hAnsi="Arial" w:cs="Arial"/>
        </w:rPr>
        <w:t>Conversely, should deployment and cost reduction of AEC technology be the prime policy objective, even if it exceeds the current social cost of carbon and potentially a much higher near-term increase in emissions, then an immediate implementation of yearly matching seems sensible.</w:t>
      </w:r>
    </w:p>
    <w:p w14:paraId="7484B6A3" w14:textId="7FD60B3A" w:rsidR="00EE3C1F" w:rsidRPr="00D800F0" w:rsidRDefault="00EE3C1F" w:rsidP="001339DD">
      <w:pPr>
        <w:pStyle w:val="Heading5"/>
        <w:rPr>
          <w:rFonts w:ascii="Arial" w:hAnsi="Arial" w:cs="Arial"/>
        </w:rPr>
      </w:pPr>
      <w:r w:rsidRPr="00D800F0">
        <w:rPr>
          <w:rFonts w:ascii="Arial" w:hAnsi="Arial" w:cs="Arial"/>
        </w:rPr>
        <w:t>Limitations of assuming an inflexible steady state</w:t>
      </w:r>
    </w:p>
    <w:p w14:paraId="0398BA98" w14:textId="77777777" w:rsidR="001339DD" w:rsidRPr="00D800F0" w:rsidRDefault="001339DD" w:rsidP="001339DD">
      <w:pPr>
        <w:rPr>
          <w:rFonts w:ascii="Arial" w:hAnsi="Arial" w:cs="Arial"/>
        </w:rPr>
      </w:pPr>
      <w:r w:rsidRPr="00D800F0">
        <w:rPr>
          <w:rFonts w:ascii="Arial" w:hAnsi="Arial" w:cs="Arial"/>
        </w:rPr>
        <w:t xml:space="preserve">The assumption of a steady-state operation for the Haber-Bosch (HB) loop in our study reflects a conventional HB unit, which imposes significant costs on the associated hybrid wind farm system, especially for the AEC option. A survey of industry opinions indicates that conventional HB systems may typically operate with a 20%/h flexibility. However, the operable capacity range remains uncertain, spanning from 10% to 90% of nominal capacities in the literature (Verleysen et al., 2023; Wang et al., 2023). In contrast, Topsoe is advancing pilot projects that aim for 10% to 100% operational flexibility, although these are in the early stages and have not yet been cost-optimized (Rouwenhorst, 2023). </w:t>
      </w:r>
    </w:p>
    <w:p w14:paraId="153B1CF5" w14:textId="77777777" w:rsidR="001339DD" w:rsidRPr="00D800F0" w:rsidRDefault="001339DD" w:rsidP="001339DD">
      <w:pPr>
        <w:rPr>
          <w:rFonts w:ascii="Arial" w:hAnsi="Arial" w:cs="Arial"/>
        </w:rPr>
      </w:pPr>
      <w:r w:rsidRPr="00D800F0">
        <w:rPr>
          <w:rFonts w:ascii="Arial" w:hAnsi="Arial" w:cs="Arial"/>
        </w:rPr>
        <w:tab/>
        <w:t>Our analysis shows a significant net value gain if HB flexibility could ease the load on hybrid wind systems to meet monthly instead of hourly matching rule; however, this technology is not yet commercialized. Thus, we consider flexible HB to be at early demonstration stage and will unlikely deploy at large commercial scale by the end of the IRA policy framework (2033).</w:t>
      </w:r>
    </w:p>
    <w:p w14:paraId="3BB65E38" w14:textId="77777777" w:rsidR="00EE3C1F" w:rsidRPr="00D800F0" w:rsidRDefault="00EE3C1F" w:rsidP="00EE3C1F">
      <w:pPr>
        <w:rPr>
          <w:rFonts w:ascii="Arial" w:hAnsi="Arial" w:cs="Arial"/>
          <w:lang w:eastAsia="en-GB"/>
        </w:rPr>
      </w:pPr>
    </w:p>
    <w:bookmarkEnd w:id="98"/>
    <w:p w14:paraId="5DA60FB6" w14:textId="77777777" w:rsidR="00DA7E40" w:rsidRPr="00D800F0" w:rsidRDefault="00DA7E40" w:rsidP="00DA7E40">
      <w:pPr>
        <w:rPr>
          <w:rFonts w:ascii="Arial" w:hAnsi="Arial" w:cs="Arial"/>
          <w:lang w:eastAsia="en-GB"/>
        </w:rPr>
      </w:pPr>
    </w:p>
    <w:p w14:paraId="646D7C21" w14:textId="0F260227" w:rsidR="00DA7E40" w:rsidRPr="00D800F0" w:rsidRDefault="00DA7E40" w:rsidP="00DA7E40">
      <w:pPr>
        <w:rPr>
          <w:rFonts w:ascii="Arial" w:hAnsi="Arial" w:cs="Arial"/>
        </w:rPr>
      </w:pPr>
      <w:r w:rsidRPr="00D800F0">
        <w:rPr>
          <w:rFonts w:ascii="Arial" w:hAnsi="Arial" w:cs="Arial"/>
        </w:rPr>
        <w:br w:type="page"/>
      </w:r>
    </w:p>
    <w:p w14:paraId="7F6434CD" w14:textId="2153417C" w:rsidR="00AC7231" w:rsidRPr="00D800F0" w:rsidRDefault="00DA7E40" w:rsidP="00AC7231">
      <w:pPr>
        <w:pStyle w:val="Heading2"/>
        <w:rPr>
          <w:rFonts w:ascii="Arial" w:hAnsi="Arial" w:cs="Arial"/>
        </w:rPr>
      </w:pPr>
      <w:bookmarkStart w:id="119" w:name="_Toc148296658"/>
      <w:r w:rsidRPr="00D800F0">
        <w:rPr>
          <w:rFonts w:ascii="Arial" w:hAnsi="Arial" w:cs="Arial"/>
        </w:rPr>
        <w:lastRenderedPageBreak/>
        <w:t>References</w:t>
      </w:r>
      <w:bookmarkEnd w:id="119"/>
    </w:p>
    <w:p w14:paraId="3E436C6A" w14:textId="77777777" w:rsidR="00AC7231" w:rsidRPr="00D800F0" w:rsidRDefault="00AC7231" w:rsidP="00AC7231">
      <w:pPr>
        <w:ind w:left="720" w:hanging="720"/>
        <w:rPr>
          <w:rFonts w:ascii="Arial" w:hAnsi="Arial" w:cs="Arial"/>
        </w:rPr>
      </w:pPr>
    </w:p>
    <w:p w14:paraId="38210555" w14:textId="77777777" w:rsidR="0050752A" w:rsidRPr="00D800F0" w:rsidRDefault="00AC7231" w:rsidP="0050752A">
      <w:pPr>
        <w:ind w:left="720" w:hanging="720"/>
        <w:rPr>
          <w:rStyle w:val="Hyperlink"/>
          <w:rFonts w:ascii="Arial" w:hAnsi="Arial" w:cs="Arial"/>
          <w:color w:val="000000" w:themeColor="text1"/>
          <w:u w:val="none"/>
        </w:rPr>
      </w:pPr>
      <w:r w:rsidRPr="00D800F0">
        <w:rPr>
          <w:rFonts w:ascii="Arial" w:hAnsi="Arial" w:cs="Arial"/>
          <w:color w:val="000000" w:themeColor="text1"/>
        </w:rPr>
        <w:t xml:space="preserve">Amhamed, A., Qarnain, S. S., Hewlett, S., Sodiq, A., Abdellatif, Y., Isaifan, R. J., &amp; Alrebei, O. F. (2022). Ammonia Production Plants—A Review. </w:t>
      </w:r>
      <w:r w:rsidRPr="00D800F0">
        <w:rPr>
          <w:rFonts w:ascii="Arial" w:hAnsi="Arial" w:cs="Arial"/>
          <w:i/>
          <w:color w:val="000000" w:themeColor="text1"/>
        </w:rPr>
        <w:t>Fuels</w:t>
      </w:r>
      <w:r w:rsidRPr="00D800F0">
        <w:rPr>
          <w:rFonts w:ascii="Arial" w:hAnsi="Arial" w:cs="Arial"/>
          <w:color w:val="000000" w:themeColor="text1"/>
        </w:rPr>
        <w:t xml:space="preserve">. </w:t>
      </w:r>
      <w:hyperlink r:id="rId18" w:history="1">
        <w:r w:rsidRPr="00D800F0">
          <w:rPr>
            <w:rStyle w:val="Hyperlink"/>
            <w:rFonts w:ascii="Arial" w:hAnsi="Arial" w:cs="Arial"/>
            <w:color w:val="000000" w:themeColor="text1"/>
            <w:u w:val="none"/>
          </w:rPr>
          <w:t>https://doi.org/10.3390/fuels3030026</w:t>
        </w:r>
      </w:hyperlink>
    </w:p>
    <w:p w14:paraId="7A9EFD4C" w14:textId="63D5A170" w:rsidR="0050752A" w:rsidRPr="00D800F0" w:rsidRDefault="0050752A" w:rsidP="007E233D">
      <w:pPr>
        <w:ind w:left="720" w:hanging="720"/>
        <w:rPr>
          <w:rStyle w:val="Hyperlink"/>
          <w:rFonts w:ascii="Arial" w:hAnsi="Arial" w:cs="Arial"/>
          <w:color w:val="000000" w:themeColor="text1"/>
          <w:u w:val="none"/>
        </w:rPr>
      </w:pPr>
      <w:r w:rsidRPr="00D800F0">
        <w:rPr>
          <w:rFonts w:ascii="Arial" w:eastAsia="Times New Roman" w:hAnsi="Arial" w:cs="Arial"/>
          <w:color w:val="000000" w:themeColor="text1"/>
        </w:rPr>
        <w:t xml:space="preserve">Armijo, J., &amp; Philibert, C. (2020). Flexible production of green hydrogen and ammonia from variable solar and wind energy: Case study of Chile and Argentina. </w:t>
      </w:r>
      <w:r w:rsidRPr="00D800F0">
        <w:rPr>
          <w:rFonts w:ascii="Arial" w:eastAsia="Times New Roman" w:hAnsi="Arial" w:cs="Arial"/>
          <w:i/>
          <w:iCs/>
          <w:color w:val="000000" w:themeColor="text1"/>
        </w:rPr>
        <w:t>International Journal of Hydrogen Energy</w:t>
      </w:r>
      <w:r w:rsidRPr="00D800F0">
        <w:rPr>
          <w:rFonts w:ascii="Arial" w:eastAsia="Times New Roman" w:hAnsi="Arial" w:cs="Arial"/>
          <w:color w:val="000000" w:themeColor="text1"/>
        </w:rPr>
        <w:t>. https://doi.org/10.1016/j.ijhydene.2019.11.028</w:t>
      </w:r>
    </w:p>
    <w:p w14:paraId="296E4581" w14:textId="77777777" w:rsidR="00AE2B91" w:rsidRPr="00D800F0" w:rsidRDefault="007E233D" w:rsidP="00AE2B91">
      <w:pPr>
        <w:ind w:left="720" w:hanging="720"/>
        <w:rPr>
          <w:rStyle w:val="Hyperlink"/>
          <w:rFonts w:ascii="Arial" w:hAnsi="Arial" w:cs="Arial"/>
          <w:color w:val="000000" w:themeColor="text1"/>
          <w:u w:val="none"/>
        </w:rPr>
      </w:pPr>
      <w:r w:rsidRPr="00D800F0">
        <w:rPr>
          <w:rFonts w:ascii="Arial" w:hAnsi="Arial" w:cs="Arial"/>
          <w:color w:val="000000" w:themeColor="text1"/>
        </w:rPr>
        <w:t xml:space="preserve">Appl, M. (1999). Process Steps of Ammonia Production. In </w:t>
      </w:r>
      <w:r w:rsidRPr="00D800F0">
        <w:rPr>
          <w:rFonts w:ascii="Arial" w:hAnsi="Arial" w:cs="Arial"/>
          <w:i/>
          <w:color w:val="000000" w:themeColor="text1"/>
        </w:rPr>
        <w:t>ammonia</w:t>
      </w:r>
      <w:r w:rsidRPr="00D800F0">
        <w:rPr>
          <w:rFonts w:ascii="Arial" w:hAnsi="Arial" w:cs="Arial"/>
          <w:color w:val="000000" w:themeColor="text1"/>
        </w:rPr>
        <w:t xml:space="preserve"> (pp. 65–176). </w:t>
      </w:r>
      <w:hyperlink r:id="rId19" w:history="1">
        <w:r w:rsidRPr="00D800F0">
          <w:rPr>
            <w:rStyle w:val="Hyperlink"/>
            <w:rFonts w:ascii="Arial" w:hAnsi="Arial" w:cs="Arial"/>
            <w:color w:val="000000" w:themeColor="text1"/>
            <w:u w:val="none"/>
          </w:rPr>
          <w:t>https://doi.org/https://doi.org/10.1002/9783527613885.ch04</w:t>
        </w:r>
      </w:hyperlink>
    </w:p>
    <w:p w14:paraId="7AB209E3" w14:textId="77777777" w:rsidR="00F80F95" w:rsidRPr="00D800F0" w:rsidRDefault="00AE2B91" w:rsidP="00F80F95">
      <w:pPr>
        <w:ind w:left="720" w:hanging="720"/>
        <w:rPr>
          <w:rFonts w:ascii="Arial" w:hAnsi="Arial" w:cs="Arial"/>
          <w:color w:val="000000" w:themeColor="text1"/>
        </w:rPr>
      </w:pPr>
      <w:r w:rsidRPr="00D800F0">
        <w:rPr>
          <w:rFonts w:ascii="Arial" w:hAnsi="Arial" w:cs="Arial"/>
          <w:color w:val="000000" w:themeColor="text1"/>
        </w:rPr>
        <w:t xml:space="preserve">Arora, P., Hoadley, A., Mahajani, S. M., &amp; Ganesh, A. (2017). Multi-objective optimization of biomass based ammonia production - Potential and perspective in different countries. Journal of Cleaner Production. </w:t>
      </w:r>
      <w:hyperlink r:id="rId20">
        <w:r w:rsidRPr="00D800F0">
          <w:rPr>
            <w:rFonts w:ascii="Arial" w:hAnsi="Arial" w:cs="Arial"/>
            <w:color w:val="000000" w:themeColor="text1"/>
          </w:rPr>
          <w:t>https://doi.org/10.1016/j.jclepro.2017.01.148</w:t>
        </w:r>
      </w:hyperlink>
    </w:p>
    <w:p w14:paraId="4247D492" w14:textId="77777777" w:rsidR="0067358D" w:rsidRPr="00D800F0" w:rsidRDefault="00F80F95" w:rsidP="0067358D">
      <w:pPr>
        <w:ind w:left="720" w:hanging="720"/>
        <w:rPr>
          <w:rFonts w:ascii="Arial" w:hAnsi="Arial" w:cs="Arial"/>
          <w:color w:val="000000" w:themeColor="text1"/>
        </w:rPr>
      </w:pPr>
      <w:r w:rsidRPr="00D800F0">
        <w:rPr>
          <w:rFonts w:ascii="Arial" w:hAnsi="Arial" w:cs="Arial"/>
          <w:color w:val="000000" w:themeColor="text1"/>
        </w:rPr>
        <w:t>Arora, P., Hoadley, A., Mahajani, S. M., &amp; Ganesh, A. (2016). Small-Scale Ammonia Production from Biomass: A Techno-Enviro-Economic Perspective. Industrial &amp; Engineering Chemistry Research. https://doi.org/10.1021/acs.iecr.5b04937</w:t>
      </w:r>
    </w:p>
    <w:p w14:paraId="0256D42F" w14:textId="00A643E3" w:rsidR="0067358D" w:rsidRPr="00D800F0" w:rsidRDefault="0067358D" w:rsidP="00F80F95">
      <w:pPr>
        <w:ind w:left="720" w:hanging="720"/>
        <w:rPr>
          <w:rFonts w:ascii="Arial" w:hAnsi="Arial" w:cs="Arial"/>
          <w:color w:val="000000" w:themeColor="text1"/>
        </w:rPr>
      </w:pPr>
      <w:r w:rsidRPr="00D800F0">
        <w:rPr>
          <w:rFonts w:ascii="Arial" w:eastAsia="Times New Roman" w:hAnsi="Arial" w:cs="Arial"/>
          <w:color w:val="000000" w:themeColor="text1"/>
        </w:rPr>
        <w:t xml:space="preserve">D’Alelio, D., Jiang, M., Langer, J., Lerner, N., Pan, E., &amp; Puritz, J. (2022, May 16). </w:t>
      </w:r>
      <w:r w:rsidRPr="00D800F0">
        <w:rPr>
          <w:rFonts w:ascii="Arial" w:eastAsia="Times New Roman" w:hAnsi="Arial" w:cs="Arial"/>
          <w:i/>
          <w:iCs/>
          <w:color w:val="000000" w:themeColor="text1"/>
        </w:rPr>
        <w:t>Current Challenges to Tax Equity (Part Three)</w:t>
      </w:r>
      <w:r w:rsidRPr="00D800F0">
        <w:rPr>
          <w:rFonts w:ascii="Arial" w:eastAsia="Times New Roman" w:hAnsi="Arial" w:cs="Arial"/>
          <w:color w:val="000000" w:themeColor="text1"/>
        </w:rPr>
        <w:t>. Clean Energy Finance Forum.</w:t>
      </w:r>
    </w:p>
    <w:p w14:paraId="326C92FA" w14:textId="70FBA795" w:rsidR="00F80F95" w:rsidRPr="00D800F0" w:rsidRDefault="00F80F95" w:rsidP="00F80F95">
      <w:pPr>
        <w:ind w:left="720" w:hanging="720"/>
        <w:rPr>
          <w:rStyle w:val="Hyperlink"/>
          <w:rFonts w:ascii="Arial" w:hAnsi="Arial" w:cs="Arial"/>
          <w:color w:val="000000" w:themeColor="text1"/>
          <w:u w:val="none"/>
        </w:rPr>
      </w:pPr>
      <w:r w:rsidRPr="00D800F0">
        <w:rPr>
          <w:rFonts w:ascii="Arial" w:hAnsi="Arial" w:cs="Arial"/>
          <w:color w:val="000000" w:themeColor="text1"/>
        </w:rPr>
        <w:t xml:space="preserve">Bauer, C., Treyer, K., Antonini, C., Bergerson, J., Gazzani, M., Gencer, E., Gibbins, J., Mazzotti, M., McCoy, S. T., McKenna, R., Pietzcker, R., Ravikumar, A. P., Romano, M. C., Ueckerdt, F., Vente, J., &amp; van der Spek, M. (2022). On the climate impacts of blue hydrogen production. </w:t>
      </w:r>
      <w:r w:rsidRPr="00D800F0">
        <w:rPr>
          <w:rFonts w:ascii="Arial" w:hAnsi="Arial" w:cs="Arial"/>
          <w:i/>
          <w:color w:val="000000" w:themeColor="text1"/>
        </w:rPr>
        <w:t>Sustainable Energy and Fuels</w:t>
      </w:r>
      <w:r w:rsidRPr="00D800F0">
        <w:rPr>
          <w:rFonts w:ascii="Arial" w:hAnsi="Arial" w:cs="Arial"/>
          <w:color w:val="000000" w:themeColor="text1"/>
        </w:rPr>
        <w:t xml:space="preserve">, </w:t>
      </w:r>
      <w:r w:rsidRPr="00D800F0">
        <w:rPr>
          <w:rFonts w:ascii="Arial" w:hAnsi="Arial" w:cs="Arial"/>
          <w:i/>
          <w:color w:val="000000" w:themeColor="text1"/>
        </w:rPr>
        <w:t>6</w:t>
      </w:r>
      <w:r w:rsidRPr="00D800F0">
        <w:rPr>
          <w:rFonts w:ascii="Arial" w:hAnsi="Arial" w:cs="Arial"/>
          <w:color w:val="000000" w:themeColor="text1"/>
        </w:rPr>
        <w:t xml:space="preserve">(1). </w:t>
      </w:r>
      <w:hyperlink r:id="rId21" w:history="1">
        <w:r w:rsidRPr="00D800F0">
          <w:rPr>
            <w:rStyle w:val="Hyperlink"/>
            <w:rFonts w:ascii="Arial" w:hAnsi="Arial" w:cs="Arial"/>
            <w:color w:val="000000" w:themeColor="text1"/>
            <w:u w:val="none"/>
          </w:rPr>
          <w:t>https://doi.org/10.1039/d1se01508g</w:t>
        </w:r>
      </w:hyperlink>
    </w:p>
    <w:p w14:paraId="26CA4FDC" w14:textId="77777777" w:rsidR="0067358D" w:rsidRPr="00D800F0" w:rsidRDefault="0067358D" w:rsidP="0067358D">
      <w:pPr>
        <w:spacing w:line="240" w:lineRule="auto"/>
        <w:ind w:hanging="480"/>
        <w:rPr>
          <w:rFonts w:ascii="Arial" w:eastAsia="Times New Roman" w:hAnsi="Arial" w:cs="Arial"/>
          <w:color w:val="000000" w:themeColor="text1"/>
        </w:rPr>
      </w:pPr>
      <w:r w:rsidRPr="00D800F0">
        <w:rPr>
          <w:rFonts w:ascii="Arial" w:eastAsia="Times New Roman" w:hAnsi="Arial" w:cs="Arial"/>
          <w:color w:val="000000" w:themeColor="text1"/>
        </w:rPr>
        <w:tab/>
        <w:t xml:space="preserve">Bartlett, J., &amp; Krupnick, A. (2019). </w:t>
      </w:r>
      <w:r w:rsidRPr="00D800F0">
        <w:rPr>
          <w:rFonts w:ascii="Arial" w:eastAsia="Times New Roman" w:hAnsi="Arial" w:cs="Arial"/>
          <w:i/>
          <w:iCs/>
          <w:color w:val="000000" w:themeColor="text1"/>
        </w:rPr>
        <w:t>Subsidizing Carbon Capture Utilization and Storage: Issues with 45Q</w:t>
      </w:r>
      <w:r w:rsidRPr="00D800F0">
        <w:rPr>
          <w:rFonts w:ascii="Arial" w:eastAsia="Times New Roman" w:hAnsi="Arial" w:cs="Arial"/>
          <w:color w:val="000000" w:themeColor="text1"/>
        </w:rPr>
        <w:t>.</w:t>
      </w:r>
    </w:p>
    <w:p w14:paraId="3A908A5E" w14:textId="0265CC18" w:rsidR="0067358D" w:rsidRPr="00D800F0" w:rsidRDefault="0067358D" w:rsidP="0067358D">
      <w:pPr>
        <w:spacing w:line="240" w:lineRule="auto"/>
        <w:ind w:hanging="480"/>
        <w:rPr>
          <w:rFonts w:ascii="Arial" w:eastAsia="Times New Roman" w:hAnsi="Arial" w:cs="Arial"/>
          <w:color w:val="000000" w:themeColor="text1"/>
        </w:rPr>
      </w:pPr>
      <w:r w:rsidRPr="00D800F0">
        <w:rPr>
          <w:rFonts w:ascii="Arial" w:eastAsia="Times New Roman" w:hAnsi="Arial" w:cs="Arial"/>
          <w:color w:val="000000" w:themeColor="text1"/>
        </w:rPr>
        <w:tab/>
      </w:r>
      <w:r w:rsidRPr="00D800F0">
        <w:rPr>
          <w:rFonts w:ascii="Arial" w:hAnsi="Arial" w:cs="Arial"/>
          <w:color w:val="000000" w:themeColor="text1"/>
        </w:rPr>
        <w:t xml:space="preserve">F. Barbir, A. Basile and T. N. Veziroglu. (2016) Compendium of Hydrogen Energy, Woodhead. Publishing, </w:t>
      </w:r>
      <w:r w:rsidRPr="00D800F0">
        <w:rPr>
          <w:rFonts w:ascii="Arial" w:hAnsi="Arial" w:cs="Arial"/>
          <w:color w:val="000000" w:themeColor="text1"/>
        </w:rPr>
        <w:tab/>
        <w:t>Elsevier, Amsterdam, Netherlands.</w:t>
      </w:r>
    </w:p>
    <w:p w14:paraId="4F516295" w14:textId="77777777" w:rsidR="00F80F95" w:rsidRPr="00D800F0" w:rsidRDefault="00F80F95" w:rsidP="00F80F95">
      <w:pPr>
        <w:ind w:left="720" w:hanging="720"/>
        <w:rPr>
          <w:rFonts w:ascii="Arial" w:hAnsi="Arial" w:cs="Arial"/>
          <w:color w:val="000000" w:themeColor="text1"/>
        </w:rPr>
      </w:pPr>
      <w:r w:rsidRPr="00D800F0">
        <w:rPr>
          <w:rFonts w:ascii="Arial" w:hAnsi="Arial" w:cs="Arial"/>
          <w:color w:val="000000" w:themeColor="text1"/>
        </w:rPr>
        <w:t xml:space="preserve">Bicer, Y., &amp; Dincer, I. (2017). Life cycle assessment of nuclear-based hydrogen and ammonia production options: A comparative evaluation. </w:t>
      </w:r>
      <w:r w:rsidRPr="00D800F0">
        <w:rPr>
          <w:rFonts w:ascii="Arial" w:hAnsi="Arial" w:cs="Arial"/>
          <w:i/>
          <w:color w:val="000000" w:themeColor="text1"/>
        </w:rPr>
        <w:t>International Journal of Hydrogen Energy</w:t>
      </w:r>
      <w:r w:rsidRPr="00D800F0">
        <w:rPr>
          <w:rFonts w:ascii="Arial" w:hAnsi="Arial" w:cs="Arial"/>
          <w:color w:val="000000" w:themeColor="text1"/>
        </w:rPr>
        <w:t>. https://doi.org/10.1016/j.ijhydene.2017.02.002</w:t>
      </w:r>
    </w:p>
    <w:p w14:paraId="0037F36F" w14:textId="2F39968D" w:rsidR="00F80F95" w:rsidRPr="00D800F0" w:rsidRDefault="00F80F95" w:rsidP="00F80F95">
      <w:pPr>
        <w:ind w:left="720" w:hanging="720"/>
        <w:rPr>
          <w:rStyle w:val="Hyperlink"/>
          <w:rFonts w:ascii="Arial" w:hAnsi="Arial" w:cs="Arial"/>
          <w:color w:val="000000" w:themeColor="text1"/>
          <w:u w:val="none"/>
        </w:rPr>
      </w:pPr>
      <w:r w:rsidRPr="00D800F0">
        <w:rPr>
          <w:rFonts w:ascii="Arial" w:hAnsi="Arial" w:cs="Arial"/>
          <w:color w:val="000000" w:themeColor="text1"/>
        </w:rPr>
        <w:t xml:space="preserve">Bicer, Y., Dincer, I., Zamfirescu, C., Vezina, G., &amp; Raso, F. (2016). Comparative life cycle assessment of various ammonia production methods. </w:t>
      </w:r>
      <w:r w:rsidRPr="00D800F0">
        <w:rPr>
          <w:rFonts w:ascii="Arial" w:hAnsi="Arial" w:cs="Arial"/>
          <w:i/>
          <w:color w:val="000000" w:themeColor="text1"/>
        </w:rPr>
        <w:t>Journal of Cleaner Production</w:t>
      </w:r>
      <w:r w:rsidRPr="00D800F0">
        <w:rPr>
          <w:rFonts w:ascii="Arial" w:hAnsi="Arial" w:cs="Arial"/>
          <w:color w:val="000000" w:themeColor="text1"/>
        </w:rPr>
        <w:t>. https://doi.org/10.1016/j.jclepro.2016.07.023</w:t>
      </w:r>
    </w:p>
    <w:p w14:paraId="6B82858C" w14:textId="7E94BEC0" w:rsidR="00AC7231" w:rsidRPr="00D800F0" w:rsidRDefault="00AC7231" w:rsidP="004853CE">
      <w:pPr>
        <w:ind w:left="720" w:hanging="720"/>
        <w:rPr>
          <w:rFonts w:ascii="Arial" w:hAnsi="Arial" w:cs="Arial"/>
          <w:color w:val="000000" w:themeColor="text1"/>
        </w:rPr>
      </w:pPr>
      <w:r w:rsidRPr="00D800F0">
        <w:rPr>
          <w:rFonts w:ascii="Arial" w:hAnsi="Arial" w:cs="Arial"/>
          <w:color w:val="000000" w:themeColor="text1"/>
        </w:rPr>
        <w:t xml:space="preserve">Brasington, R. D., Haslback, J. L., Kuehn, N., Lewis, E., Pinkerton, L. L., Turner, M. J., Varghese, E., &amp; Woods, M. (2011). Cost and Performance Baseline for Fossil Energy Plants - Volume 2: Coal to Synthetic Natural Gas and Ammonia. </w:t>
      </w:r>
      <w:hyperlink r:id="rId22">
        <w:r w:rsidRPr="00D800F0">
          <w:rPr>
            <w:rFonts w:ascii="Arial" w:hAnsi="Arial" w:cs="Arial"/>
            <w:color w:val="000000" w:themeColor="text1"/>
          </w:rPr>
          <w:t>https://doi.org/10.2172/1515254</w:t>
        </w:r>
      </w:hyperlink>
    </w:p>
    <w:p w14:paraId="0574B119" w14:textId="33962962" w:rsidR="00AC7231" w:rsidRPr="00D800F0" w:rsidRDefault="00AC7231" w:rsidP="004853CE">
      <w:pPr>
        <w:ind w:left="720" w:hanging="720"/>
        <w:rPr>
          <w:rFonts w:ascii="Arial" w:hAnsi="Arial" w:cs="Arial"/>
          <w:color w:val="000000" w:themeColor="text1"/>
        </w:rPr>
      </w:pPr>
      <w:r w:rsidRPr="00D800F0">
        <w:rPr>
          <w:rFonts w:ascii="Arial" w:hAnsi="Arial" w:cs="Arial"/>
          <w:color w:val="000000" w:themeColor="text1"/>
        </w:rPr>
        <w:t xml:space="preserve">Brauns, J., &amp; Turek, T. (2020). Alkaline water electrolysis powered by renewable energy: A review. In </w:t>
      </w:r>
      <w:r w:rsidRPr="00D800F0">
        <w:rPr>
          <w:rFonts w:ascii="Arial" w:hAnsi="Arial" w:cs="Arial"/>
          <w:i/>
          <w:color w:val="000000" w:themeColor="text1"/>
        </w:rPr>
        <w:t>Processes</w:t>
      </w:r>
      <w:r w:rsidRPr="00D800F0">
        <w:rPr>
          <w:rFonts w:ascii="Arial" w:hAnsi="Arial" w:cs="Arial"/>
          <w:color w:val="000000" w:themeColor="text1"/>
        </w:rPr>
        <w:t xml:space="preserve"> (Vol. 8, Issue 2). https://doi.org/10.3390/pr8020248</w:t>
      </w:r>
    </w:p>
    <w:p w14:paraId="3D7DE730" w14:textId="77777777" w:rsidR="00242138" w:rsidRPr="00D800F0" w:rsidRDefault="00AC7231" w:rsidP="00242138">
      <w:pPr>
        <w:ind w:left="720" w:hanging="720"/>
        <w:rPr>
          <w:rFonts w:ascii="Arial" w:hAnsi="Arial" w:cs="Arial"/>
          <w:color w:val="000000" w:themeColor="text1"/>
        </w:rPr>
      </w:pPr>
      <w:r w:rsidRPr="00D800F0">
        <w:rPr>
          <w:rFonts w:ascii="Arial" w:hAnsi="Arial" w:cs="Arial"/>
          <w:color w:val="000000" w:themeColor="text1"/>
        </w:rPr>
        <w:lastRenderedPageBreak/>
        <w:t xml:space="preserve">Böhm, H., Zauner, A., Rosenfeld, D. C., &amp; Tichler, R. (2020). Projecting cost development for future large-scale power-to-gas implementations by scaling effects. </w:t>
      </w:r>
      <w:r w:rsidRPr="00D800F0">
        <w:rPr>
          <w:rFonts w:ascii="Arial" w:hAnsi="Arial" w:cs="Arial"/>
          <w:i/>
          <w:color w:val="000000" w:themeColor="text1"/>
        </w:rPr>
        <w:t>Applied Energy</w:t>
      </w:r>
      <w:r w:rsidRPr="00D800F0">
        <w:rPr>
          <w:rFonts w:ascii="Arial" w:hAnsi="Arial" w:cs="Arial"/>
          <w:color w:val="000000" w:themeColor="text1"/>
        </w:rPr>
        <w:t xml:space="preserve">. </w:t>
      </w:r>
      <w:hyperlink r:id="rId23">
        <w:r w:rsidRPr="00D800F0">
          <w:rPr>
            <w:rFonts w:ascii="Arial" w:hAnsi="Arial" w:cs="Arial"/>
            <w:color w:val="000000" w:themeColor="text1"/>
          </w:rPr>
          <w:t>https://doi.org/10.1016/j.apenergy.2020.114780</w:t>
        </w:r>
      </w:hyperlink>
    </w:p>
    <w:p w14:paraId="651F446E" w14:textId="77777777" w:rsidR="0067358D" w:rsidRPr="00D800F0" w:rsidRDefault="00242138" w:rsidP="0067358D">
      <w:pPr>
        <w:ind w:left="720" w:hanging="720"/>
        <w:rPr>
          <w:rStyle w:val="Hyperlink"/>
          <w:rFonts w:ascii="Arial" w:hAnsi="Arial" w:cs="Arial"/>
          <w:color w:val="000000" w:themeColor="text1"/>
          <w:u w:val="none"/>
        </w:rPr>
      </w:pPr>
      <w:r w:rsidRPr="00D800F0">
        <w:rPr>
          <w:rFonts w:ascii="Arial" w:hAnsi="Arial" w:cs="Arial"/>
          <w:color w:val="000000" w:themeColor="text1"/>
        </w:rPr>
        <w:t xml:space="preserve">Borole, A. P., &amp; Greig, A. L. (2019). Life-cycle Assessment and Systems Analysis of Hydrogen Production. </w:t>
      </w:r>
      <w:r w:rsidRPr="00D800F0">
        <w:rPr>
          <w:rFonts w:ascii="Arial" w:hAnsi="Arial" w:cs="Arial"/>
          <w:i/>
          <w:color w:val="000000" w:themeColor="text1"/>
        </w:rPr>
        <w:t>Biohydrogen</w:t>
      </w:r>
      <w:r w:rsidRPr="00D800F0">
        <w:rPr>
          <w:rFonts w:ascii="Arial" w:hAnsi="Arial" w:cs="Arial"/>
          <w:color w:val="000000" w:themeColor="text1"/>
        </w:rPr>
        <w:t xml:space="preserve">. </w:t>
      </w:r>
      <w:hyperlink r:id="rId24" w:history="1">
        <w:r w:rsidRPr="00D800F0">
          <w:rPr>
            <w:rStyle w:val="Hyperlink"/>
            <w:rFonts w:ascii="Arial" w:hAnsi="Arial" w:cs="Arial"/>
            <w:color w:val="000000" w:themeColor="text1"/>
            <w:u w:val="none"/>
          </w:rPr>
          <w:t>https://doi.org/10.1016/b978-0-444-64203-5.00020-4</w:t>
        </w:r>
      </w:hyperlink>
    </w:p>
    <w:p w14:paraId="4DE93579" w14:textId="11D93D43" w:rsidR="0067358D" w:rsidRPr="00D800F0" w:rsidRDefault="0067358D" w:rsidP="007E233D">
      <w:pPr>
        <w:ind w:left="720" w:hanging="720"/>
        <w:rPr>
          <w:rFonts w:ascii="Arial" w:hAnsi="Arial" w:cs="Arial"/>
          <w:color w:val="000000" w:themeColor="text1"/>
        </w:rPr>
      </w:pPr>
      <w:r w:rsidRPr="00D800F0">
        <w:rPr>
          <w:rFonts w:ascii="Arial" w:hAnsi="Arial" w:cs="Arial"/>
          <w:color w:val="000000" w:themeColor="text1"/>
        </w:rPr>
        <w:t xml:space="preserve">Boston Consulting Group. Green Hydrogen: An assessment of near-term power matching requirements. (2023). </w:t>
      </w:r>
    </w:p>
    <w:p w14:paraId="7E763DA4" w14:textId="77777777" w:rsidR="0067358D" w:rsidRPr="00D800F0" w:rsidRDefault="007E233D" w:rsidP="0067358D">
      <w:pPr>
        <w:ind w:left="720" w:hanging="720"/>
        <w:rPr>
          <w:rFonts w:ascii="Arial" w:eastAsia="Times New Roman" w:hAnsi="Arial" w:cs="Arial"/>
          <w:color w:val="000000" w:themeColor="text1"/>
        </w:rPr>
      </w:pPr>
      <w:r w:rsidRPr="00D800F0">
        <w:rPr>
          <w:rFonts w:ascii="Arial" w:eastAsia="Times New Roman" w:hAnsi="Arial" w:cs="Arial"/>
          <w:color w:val="000000" w:themeColor="text1"/>
        </w:rPr>
        <w:t xml:space="preserve">Bistline, J., Blanford, G., Brown, M., Burtraw, D., Domeshek, M., Farbes, J., Fawcett, A., Hamilton, A., Jenkins, J., Jones, R., King, B., Kolus, H., Larsen, J., Levin, A., Mahajan, M., Marcy, C., Mayfield, E., McFarland, J., McJeon, H., … Zhao, A. (2023). Emissions and energy impacts of the Inflation Reduction Act. </w:t>
      </w:r>
      <w:r w:rsidRPr="00D800F0">
        <w:rPr>
          <w:rFonts w:ascii="Arial" w:eastAsia="Times New Roman" w:hAnsi="Arial" w:cs="Arial"/>
          <w:i/>
          <w:iCs/>
          <w:color w:val="000000" w:themeColor="text1"/>
        </w:rPr>
        <w:t>Science</w:t>
      </w:r>
      <w:r w:rsidRPr="00D800F0">
        <w:rPr>
          <w:rFonts w:ascii="Arial" w:eastAsia="Times New Roman" w:hAnsi="Arial" w:cs="Arial"/>
          <w:color w:val="000000" w:themeColor="text1"/>
        </w:rPr>
        <w:t xml:space="preserve">, </w:t>
      </w:r>
      <w:r w:rsidRPr="00D800F0">
        <w:rPr>
          <w:rFonts w:ascii="Arial" w:eastAsia="Times New Roman" w:hAnsi="Arial" w:cs="Arial"/>
          <w:i/>
          <w:iCs/>
          <w:color w:val="000000" w:themeColor="text1"/>
        </w:rPr>
        <w:t>380</w:t>
      </w:r>
      <w:r w:rsidRPr="00D800F0">
        <w:rPr>
          <w:rFonts w:ascii="Arial" w:eastAsia="Times New Roman" w:hAnsi="Arial" w:cs="Arial"/>
          <w:color w:val="000000" w:themeColor="text1"/>
        </w:rPr>
        <w:t>(6652), 1324–1327. https://doi.org/10.1126/science.adg3781</w:t>
      </w:r>
    </w:p>
    <w:p w14:paraId="3692089D" w14:textId="77F50673" w:rsidR="0067358D" w:rsidRPr="00D800F0" w:rsidRDefault="0067358D" w:rsidP="00F80F95">
      <w:pPr>
        <w:ind w:left="720" w:hanging="720"/>
        <w:rPr>
          <w:rFonts w:ascii="Arial" w:eastAsia="Times New Roman" w:hAnsi="Arial" w:cs="Arial"/>
          <w:color w:val="000000" w:themeColor="text1"/>
        </w:rPr>
      </w:pPr>
      <w:r w:rsidRPr="00D800F0">
        <w:rPr>
          <w:rFonts w:ascii="Arial" w:eastAsia="Times New Roman" w:hAnsi="Arial" w:cs="Arial"/>
          <w:color w:val="000000" w:themeColor="text1"/>
        </w:rPr>
        <w:t xml:space="preserve">Burton, D. (2023, March 20). </w:t>
      </w:r>
      <w:r w:rsidRPr="00D800F0">
        <w:rPr>
          <w:rFonts w:ascii="Arial" w:eastAsia="Times New Roman" w:hAnsi="Arial" w:cs="Arial"/>
          <w:i/>
          <w:iCs/>
          <w:color w:val="000000" w:themeColor="text1"/>
        </w:rPr>
        <w:t>The Solar + Wind Finance and Investment Summit Soundbites: the Tax Equity Market and Transferability</w:t>
      </w:r>
      <w:r w:rsidRPr="00D800F0">
        <w:rPr>
          <w:rFonts w:ascii="Arial" w:eastAsia="Times New Roman" w:hAnsi="Arial" w:cs="Arial"/>
          <w:color w:val="000000" w:themeColor="text1"/>
        </w:rPr>
        <w:t>. Norton Rose Fulbright: Project Finance.</w:t>
      </w:r>
      <w:r w:rsidRPr="00D800F0">
        <w:rPr>
          <w:rFonts w:ascii="Arial" w:hAnsi="Arial" w:cs="Arial"/>
          <w:color w:val="000000" w:themeColor="text1"/>
        </w:rPr>
        <w:t xml:space="preserve">Brown, T. (2022, April 22). </w:t>
      </w:r>
      <w:r w:rsidRPr="00D800F0">
        <w:rPr>
          <w:rFonts w:ascii="Arial" w:hAnsi="Arial" w:cs="Arial"/>
          <w:i/>
          <w:color w:val="000000" w:themeColor="text1"/>
        </w:rPr>
        <w:t>Prices for California’s emissions credits increase in early 2022 auction</w:t>
      </w:r>
      <w:r w:rsidRPr="00D800F0">
        <w:rPr>
          <w:rFonts w:ascii="Arial" w:hAnsi="Arial" w:cs="Arial"/>
          <w:color w:val="000000" w:themeColor="text1"/>
        </w:rPr>
        <w:t>.</w:t>
      </w:r>
    </w:p>
    <w:p w14:paraId="42611291" w14:textId="79F271BA" w:rsidR="00F80F95" w:rsidRPr="00D800F0" w:rsidRDefault="00F80F95" w:rsidP="00F80F95">
      <w:pPr>
        <w:ind w:left="720" w:hanging="720"/>
        <w:rPr>
          <w:rFonts w:ascii="Arial" w:eastAsia="Times New Roman" w:hAnsi="Arial" w:cs="Arial"/>
          <w:color w:val="000000" w:themeColor="text1"/>
        </w:rPr>
      </w:pPr>
      <w:r w:rsidRPr="00D800F0">
        <w:rPr>
          <w:rFonts w:ascii="Arial" w:hAnsi="Arial" w:cs="Arial"/>
          <w:color w:val="000000" w:themeColor="text1"/>
        </w:rPr>
        <w:t xml:space="preserve">Campion, N., Nami, H., Swisher, P., Hendriksen, P. V., &amp; Münster, M. (2022). Techno-Economic Assessment of Green Ammonia Production with Different Wind and Solar Potentials. </w:t>
      </w:r>
      <w:r w:rsidRPr="00D800F0">
        <w:rPr>
          <w:rFonts w:ascii="Arial" w:hAnsi="Arial" w:cs="Arial"/>
          <w:i/>
          <w:color w:val="000000" w:themeColor="text1"/>
        </w:rPr>
        <w:t>Social Science Research Network</w:t>
      </w:r>
      <w:r w:rsidRPr="00D800F0">
        <w:rPr>
          <w:rFonts w:ascii="Arial" w:hAnsi="Arial" w:cs="Arial"/>
          <w:color w:val="000000" w:themeColor="text1"/>
        </w:rPr>
        <w:t xml:space="preserve">. </w:t>
      </w:r>
      <w:hyperlink r:id="rId25" w:history="1">
        <w:r w:rsidRPr="00D800F0">
          <w:rPr>
            <w:rStyle w:val="Hyperlink"/>
            <w:rFonts w:ascii="Arial" w:hAnsi="Arial" w:cs="Arial"/>
            <w:color w:val="000000" w:themeColor="text1"/>
            <w:u w:val="none"/>
          </w:rPr>
          <w:t>https://doi.org/10.2139/ssrn.4154006</w:t>
        </w:r>
      </w:hyperlink>
    </w:p>
    <w:p w14:paraId="001D7222" w14:textId="77777777" w:rsidR="00F82D8D" w:rsidRPr="00D800F0" w:rsidRDefault="007E233D" w:rsidP="00F82D8D">
      <w:pPr>
        <w:ind w:left="720" w:hanging="720"/>
        <w:rPr>
          <w:rFonts w:ascii="Arial" w:hAnsi="Arial" w:cs="Arial"/>
          <w:color w:val="000000" w:themeColor="text1"/>
        </w:rPr>
      </w:pPr>
      <w:r w:rsidRPr="00D800F0">
        <w:rPr>
          <w:rFonts w:ascii="Arial" w:hAnsi="Arial" w:cs="Arial"/>
          <w:color w:val="000000" w:themeColor="text1"/>
        </w:rPr>
        <w:t xml:space="preserve">Cole, W. J., &amp; Frazier, A. (2019). </w:t>
      </w:r>
      <w:r w:rsidRPr="00D800F0">
        <w:rPr>
          <w:rFonts w:ascii="Arial" w:hAnsi="Arial" w:cs="Arial"/>
          <w:i/>
          <w:color w:val="000000" w:themeColor="text1"/>
        </w:rPr>
        <w:t>Cost Projections for Utility-Scale Battery Storage</w:t>
      </w:r>
      <w:r w:rsidRPr="00D800F0">
        <w:rPr>
          <w:rFonts w:ascii="Arial" w:hAnsi="Arial" w:cs="Arial"/>
          <w:color w:val="000000" w:themeColor="text1"/>
        </w:rPr>
        <w:t xml:space="preserve">. </w:t>
      </w:r>
      <w:hyperlink r:id="rId26">
        <w:r w:rsidRPr="00D800F0">
          <w:rPr>
            <w:rFonts w:ascii="Arial" w:hAnsi="Arial" w:cs="Arial"/>
            <w:color w:val="000000" w:themeColor="text1"/>
          </w:rPr>
          <w:t>https://doi.org/10.2172/1529218</w:t>
        </w:r>
      </w:hyperlink>
    </w:p>
    <w:p w14:paraId="4B8BC566" w14:textId="77777777" w:rsidR="00F82D8D" w:rsidRPr="00D800F0" w:rsidRDefault="00F82D8D" w:rsidP="00F82D8D">
      <w:pPr>
        <w:ind w:left="720" w:hanging="720"/>
        <w:rPr>
          <w:rFonts w:ascii="Arial" w:hAnsi="Arial" w:cs="Arial"/>
          <w:color w:val="000000" w:themeColor="text1"/>
        </w:rPr>
      </w:pPr>
      <w:r w:rsidRPr="00D800F0">
        <w:rPr>
          <w:rFonts w:ascii="Arial" w:hAnsi="Arial" w:cs="Arial"/>
          <w:color w:val="000000" w:themeColor="text1"/>
        </w:rPr>
        <w:t xml:space="preserve">Cheema, I. I., &amp; Krewer, U. (2018). Operating envelope of Haber–Bosch process design for power-to-ammonia. </w:t>
      </w:r>
      <w:r w:rsidRPr="00D800F0">
        <w:rPr>
          <w:rFonts w:ascii="Arial" w:hAnsi="Arial" w:cs="Arial"/>
          <w:i/>
          <w:iCs/>
          <w:color w:val="000000" w:themeColor="text1"/>
        </w:rPr>
        <w:t>RSC Advances</w:t>
      </w:r>
      <w:r w:rsidRPr="00D800F0">
        <w:rPr>
          <w:rFonts w:ascii="Arial" w:hAnsi="Arial" w:cs="Arial"/>
          <w:color w:val="000000" w:themeColor="text1"/>
        </w:rPr>
        <w:t xml:space="preserve">, </w:t>
      </w:r>
      <w:r w:rsidRPr="00D800F0">
        <w:rPr>
          <w:rFonts w:ascii="Arial" w:hAnsi="Arial" w:cs="Arial"/>
          <w:i/>
          <w:iCs/>
          <w:color w:val="000000" w:themeColor="text1"/>
        </w:rPr>
        <w:t>8</w:t>
      </w:r>
      <w:r w:rsidRPr="00D800F0">
        <w:rPr>
          <w:rFonts w:ascii="Arial" w:hAnsi="Arial" w:cs="Arial"/>
          <w:color w:val="000000" w:themeColor="text1"/>
        </w:rPr>
        <w:t>(61), 34926–34936. https://doi.org/10.1039/c8ra06821f </w:t>
      </w:r>
    </w:p>
    <w:p w14:paraId="6796EC3E" w14:textId="77777777" w:rsidR="0067358D" w:rsidRPr="00D800F0" w:rsidRDefault="00F82D8D" w:rsidP="0067358D">
      <w:pPr>
        <w:ind w:left="720" w:hanging="720"/>
        <w:rPr>
          <w:rFonts w:ascii="Arial" w:hAnsi="Arial" w:cs="Arial"/>
          <w:color w:val="000000" w:themeColor="text1"/>
        </w:rPr>
      </w:pPr>
      <w:r w:rsidRPr="00D800F0">
        <w:rPr>
          <w:rFonts w:ascii="Arial" w:hAnsi="Arial" w:cs="Arial"/>
          <w:color w:val="000000" w:themeColor="text1"/>
        </w:rPr>
        <w:t xml:space="preserve">Cocon, Kamyll Dawn. </w:t>
      </w:r>
      <w:r w:rsidRPr="00D800F0">
        <w:rPr>
          <w:rFonts w:ascii="Arial" w:hAnsi="Arial" w:cs="Arial"/>
          <w:i/>
          <w:iCs/>
          <w:color w:val="000000" w:themeColor="text1"/>
        </w:rPr>
        <w:t>Towards an agile Power-to-Ammonia pathway : optimization of a dynamic ammonia production process</w:t>
      </w:r>
      <w:r w:rsidRPr="00D800F0">
        <w:rPr>
          <w:rFonts w:ascii="Arial" w:hAnsi="Arial" w:cs="Arial"/>
          <w:color w:val="000000" w:themeColor="text1"/>
        </w:rPr>
        <w:t>. Ecole polytechnique de Louvain, Université catholique de Louvain, 2021. Prom. : Contino, Francesco.</w:t>
      </w:r>
    </w:p>
    <w:p w14:paraId="39E6B290" w14:textId="0C791B0A" w:rsidR="0067358D" w:rsidRPr="00D800F0" w:rsidRDefault="0067358D" w:rsidP="00F82D8D">
      <w:pPr>
        <w:ind w:left="720" w:hanging="720"/>
        <w:rPr>
          <w:rFonts w:ascii="Arial" w:hAnsi="Arial" w:cs="Arial"/>
          <w:color w:val="000000" w:themeColor="text1"/>
        </w:rPr>
      </w:pPr>
      <w:r w:rsidRPr="00D800F0">
        <w:rPr>
          <w:rFonts w:ascii="Arial" w:hAnsi="Arial" w:cs="Arial"/>
          <w:color w:val="000000" w:themeColor="text1"/>
        </w:rPr>
        <w:t>Cybulsky, A., Giovanniello, M., Schittekatte, T., &amp; Mallapragada, D. S. (2023). Producing hydrogen from electricity: How modeling additionality drives the emissions impact of time-matching requirements (MITEI-WP-2023-02).</w:t>
      </w:r>
    </w:p>
    <w:p w14:paraId="02398090" w14:textId="524D1F58" w:rsidR="00F82D8D" w:rsidRPr="00D800F0" w:rsidRDefault="00F82D8D" w:rsidP="007E233D">
      <w:pPr>
        <w:ind w:left="720" w:hanging="720"/>
        <w:rPr>
          <w:rFonts w:ascii="Arial" w:hAnsi="Arial" w:cs="Arial"/>
          <w:color w:val="000000" w:themeColor="text1"/>
        </w:rPr>
      </w:pPr>
      <w:r w:rsidRPr="00D800F0">
        <w:rPr>
          <w:rFonts w:ascii="Arial" w:hAnsi="Arial" w:cs="Arial"/>
          <w:color w:val="000000" w:themeColor="text1"/>
        </w:rPr>
        <w:t xml:space="preserve">Davenne, T., Huddart, A., Cowan, R., Tallentire, D., Peters, B., Smith, J., Ruddell, A., &amp; Halliday, J., Ammonia Synthesis Plant from Intermittent Renewable Energy (ASPIRE). Frazer-Nash Consultancy. </w:t>
      </w:r>
      <w:hyperlink r:id="rId27" w:history="1">
        <w:r w:rsidRPr="00D800F0">
          <w:rPr>
            <w:rStyle w:val="Hyperlink"/>
            <w:rFonts w:ascii="Arial" w:hAnsi="Arial" w:cs="Arial"/>
            <w:color w:val="000000" w:themeColor="text1"/>
            <w:u w:val="none"/>
          </w:rPr>
          <w:t>https://assets.publishing.service.gov.uk/government/uploads/system/uploads/attachment_data/file/1158095/HYS2169_STFC_Final_Feasibility_Report__Confidential___Public_.pdf</w:t>
        </w:r>
      </w:hyperlink>
    </w:p>
    <w:p w14:paraId="2B129238" w14:textId="77777777" w:rsidR="0050752A" w:rsidRPr="00D800F0" w:rsidRDefault="004853CE" w:rsidP="0050752A">
      <w:pPr>
        <w:ind w:left="720" w:hanging="720"/>
        <w:rPr>
          <w:rFonts w:ascii="Arial" w:hAnsi="Arial" w:cs="Arial"/>
          <w:color w:val="000000" w:themeColor="text1"/>
        </w:rPr>
      </w:pPr>
      <w:r w:rsidRPr="00D800F0">
        <w:rPr>
          <w:rFonts w:ascii="Arial" w:hAnsi="Arial" w:cs="Arial"/>
          <w:color w:val="000000" w:themeColor="text1"/>
        </w:rPr>
        <w:t xml:space="preserve">Damodaran, A. (2023, January). </w:t>
      </w:r>
      <w:r w:rsidRPr="00D800F0">
        <w:rPr>
          <w:rFonts w:ascii="Arial" w:hAnsi="Arial" w:cs="Arial"/>
          <w:i/>
          <w:iCs/>
          <w:color w:val="000000" w:themeColor="text1"/>
        </w:rPr>
        <w:t>Cost of Equity and Capital (US)</w:t>
      </w:r>
      <w:r w:rsidRPr="00D800F0">
        <w:rPr>
          <w:rFonts w:ascii="Arial" w:hAnsi="Arial" w:cs="Arial"/>
          <w:color w:val="000000" w:themeColor="text1"/>
        </w:rPr>
        <w:t>.</w:t>
      </w:r>
    </w:p>
    <w:p w14:paraId="50326320" w14:textId="77777777" w:rsidR="00AD5705" w:rsidRPr="00D800F0" w:rsidRDefault="0050752A" w:rsidP="00AD5705">
      <w:pPr>
        <w:ind w:left="720" w:hanging="720"/>
        <w:rPr>
          <w:rFonts w:ascii="Arial" w:eastAsia="Times New Roman" w:hAnsi="Arial" w:cs="Arial"/>
          <w:color w:val="000000" w:themeColor="text1"/>
        </w:rPr>
      </w:pPr>
      <w:r w:rsidRPr="00D800F0">
        <w:rPr>
          <w:rFonts w:ascii="Arial" w:eastAsia="Times New Roman" w:hAnsi="Arial" w:cs="Arial"/>
          <w:color w:val="000000" w:themeColor="text1"/>
        </w:rPr>
        <w:t xml:space="preserve">Dimanchev, E., Fleten, S., MacKenzie, D., &amp; Korpas, M. (2023). Accelerating Electric Vehicle  Charging Investments: A Real  Options Approach to Policy Design. </w:t>
      </w:r>
      <w:r w:rsidRPr="00D800F0">
        <w:rPr>
          <w:rFonts w:ascii="Arial" w:eastAsia="Times New Roman" w:hAnsi="Arial" w:cs="Arial"/>
          <w:i/>
          <w:iCs/>
          <w:color w:val="000000" w:themeColor="text1"/>
        </w:rPr>
        <w:t>Energy Policy</w:t>
      </w:r>
      <w:r w:rsidRPr="00D800F0">
        <w:rPr>
          <w:rFonts w:ascii="Arial" w:eastAsia="Times New Roman" w:hAnsi="Arial" w:cs="Arial"/>
          <w:color w:val="000000" w:themeColor="text1"/>
        </w:rPr>
        <w:t xml:space="preserve">, </w:t>
      </w:r>
      <w:r w:rsidRPr="00D800F0">
        <w:rPr>
          <w:rFonts w:ascii="Arial" w:eastAsia="Times New Roman" w:hAnsi="Arial" w:cs="Arial"/>
          <w:i/>
          <w:iCs/>
          <w:color w:val="000000" w:themeColor="text1"/>
        </w:rPr>
        <w:t>181</w:t>
      </w:r>
      <w:r w:rsidRPr="00D800F0">
        <w:rPr>
          <w:rFonts w:ascii="Arial" w:eastAsia="Times New Roman" w:hAnsi="Arial" w:cs="Arial"/>
          <w:color w:val="000000" w:themeColor="text1"/>
        </w:rPr>
        <w:t>.</w:t>
      </w:r>
    </w:p>
    <w:p w14:paraId="40084B60" w14:textId="43D8D50C" w:rsidR="00AD5705" w:rsidRPr="00D800F0" w:rsidRDefault="00AD5705" w:rsidP="007E233D">
      <w:pPr>
        <w:ind w:left="720" w:hanging="720"/>
        <w:rPr>
          <w:rFonts w:ascii="Arial" w:eastAsia="Times New Roman" w:hAnsi="Arial" w:cs="Arial"/>
          <w:color w:val="000000" w:themeColor="text1"/>
        </w:rPr>
      </w:pPr>
      <w:r w:rsidRPr="00D800F0">
        <w:rPr>
          <w:rFonts w:ascii="Arial" w:hAnsi="Arial" w:cs="Arial"/>
          <w:color w:val="000000" w:themeColor="text1"/>
        </w:rPr>
        <w:lastRenderedPageBreak/>
        <w:t>Dincer I. and Ishaq H. (2021) Renewable Hydrogen Production, Elsevier, Amsterdam, Netherlands.</w:t>
      </w:r>
    </w:p>
    <w:p w14:paraId="5A39030B" w14:textId="77777777" w:rsidR="00AE2B91" w:rsidRPr="00D800F0" w:rsidRDefault="007E233D" w:rsidP="00AE2B91">
      <w:pPr>
        <w:ind w:left="720" w:hanging="720"/>
        <w:rPr>
          <w:rFonts w:ascii="Arial" w:hAnsi="Arial" w:cs="Arial"/>
          <w:color w:val="000000" w:themeColor="text1"/>
        </w:rPr>
      </w:pPr>
      <w:r w:rsidRPr="00D800F0">
        <w:rPr>
          <w:rFonts w:ascii="Arial" w:hAnsi="Arial" w:cs="Arial"/>
          <w:color w:val="000000" w:themeColor="text1"/>
        </w:rPr>
        <w:t>Dunning, Mitchell, &amp; Sullivan. (2011). PuLP : A Linear Programming Toolkit for Python. </w:t>
      </w:r>
      <w:r w:rsidRPr="00D800F0">
        <w:rPr>
          <w:rFonts w:ascii="Arial" w:hAnsi="Arial" w:cs="Arial"/>
          <w:i/>
          <w:iCs/>
          <w:color w:val="000000" w:themeColor="text1"/>
        </w:rPr>
        <w:t>Semantic Scholar</w:t>
      </w:r>
      <w:r w:rsidRPr="00D800F0">
        <w:rPr>
          <w:rFonts w:ascii="Arial" w:hAnsi="Arial" w:cs="Arial"/>
          <w:color w:val="000000" w:themeColor="text1"/>
        </w:rPr>
        <w:t>. https://www.semanticscholar.org/paper/PuLP-%3A-A-Linear-Programming-Toolkit-for-Python-Mitchell-O%27Sullivan/24c9ad0d66f6a05ad41563a7dade60bff6f59106</w:t>
      </w:r>
    </w:p>
    <w:p w14:paraId="1E41E8E7" w14:textId="77777777" w:rsidR="00F80F95" w:rsidRPr="00D800F0" w:rsidRDefault="00AE2B91" w:rsidP="00F80F95">
      <w:pPr>
        <w:ind w:left="720" w:hanging="720"/>
        <w:rPr>
          <w:rFonts w:ascii="Arial" w:hAnsi="Arial" w:cs="Arial"/>
          <w:color w:val="000000" w:themeColor="text1"/>
        </w:rPr>
      </w:pPr>
      <w:r w:rsidRPr="00D800F0">
        <w:rPr>
          <w:rFonts w:ascii="Arial" w:hAnsi="Arial" w:cs="Arial"/>
          <w:color w:val="000000" w:themeColor="text1"/>
        </w:rPr>
        <w:t xml:space="preserve">dos Santos, K. G., Eckert, C. T., de Rossi, E., Bariccatti, R. A., Frigo, E. P., Frigo, E. P., Lindino, C. A., Lindino, C. A., &amp; Alves, H. J. (2017). Hydrogen production in the electrolysis of water in Brazil, a review. </w:t>
      </w:r>
      <w:r w:rsidRPr="00D800F0">
        <w:rPr>
          <w:rFonts w:ascii="Arial" w:hAnsi="Arial" w:cs="Arial"/>
          <w:i/>
          <w:color w:val="000000" w:themeColor="text1"/>
        </w:rPr>
        <w:t>Renewable &amp; Sustainable Energy Reviews</w:t>
      </w:r>
      <w:r w:rsidRPr="00D800F0">
        <w:rPr>
          <w:rFonts w:ascii="Arial" w:hAnsi="Arial" w:cs="Arial"/>
          <w:color w:val="000000" w:themeColor="text1"/>
        </w:rPr>
        <w:t>. https://doi.org/10.1016/j.rser.2016.09.128</w:t>
      </w:r>
    </w:p>
    <w:p w14:paraId="592A3FE7" w14:textId="6190A0E3" w:rsidR="00F80F95" w:rsidRPr="00D800F0" w:rsidRDefault="00F80F95" w:rsidP="007E233D">
      <w:pPr>
        <w:ind w:left="720" w:hanging="720"/>
        <w:rPr>
          <w:rFonts w:ascii="Arial" w:hAnsi="Arial" w:cs="Arial"/>
          <w:color w:val="000000" w:themeColor="text1"/>
        </w:rPr>
      </w:pPr>
      <w:r w:rsidRPr="00D800F0">
        <w:rPr>
          <w:rFonts w:ascii="Arial" w:hAnsi="Arial" w:cs="Arial"/>
          <w:color w:val="000000" w:themeColor="text1"/>
        </w:rPr>
        <w:t xml:space="preserve">del Pozo, C. A., &amp; Cloete, S. (2022). Techno-economic assessment of blue and green ammonia as energy carriers in a low-carbon future. </w:t>
      </w:r>
      <w:r w:rsidRPr="00D800F0">
        <w:rPr>
          <w:rFonts w:ascii="Arial" w:hAnsi="Arial" w:cs="Arial"/>
          <w:i/>
          <w:color w:val="000000" w:themeColor="text1"/>
        </w:rPr>
        <w:t>Energy Conversion and Management</w:t>
      </w:r>
      <w:r w:rsidRPr="00D800F0">
        <w:rPr>
          <w:rFonts w:ascii="Arial" w:hAnsi="Arial" w:cs="Arial"/>
          <w:color w:val="000000" w:themeColor="text1"/>
        </w:rPr>
        <w:t xml:space="preserve">. </w:t>
      </w:r>
      <w:hyperlink r:id="rId28">
        <w:r w:rsidRPr="00D800F0">
          <w:rPr>
            <w:rFonts w:ascii="Arial" w:hAnsi="Arial" w:cs="Arial"/>
            <w:color w:val="000000" w:themeColor="text1"/>
          </w:rPr>
          <w:t>https://doi.org/10.1016/j.enconman.2022.115312</w:t>
        </w:r>
      </w:hyperlink>
    </w:p>
    <w:p w14:paraId="065C69FB" w14:textId="77777777" w:rsidR="007E233D" w:rsidRPr="00D800F0" w:rsidRDefault="006F7AE5" w:rsidP="007E233D">
      <w:pPr>
        <w:ind w:left="720" w:hanging="720"/>
        <w:rPr>
          <w:rFonts w:ascii="Arial" w:eastAsia="Times New Roman" w:hAnsi="Arial" w:cs="Arial"/>
          <w:i/>
          <w:iCs/>
          <w:color w:val="000000" w:themeColor="text1"/>
        </w:rPr>
      </w:pPr>
      <w:r w:rsidRPr="00D800F0">
        <w:rPr>
          <w:rFonts w:ascii="Arial" w:eastAsia="Times New Roman" w:hAnsi="Arial" w:cs="Arial"/>
          <w:color w:val="000000" w:themeColor="text1"/>
        </w:rPr>
        <w:t xml:space="preserve">Environmental Protection Agency (EPA). (2022). </w:t>
      </w:r>
      <w:r w:rsidRPr="00D800F0">
        <w:rPr>
          <w:rFonts w:ascii="Arial" w:eastAsia="Times New Roman" w:hAnsi="Arial" w:cs="Arial"/>
          <w:i/>
          <w:iCs/>
          <w:color w:val="000000" w:themeColor="text1"/>
        </w:rPr>
        <w:t>Supplementary Material for the Regulatory Impact Analysis for the Supplemental Proposed  Rulemaking, “Standards of Performance for  New, Reconstructed, and Modified Sources and  Emissions Guidelines for Existing Sources: Oil and Natural Gas Sector Climate Review.”</w:t>
      </w:r>
    </w:p>
    <w:p w14:paraId="07B985B4" w14:textId="77777777" w:rsidR="007E233D" w:rsidRPr="00D800F0" w:rsidRDefault="007E233D" w:rsidP="007E233D">
      <w:pPr>
        <w:ind w:left="720" w:hanging="720"/>
        <w:rPr>
          <w:rFonts w:ascii="Arial" w:eastAsia="Times New Roman" w:hAnsi="Arial" w:cs="Arial"/>
          <w:color w:val="000000" w:themeColor="text1"/>
        </w:rPr>
      </w:pPr>
      <w:r w:rsidRPr="00D800F0">
        <w:rPr>
          <w:rFonts w:ascii="Arial" w:eastAsia="Times New Roman" w:hAnsi="Arial" w:cs="Arial"/>
          <w:color w:val="000000" w:themeColor="text1"/>
        </w:rPr>
        <w:t xml:space="preserve">European Commission. (2023). </w:t>
      </w:r>
      <w:r w:rsidRPr="00D800F0">
        <w:rPr>
          <w:rFonts w:ascii="Arial" w:eastAsia="Times New Roman" w:hAnsi="Arial" w:cs="Arial"/>
          <w:i/>
          <w:iCs/>
          <w:color w:val="000000" w:themeColor="text1"/>
        </w:rPr>
        <w:t>Carbon Border Adjustment Mechanism</w:t>
      </w:r>
      <w:r w:rsidRPr="00D800F0">
        <w:rPr>
          <w:rFonts w:ascii="Arial" w:eastAsia="Times New Roman" w:hAnsi="Arial" w:cs="Arial"/>
          <w:color w:val="000000" w:themeColor="text1"/>
        </w:rPr>
        <w:t>.</w:t>
      </w:r>
    </w:p>
    <w:p w14:paraId="56D70ED2" w14:textId="77777777" w:rsidR="00A61D93" w:rsidRPr="00D800F0" w:rsidRDefault="007E233D" w:rsidP="00A61D93">
      <w:pPr>
        <w:ind w:left="720" w:hanging="720"/>
        <w:rPr>
          <w:rFonts w:ascii="Arial" w:eastAsia="Times New Roman" w:hAnsi="Arial" w:cs="Arial"/>
          <w:color w:val="000000" w:themeColor="text1"/>
        </w:rPr>
      </w:pPr>
      <w:r w:rsidRPr="00D800F0">
        <w:rPr>
          <w:rFonts w:ascii="Arial" w:eastAsia="Times New Roman" w:hAnsi="Arial" w:cs="Arial"/>
          <w:color w:val="000000" w:themeColor="text1"/>
        </w:rPr>
        <w:t>Energy Information Administration (EIA). (2023</w:t>
      </w:r>
      <w:r w:rsidR="00A61D93" w:rsidRPr="00D800F0">
        <w:rPr>
          <w:rFonts w:ascii="Arial" w:eastAsia="Times New Roman" w:hAnsi="Arial" w:cs="Arial"/>
          <w:color w:val="000000" w:themeColor="text1"/>
        </w:rPr>
        <w:t>a</w:t>
      </w:r>
      <w:r w:rsidRPr="00D800F0">
        <w:rPr>
          <w:rFonts w:ascii="Arial" w:eastAsia="Times New Roman" w:hAnsi="Arial" w:cs="Arial"/>
          <w:color w:val="000000" w:themeColor="text1"/>
        </w:rPr>
        <w:t xml:space="preserve">). </w:t>
      </w:r>
      <w:r w:rsidRPr="00D800F0">
        <w:rPr>
          <w:rFonts w:ascii="Arial" w:eastAsia="Times New Roman" w:hAnsi="Arial" w:cs="Arial"/>
          <w:i/>
          <w:iCs/>
          <w:color w:val="000000" w:themeColor="text1"/>
        </w:rPr>
        <w:t>Annual Energy Outlook 2023</w:t>
      </w:r>
      <w:r w:rsidRPr="00D800F0">
        <w:rPr>
          <w:rFonts w:ascii="Arial" w:eastAsia="Times New Roman" w:hAnsi="Arial" w:cs="Arial"/>
          <w:color w:val="000000" w:themeColor="text1"/>
        </w:rPr>
        <w:t>.</w:t>
      </w:r>
    </w:p>
    <w:p w14:paraId="631FBB83" w14:textId="77777777" w:rsidR="00F80F95" w:rsidRPr="00D800F0" w:rsidRDefault="00A61D93" w:rsidP="00F80F95">
      <w:pPr>
        <w:ind w:left="720" w:hanging="720"/>
        <w:rPr>
          <w:rFonts w:ascii="Arial" w:eastAsia="Times New Roman" w:hAnsi="Arial" w:cs="Arial"/>
          <w:color w:val="000000" w:themeColor="text1"/>
        </w:rPr>
      </w:pPr>
      <w:r w:rsidRPr="00D800F0">
        <w:rPr>
          <w:rFonts w:ascii="Arial" w:eastAsia="Times New Roman" w:hAnsi="Arial" w:cs="Arial"/>
          <w:color w:val="000000" w:themeColor="text1"/>
        </w:rPr>
        <w:t xml:space="preserve">EIA. (2023b, June). </w:t>
      </w:r>
      <w:r w:rsidRPr="00D800F0">
        <w:rPr>
          <w:rFonts w:ascii="Arial" w:eastAsia="Times New Roman" w:hAnsi="Arial" w:cs="Arial"/>
          <w:i/>
          <w:iCs/>
          <w:color w:val="000000" w:themeColor="text1"/>
        </w:rPr>
        <w:t>Natural Gas Spot and Futures Prices (NYMEX)</w:t>
      </w:r>
      <w:r w:rsidRPr="00D800F0">
        <w:rPr>
          <w:rFonts w:ascii="Arial" w:eastAsia="Times New Roman" w:hAnsi="Arial" w:cs="Arial"/>
          <w:color w:val="000000" w:themeColor="text1"/>
        </w:rPr>
        <w:t>.</w:t>
      </w:r>
      <w:bookmarkStart w:id="120" w:name="_Hlk142347216"/>
      <w:bookmarkStart w:id="121" w:name="_Hlk142347305"/>
    </w:p>
    <w:p w14:paraId="2D7AA092" w14:textId="53697C90" w:rsidR="00F80F95" w:rsidRPr="00D800F0" w:rsidRDefault="00F80F95" w:rsidP="00AE2B91">
      <w:pPr>
        <w:ind w:left="720" w:hanging="720"/>
        <w:rPr>
          <w:rFonts w:ascii="Arial" w:eastAsia="Times New Roman" w:hAnsi="Arial" w:cs="Arial"/>
          <w:color w:val="000000" w:themeColor="text1"/>
        </w:rPr>
      </w:pPr>
      <w:r w:rsidRPr="00D800F0">
        <w:rPr>
          <w:rFonts w:ascii="Arial" w:hAnsi="Arial" w:cs="Arial"/>
          <w:color w:val="000000" w:themeColor="text1"/>
        </w:rPr>
        <w:t xml:space="preserve">Gilbert, P., Alexander, S., Thornley, P., &amp; Brammer, J. (2014). Assessing economically viable carbon reductions for the production of ammonia from biomass gasification. </w:t>
      </w:r>
      <w:r w:rsidRPr="00D800F0">
        <w:rPr>
          <w:rFonts w:ascii="Arial" w:hAnsi="Arial" w:cs="Arial"/>
          <w:i/>
          <w:color w:val="000000" w:themeColor="text1"/>
        </w:rPr>
        <w:t>Journal of Cleaner Production</w:t>
      </w:r>
      <w:r w:rsidRPr="00D800F0">
        <w:rPr>
          <w:rFonts w:ascii="Arial" w:hAnsi="Arial" w:cs="Arial"/>
          <w:color w:val="000000" w:themeColor="text1"/>
        </w:rPr>
        <w:t>. https://doi.org/10.1016/j.jclepro.2013.09.011</w:t>
      </w:r>
      <w:bookmarkEnd w:id="120"/>
    </w:p>
    <w:p w14:paraId="001012C1" w14:textId="77777777" w:rsidR="00F80F95" w:rsidRPr="00D800F0" w:rsidRDefault="00AE2B91" w:rsidP="00F80F95">
      <w:pPr>
        <w:ind w:left="720" w:hanging="720"/>
        <w:rPr>
          <w:rFonts w:ascii="Arial" w:hAnsi="Arial" w:cs="Arial"/>
          <w:color w:val="000000" w:themeColor="text1"/>
        </w:rPr>
      </w:pPr>
      <w:r w:rsidRPr="00D800F0">
        <w:rPr>
          <w:rFonts w:ascii="Arial" w:hAnsi="Arial" w:cs="Arial"/>
          <w:color w:val="000000" w:themeColor="text1"/>
        </w:rPr>
        <w:t xml:space="preserve">Gomez, J., Baca, J. M., Garzon, F. H., &amp; Garzon, F. H. (2020). Techno-economic analysis and life cycle assessment for electrochemical ammonia production using proton conducting membrane. </w:t>
      </w:r>
      <w:r w:rsidRPr="00D800F0">
        <w:rPr>
          <w:rFonts w:ascii="Arial" w:hAnsi="Arial" w:cs="Arial"/>
          <w:i/>
          <w:color w:val="000000" w:themeColor="text1"/>
        </w:rPr>
        <w:t>International Journal of Hydrogen Energy</w:t>
      </w:r>
      <w:r w:rsidRPr="00D800F0">
        <w:rPr>
          <w:rFonts w:ascii="Arial" w:hAnsi="Arial" w:cs="Arial"/>
          <w:color w:val="000000" w:themeColor="text1"/>
        </w:rPr>
        <w:t>. https://doi.org/10.1016/j.ijhydene.2019.10.174</w:t>
      </w:r>
      <w:bookmarkEnd w:id="121"/>
    </w:p>
    <w:p w14:paraId="30ED65B3" w14:textId="77777777" w:rsidR="00AD5705" w:rsidRPr="00D800F0" w:rsidRDefault="00F80F95" w:rsidP="00AD5705">
      <w:pPr>
        <w:ind w:left="720" w:hanging="720"/>
        <w:rPr>
          <w:rStyle w:val="Hyperlink"/>
          <w:rFonts w:ascii="Arial" w:hAnsi="Arial" w:cs="Arial"/>
          <w:color w:val="000000" w:themeColor="text1"/>
          <w:u w:val="none"/>
        </w:rPr>
      </w:pPr>
      <w:r w:rsidRPr="00D800F0">
        <w:rPr>
          <w:rFonts w:ascii="Arial" w:hAnsi="Arial" w:cs="Arial"/>
          <w:color w:val="000000" w:themeColor="text1"/>
        </w:rPr>
        <w:t xml:space="preserve">Guerra, C. F., Reyes-Bozo, L., Vyhmeister, E., Caparrós, M. J., Salazar, J. L., Salazar, J. L., &amp; Clemente-Jul, C. (2020). Technical-economic analysis for a green ammonia production plant in Chile and its subsequent transport to Japan. </w:t>
      </w:r>
      <w:r w:rsidRPr="00D800F0">
        <w:rPr>
          <w:rFonts w:ascii="Arial" w:hAnsi="Arial" w:cs="Arial"/>
          <w:i/>
          <w:color w:val="000000" w:themeColor="text1"/>
        </w:rPr>
        <w:t>Renewable Energy</w:t>
      </w:r>
      <w:r w:rsidRPr="00D800F0">
        <w:rPr>
          <w:rFonts w:ascii="Arial" w:hAnsi="Arial" w:cs="Arial"/>
          <w:color w:val="000000" w:themeColor="text1"/>
        </w:rPr>
        <w:t xml:space="preserve">. </w:t>
      </w:r>
      <w:hyperlink r:id="rId29" w:history="1">
        <w:r w:rsidRPr="00D800F0">
          <w:rPr>
            <w:rStyle w:val="Hyperlink"/>
            <w:rFonts w:ascii="Arial" w:hAnsi="Arial" w:cs="Arial"/>
            <w:color w:val="000000" w:themeColor="text1"/>
            <w:u w:val="none"/>
          </w:rPr>
          <w:t>https://doi.org/10.1016/j.renene.2020.05.041</w:t>
        </w:r>
      </w:hyperlink>
    </w:p>
    <w:p w14:paraId="4B8EECC5" w14:textId="7C4C732D" w:rsidR="00AD5705" w:rsidRPr="00D800F0" w:rsidRDefault="00AD5705" w:rsidP="0067358D">
      <w:pPr>
        <w:ind w:left="720" w:hanging="720"/>
        <w:rPr>
          <w:rStyle w:val="Hyperlink"/>
          <w:rFonts w:ascii="Arial" w:hAnsi="Arial" w:cs="Arial"/>
          <w:color w:val="000000" w:themeColor="text1"/>
          <w:u w:val="none"/>
        </w:rPr>
      </w:pPr>
      <w:r w:rsidRPr="00D800F0">
        <w:rPr>
          <w:rFonts w:ascii="Arial" w:hAnsi="Arial" w:cs="Arial"/>
          <w:color w:val="000000" w:themeColor="text1"/>
        </w:rPr>
        <w:t>D. Green and M. Southard (2018), Perry’s Chemical Engineers Handbook, 9th Edition, McGraw Hill, NY.</w:t>
      </w:r>
    </w:p>
    <w:p w14:paraId="24321C7E" w14:textId="35C1A704" w:rsidR="0067358D" w:rsidRPr="00D800F0" w:rsidRDefault="0067358D" w:rsidP="0067358D">
      <w:pPr>
        <w:ind w:left="720" w:hanging="720"/>
        <w:rPr>
          <w:rFonts w:ascii="Arial" w:hAnsi="Arial" w:cs="Arial"/>
          <w:color w:val="000000" w:themeColor="text1"/>
        </w:rPr>
      </w:pPr>
      <w:r w:rsidRPr="00D800F0">
        <w:rPr>
          <w:rFonts w:ascii="Arial" w:eastAsia="Times New Roman" w:hAnsi="Arial" w:cs="Arial"/>
          <w:color w:val="000000" w:themeColor="text1"/>
        </w:rPr>
        <w:t xml:space="preserve">Herzog, H. J. (2011). Scaling up carbon dioxide capture and storage: From megatons to gigatons. </w:t>
      </w:r>
      <w:r w:rsidRPr="00D800F0">
        <w:rPr>
          <w:rFonts w:ascii="Arial" w:eastAsia="Times New Roman" w:hAnsi="Arial" w:cs="Arial"/>
          <w:i/>
          <w:iCs/>
          <w:color w:val="000000" w:themeColor="text1"/>
        </w:rPr>
        <w:t>Energy Economics</w:t>
      </w:r>
      <w:r w:rsidRPr="00D800F0">
        <w:rPr>
          <w:rFonts w:ascii="Arial" w:eastAsia="Times New Roman" w:hAnsi="Arial" w:cs="Arial"/>
          <w:color w:val="000000" w:themeColor="text1"/>
        </w:rPr>
        <w:t xml:space="preserve">, </w:t>
      </w:r>
      <w:r w:rsidRPr="00D800F0">
        <w:rPr>
          <w:rFonts w:ascii="Arial" w:eastAsia="Times New Roman" w:hAnsi="Arial" w:cs="Arial"/>
          <w:i/>
          <w:iCs/>
          <w:color w:val="000000" w:themeColor="text1"/>
        </w:rPr>
        <w:t>33</w:t>
      </w:r>
      <w:r w:rsidRPr="00D800F0">
        <w:rPr>
          <w:rFonts w:ascii="Arial" w:eastAsia="Times New Roman" w:hAnsi="Arial" w:cs="Arial"/>
          <w:color w:val="000000" w:themeColor="text1"/>
        </w:rPr>
        <w:t>(4), 597–604. https://doi.org/10.1016/j.eneco.2010.11.004</w:t>
      </w:r>
    </w:p>
    <w:p w14:paraId="3BB53B8B" w14:textId="77777777" w:rsidR="00AE2B91" w:rsidRPr="00D800F0" w:rsidRDefault="004853CE" w:rsidP="00AE2B91">
      <w:pPr>
        <w:ind w:left="720" w:hanging="720"/>
        <w:rPr>
          <w:rFonts w:ascii="Arial" w:eastAsia="Times New Roman" w:hAnsi="Arial" w:cs="Arial"/>
          <w:color w:val="000000" w:themeColor="text1"/>
        </w:rPr>
      </w:pPr>
      <w:r w:rsidRPr="00D800F0">
        <w:rPr>
          <w:rFonts w:ascii="Arial" w:eastAsia="Times New Roman" w:hAnsi="Arial" w:cs="Arial"/>
          <w:color w:val="000000" w:themeColor="text1"/>
        </w:rPr>
        <w:t>Inflation Reduction Act (IRA), Pub. L. No.117-169, 136 Stat. 1818 (2022)</w:t>
      </w:r>
      <w:bookmarkStart w:id="122" w:name="_Hlk142346823"/>
    </w:p>
    <w:p w14:paraId="164F58B6" w14:textId="4FE2597B" w:rsidR="00AE2B91" w:rsidRPr="00D800F0" w:rsidRDefault="00AE2B91" w:rsidP="004853CE">
      <w:pPr>
        <w:ind w:left="720" w:hanging="720"/>
        <w:rPr>
          <w:rStyle w:val="Hyperlink"/>
          <w:rFonts w:ascii="Arial" w:hAnsi="Arial" w:cs="Arial"/>
          <w:color w:val="000000" w:themeColor="text1"/>
          <w:u w:val="none"/>
        </w:rPr>
      </w:pPr>
      <w:r w:rsidRPr="00D800F0">
        <w:rPr>
          <w:rFonts w:ascii="Arial" w:hAnsi="Arial" w:cs="Arial"/>
          <w:color w:val="000000" w:themeColor="text1"/>
        </w:rPr>
        <w:t xml:space="preserve">International Energy Agency (IEA). (2021). </w:t>
      </w:r>
      <w:r w:rsidRPr="00D800F0">
        <w:rPr>
          <w:rFonts w:ascii="Arial" w:hAnsi="Arial" w:cs="Arial"/>
          <w:i/>
          <w:color w:val="000000" w:themeColor="text1"/>
        </w:rPr>
        <w:t>Ammonia Technology Roadmap Towards more sustainable nitrogen fertilizer production</w:t>
      </w:r>
      <w:r w:rsidRPr="00D800F0">
        <w:rPr>
          <w:rFonts w:ascii="Arial" w:hAnsi="Arial" w:cs="Arial"/>
          <w:color w:val="000000" w:themeColor="text1"/>
        </w:rPr>
        <w:t xml:space="preserve">. </w:t>
      </w:r>
      <w:hyperlink r:id="rId30" w:history="1">
        <w:r w:rsidRPr="00D800F0">
          <w:rPr>
            <w:rStyle w:val="Hyperlink"/>
            <w:rFonts w:ascii="Arial" w:hAnsi="Arial" w:cs="Arial"/>
            <w:color w:val="000000" w:themeColor="text1"/>
            <w:u w:val="none"/>
          </w:rPr>
          <w:t>www.iea.org/t&amp;c/</w:t>
        </w:r>
      </w:hyperlink>
      <w:bookmarkEnd w:id="122"/>
    </w:p>
    <w:p w14:paraId="4BABB78D" w14:textId="05B1F2EC" w:rsidR="0067358D" w:rsidRPr="00D800F0" w:rsidRDefault="0067358D" w:rsidP="004853CE">
      <w:pPr>
        <w:ind w:left="720" w:hanging="720"/>
        <w:rPr>
          <w:rFonts w:ascii="Arial" w:eastAsia="Times New Roman" w:hAnsi="Arial" w:cs="Arial"/>
          <w:color w:val="000000" w:themeColor="text1"/>
        </w:rPr>
      </w:pPr>
      <w:r w:rsidRPr="00D800F0">
        <w:rPr>
          <w:rFonts w:ascii="Arial" w:hAnsi="Arial" w:cs="Arial"/>
          <w:color w:val="000000" w:themeColor="text1"/>
        </w:rPr>
        <w:lastRenderedPageBreak/>
        <w:t xml:space="preserve">IEAGHG. (2017). </w:t>
      </w:r>
      <w:r w:rsidRPr="00D800F0">
        <w:rPr>
          <w:rFonts w:ascii="Arial" w:hAnsi="Arial" w:cs="Arial"/>
          <w:i/>
          <w:color w:val="000000" w:themeColor="text1"/>
        </w:rPr>
        <w:t>Techno-Economic Evaluation fo SMR Base Standalone (Merchant) Plant with CCS</w:t>
      </w:r>
      <w:r w:rsidRPr="00D800F0">
        <w:rPr>
          <w:rFonts w:ascii="Arial" w:hAnsi="Arial" w:cs="Arial"/>
          <w:color w:val="000000" w:themeColor="text1"/>
        </w:rPr>
        <w:t>.</w:t>
      </w:r>
    </w:p>
    <w:p w14:paraId="371EF782" w14:textId="77777777" w:rsidR="00A61D93" w:rsidRPr="00D800F0" w:rsidRDefault="006F7AE5" w:rsidP="00A61D93">
      <w:pPr>
        <w:ind w:left="720" w:hanging="720"/>
        <w:rPr>
          <w:rFonts w:ascii="Arial" w:hAnsi="Arial" w:cs="Arial"/>
          <w:color w:val="000000" w:themeColor="text1"/>
        </w:rPr>
      </w:pPr>
      <w:r w:rsidRPr="00D800F0">
        <w:rPr>
          <w:rFonts w:ascii="Arial" w:hAnsi="Arial" w:cs="Arial"/>
          <w:color w:val="000000" w:themeColor="text1"/>
        </w:rPr>
        <w:t xml:space="preserve">International Renewable Energy  Agency (IRENA). (2020). Green Hydrogen Cost Reduction - Scaling up electrolysers to meet the 1.5C climate goal. In </w:t>
      </w:r>
      <w:r w:rsidRPr="00D800F0">
        <w:rPr>
          <w:rFonts w:ascii="Arial" w:hAnsi="Arial" w:cs="Arial"/>
          <w:i/>
          <w:color w:val="000000" w:themeColor="text1"/>
        </w:rPr>
        <w:t>International Renewable Energy Agency</w:t>
      </w:r>
      <w:r w:rsidRPr="00D800F0">
        <w:rPr>
          <w:rFonts w:ascii="Arial" w:hAnsi="Arial" w:cs="Arial"/>
          <w:color w:val="000000" w:themeColor="text1"/>
        </w:rPr>
        <w:t>.</w:t>
      </w:r>
    </w:p>
    <w:p w14:paraId="3437C5EC" w14:textId="77777777" w:rsidR="00F80F95" w:rsidRPr="00D800F0" w:rsidRDefault="00A61D93" w:rsidP="00F80F95">
      <w:pPr>
        <w:ind w:left="720" w:hanging="720"/>
        <w:rPr>
          <w:rFonts w:ascii="Arial" w:hAnsi="Arial" w:cs="Arial"/>
          <w:color w:val="000000" w:themeColor="text1"/>
        </w:rPr>
      </w:pPr>
      <w:r w:rsidRPr="00D800F0">
        <w:rPr>
          <w:rFonts w:ascii="Arial" w:hAnsi="Arial" w:cs="Arial"/>
          <w:color w:val="000000" w:themeColor="text1"/>
        </w:rPr>
        <w:t>IRENA, &amp; Ammonia Energy Association (AEA). (2022). Innovation Outlook: Renewable Ammonia.</w:t>
      </w:r>
    </w:p>
    <w:p w14:paraId="491B3423" w14:textId="5AB0ADF9" w:rsidR="00F80F95" w:rsidRPr="00D800F0" w:rsidRDefault="00F80F95" w:rsidP="007E233D">
      <w:pPr>
        <w:ind w:left="720" w:hanging="720"/>
        <w:rPr>
          <w:rFonts w:ascii="Arial" w:hAnsi="Arial" w:cs="Arial"/>
          <w:color w:val="000000" w:themeColor="text1"/>
        </w:rPr>
      </w:pPr>
      <w:r w:rsidRPr="00D800F0">
        <w:rPr>
          <w:rFonts w:ascii="Arial" w:eastAsia="Times New Roman" w:hAnsi="Arial" w:cs="Arial"/>
          <w:color w:val="000000" w:themeColor="text1"/>
        </w:rPr>
        <w:t xml:space="preserve">Jenkins, J., &amp; Ricks, W. (2023). </w:t>
      </w:r>
      <w:r w:rsidRPr="00D800F0">
        <w:rPr>
          <w:rFonts w:ascii="Arial" w:eastAsia="Times New Roman" w:hAnsi="Arial" w:cs="Arial"/>
          <w:i/>
          <w:iCs/>
          <w:color w:val="000000" w:themeColor="text1"/>
        </w:rPr>
        <w:t>The Cost of Clean Hydrogen with Robust Emissions Standards: A Comparison Across Studies</w:t>
      </w:r>
      <w:r w:rsidRPr="00D800F0">
        <w:rPr>
          <w:rFonts w:ascii="Arial" w:eastAsia="Times New Roman" w:hAnsi="Arial" w:cs="Arial"/>
          <w:color w:val="000000" w:themeColor="text1"/>
        </w:rPr>
        <w:t>.</w:t>
      </w:r>
    </w:p>
    <w:p w14:paraId="20030959" w14:textId="77777777" w:rsidR="00F82D8D" w:rsidRPr="00D800F0" w:rsidRDefault="007E233D" w:rsidP="00F82D8D">
      <w:pPr>
        <w:ind w:left="720" w:hanging="720"/>
        <w:rPr>
          <w:rFonts w:ascii="Arial" w:hAnsi="Arial" w:cs="Arial"/>
          <w:color w:val="000000" w:themeColor="text1"/>
        </w:rPr>
      </w:pPr>
      <w:r w:rsidRPr="00D800F0">
        <w:rPr>
          <w:rFonts w:ascii="Arial" w:hAnsi="Arial" w:cs="Arial"/>
          <w:color w:val="000000" w:themeColor="text1"/>
        </w:rPr>
        <w:t xml:space="preserve">Kakoulaki, G., Kougias, I., Taylor, N., Dolci, F., Moya, J., &amp; Jäger-Waldau, A. (2021). Green hydrogen in Europe – A regional assessment: Substituting existing production with electrolysis powered by renewables. </w:t>
      </w:r>
      <w:r w:rsidRPr="00D800F0">
        <w:rPr>
          <w:rFonts w:ascii="Arial" w:hAnsi="Arial" w:cs="Arial"/>
          <w:i/>
          <w:iCs/>
          <w:color w:val="000000" w:themeColor="text1"/>
        </w:rPr>
        <w:t>Energy Conversion and Management</w:t>
      </w:r>
      <w:r w:rsidRPr="00D800F0">
        <w:rPr>
          <w:rFonts w:ascii="Arial" w:hAnsi="Arial" w:cs="Arial"/>
          <w:color w:val="000000" w:themeColor="text1"/>
        </w:rPr>
        <w:t xml:space="preserve">, </w:t>
      </w:r>
      <w:r w:rsidRPr="00D800F0">
        <w:rPr>
          <w:rFonts w:ascii="Arial" w:hAnsi="Arial" w:cs="Arial"/>
          <w:i/>
          <w:iCs/>
          <w:color w:val="000000" w:themeColor="text1"/>
        </w:rPr>
        <w:t>228</w:t>
      </w:r>
      <w:r w:rsidRPr="00D800F0">
        <w:rPr>
          <w:rFonts w:ascii="Arial" w:hAnsi="Arial" w:cs="Arial"/>
          <w:color w:val="000000" w:themeColor="text1"/>
        </w:rPr>
        <w:t>. https://doi.org/10.1016/j.enconman.2020.113649</w:t>
      </w:r>
      <w:bookmarkStart w:id="123" w:name="_Hlk142347267"/>
    </w:p>
    <w:p w14:paraId="1AE7F498" w14:textId="768145C1" w:rsidR="00F82D8D" w:rsidRPr="00D800F0" w:rsidRDefault="00F82D8D" w:rsidP="00AE2B91">
      <w:pPr>
        <w:ind w:left="720" w:hanging="720"/>
        <w:rPr>
          <w:rFonts w:ascii="Arial" w:hAnsi="Arial" w:cs="Arial"/>
          <w:color w:val="000000" w:themeColor="text1"/>
        </w:rPr>
      </w:pPr>
      <w:r w:rsidRPr="00D800F0">
        <w:rPr>
          <w:rFonts w:ascii="Arial" w:hAnsi="Arial" w:cs="Arial"/>
          <w:color w:val="000000" w:themeColor="text1"/>
        </w:rPr>
        <w:t xml:space="preserve">Lazouski, N., Limaye, A., Bose, A., Gala, M. L., Manthiram, K., &amp; Mallapragada, D. S. (2022). Cost and performance targets for fully electrochemical ammonia production under Flexible Operation. </w:t>
      </w:r>
      <w:r w:rsidRPr="00D800F0">
        <w:rPr>
          <w:rFonts w:ascii="Arial" w:hAnsi="Arial" w:cs="Arial"/>
          <w:i/>
          <w:iCs/>
          <w:color w:val="000000" w:themeColor="text1"/>
        </w:rPr>
        <w:t>ACS Energy Letters</w:t>
      </w:r>
      <w:r w:rsidRPr="00D800F0">
        <w:rPr>
          <w:rFonts w:ascii="Arial" w:hAnsi="Arial" w:cs="Arial"/>
          <w:color w:val="000000" w:themeColor="text1"/>
        </w:rPr>
        <w:t xml:space="preserve">, </w:t>
      </w:r>
      <w:r w:rsidRPr="00D800F0">
        <w:rPr>
          <w:rFonts w:ascii="Arial" w:hAnsi="Arial" w:cs="Arial"/>
          <w:i/>
          <w:iCs/>
          <w:color w:val="000000" w:themeColor="text1"/>
        </w:rPr>
        <w:t>7</w:t>
      </w:r>
      <w:r w:rsidRPr="00D800F0">
        <w:rPr>
          <w:rFonts w:ascii="Arial" w:hAnsi="Arial" w:cs="Arial"/>
          <w:color w:val="000000" w:themeColor="text1"/>
        </w:rPr>
        <w:t xml:space="preserve">(8), 2627–2633. </w:t>
      </w:r>
      <w:hyperlink r:id="rId31" w:history="1">
        <w:r w:rsidRPr="00D800F0">
          <w:rPr>
            <w:rStyle w:val="Hyperlink"/>
            <w:rFonts w:ascii="Arial" w:hAnsi="Arial" w:cs="Arial"/>
            <w:color w:val="000000" w:themeColor="text1"/>
            <w:u w:val="none"/>
          </w:rPr>
          <w:t>https://doi.org/10.1021/acsenergylett.2c01197</w:t>
        </w:r>
      </w:hyperlink>
    </w:p>
    <w:p w14:paraId="61FA2AA5" w14:textId="77777777" w:rsidR="00F80F95" w:rsidRPr="00D800F0" w:rsidRDefault="00AE2B91" w:rsidP="00F80F95">
      <w:pPr>
        <w:ind w:left="720" w:hanging="720"/>
        <w:rPr>
          <w:rFonts w:ascii="Arial" w:hAnsi="Arial" w:cs="Arial"/>
          <w:color w:val="000000" w:themeColor="text1"/>
        </w:rPr>
      </w:pPr>
      <w:r w:rsidRPr="00D800F0">
        <w:rPr>
          <w:rFonts w:ascii="Arial" w:hAnsi="Arial" w:cs="Arial"/>
          <w:color w:val="000000" w:themeColor="text1"/>
        </w:rPr>
        <w:t xml:space="preserve">Lee, B., Lim, D., Lee, H., &amp; Lim, H. (2021). Which water electrolysis technology is appropriate?: Critical insights of potential water electrolysis for green ammonia production. </w:t>
      </w:r>
      <w:r w:rsidRPr="00D800F0">
        <w:rPr>
          <w:rFonts w:ascii="Arial" w:hAnsi="Arial" w:cs="Arial"/>
          <w:i/>
          <w:color w:val="000000" w:themeColor="text1"/>
        </w:rPr>
        <w:t>Renewable &amp; Sustainable Energy Reviews</w:t>
      </w:r>
      <w:r w:rsidRPr="00D800F0">
        <w:rPr>
          <w:rFonts w:ascii="Arial" w:hAnsi="Arial" w:cs="Arial"/>
          <w:color w:val="000000" w:themeColor="text1"/>
        </w:rPr>
        <w:t>. https://doi.org/10.1016/j.rser.2021.110963</w:t>
      </w:r>
      <w:bookmarkEnd w:id="123"/>
    </w:p>
    <w:p w14:paraId="08A32CAA" w14:textId="77777777" w:rsidR="0067358D" w:rsidRPr="00D800F0" w:rsidRDefault="00F80F95" w:rsidP="0067358D">
      <w:pPr>
        <w:ind w:left="720" w:hanging="720"/>
        <w:rPr>
          <w:rFonts w:ascii="Arial" w:hAnsi="Arial" w:cs="Arial"/>
          <w:color w:val="000000" w:themeColor="text1"/>
        </w:rPr>
      </w:pPr>
      <w:r w:rsidRPr="00D800F0">
        <w:rPr>
          <w:rFonts w:ascii="Arial" w:hAnsi="Arial" w:cs="Arial"/>
          <w:color w:val="000000" w:themeColor="text1"/>
        </w:rPr>
        <w:t xml:space="preserve">Liu, X., Elgowainy, A., Wang, M., &amp; Wang, M. (2020). Life cycle energy use and greenhouse gas emissions of ammonia production from renewable resources and industrial by-products. </w:t>
      </w:r>
      <w:r w:rsidRPr="00D800F0">
        <w:rPr>
          <w:rFonts w:ascii="Arial" w:hAnsi="Arial" w:cs="Arial"/>
          <w:i/>
          <w:color w:val="000000" w:themeColor="text1"/>
        </w:rPr>
        <w:t>Green Chemistry</w:t>
      </w:r>
      <w:r w:rsidRPr="00D800F0">
        <w:rPr>
          <w:rFonts w:ascii="Arial" w:hAnsi="Arial" w:cs="Arial"/>
          <w:color w:val="000000" w:themeColor="text1"/>
        </w:rPr>
        <w:t>. https://doi.org/10.1039/d0gc02301a</w:t>
      </w:r>
    </w:p>
    <w:p w14:paraId="70868A48" w14:textId="4BE76F3C" w:rsidR="0067358D" w:rsidRPr="00D800F0" w:rsidRDefault="0067358D" w:rsidP="0067358D">
      <w:pPr>
        <w:ind w:left="720" w:hanging="720"/>
        <w:rPr>
          <w:rFonts w:ascii="Arial" w:hAnsi="Arial" w:cs="Arial"/>
          <w:color w:val="000000" w:themeColor="text1"/>
        </w:rPr>
      </w:pPr>
      <w:r w:rsidRPr="00D800F0">
        <w:rPr>
          <w:rFonts w:ascii="Arial" w:eastAsia="Times New Roman" w:hAnsi="Arial" w:cs="Arial"/>
          <w:color w:val="000000" w:themeColor="text1"/>
        </w:rPr>
        <w:t xml:space="preserve">Martin, K. (2021, February 18). </w:t>
      </w:r>
      <w:r w:rsidRPr="00D800F0">
        <w:rPr>
          <w:rFonts w:ascii="Arial" w:eastAsia="Times New Roman" w:hAnsi="Arial" w:cs="Arial"/>
          <w:i/>
          <w:iCs/>
          <w:color w:val="000000" w:themeColor="text1"/>
        </w:rPr>
        <w:t>Tax credits for carbon capture</w:t>
      </w:r>
      <w:r w:rsidRPr="00D800F0">
        <w:rPr>
          <w:rFonts w:ascii="Arial" w:eastAsia="Times New Roman" w:hAnsi="Arial" w:cs="Arial"/>
          <w:color w:val="000000" w:themeColor="text1"/>
        </w:rPr>
        <w:t>. Norton Rose Fulbright: Project Finance.</w:t>
      </w:r>
    </w:p>
    <w:p w14:paraId="0059E028" w14:textId="77777777" w:rsidR="0067358D" w:rsidRPr="00D800F0" w:rsidRDefault="0067358D" w:rsidP="00F80F95">
      <w:pPr>
        <w:ind w:left="720" w:hanging="720"/>
        <w:rPr>
          <w:rFonts w:ascii="Arial" w:hAnsi="Arial" w:cs="Arial"/>
          <w:color w:val="000000" w:themeColor="text1"/>
        </w:rPr>
      </w:pPr>
    </w:p>
    <w:p w14:paraId="4274C131" w14:textId="06C48D09" w:rsidR="00F80F95" w:rsidRPr="00D800F0" w:rsidRDefault="00F80F95" w:rsidP="00A61D93">
      <w:pPr>
        <w:ind w:left="720" w:hanging="720"/>
        <w:rPr>
          <w:rFonts w:ascii="Arial" w:hAnsi="Arial" w:cs="Arial"/>
          <w:color w:val="000000" w:themeColor="text1"/>
        </w:rPr>
      </w:pPr>
      <w:r w:rsidRPr="00D800F0">
        <w:rPr>
          <w:rFonts w:ascii="Arial" w:hAnsi="Arial" w:cs="Arial"/>
          <w:color w:val="000000" w:themeColor="text1"/>
        </w:rPr>
        <w:t xml:space="preserve">Maxwell, G. R. (2012). </w:t>
      </w:r>
      <w:r w:rsidRPr="00D800F0">
        <w:rPr>
          <w:rFonts w:ascii="Arial" w:hAnsi="Arial" w:cs="Arial"/>
          <w:i/>
          <w:color w:val="000000" w:themeColor="text1"/>
        </w:rPr>
        <w:t>Synthetic Nitrogen Products</w:t>
      </w:r>
      <w:r w:rsidRPr="00D800F0">
        <w:rPr>
          <w:rFonts w:ascii="Arial" w:hAnsi="Arial" w:cs="Arial"/>
          <w:color w:val="000000" w:themeColor="text1"/>
        </w:rPr>
        <w:t xml:space="preserve">. </w:t>
      </w:r>
      <w:hyperlink r:id="rId32" w:history="1">
        <w:r w:rsidRPr="00D800F0">
          <w:rPr>
            <w:rStyle w:val="Hyperlink"/>
            <w:rFonts w:ascii="Arial" w:hAnsi="Arial" w:cs="Arial"/>
            <w:color w:val="000000" w:themeColor="text1"/>
            <w:u w:val="none"/>
          </w:rPr>
          <w:t>https://doi.org/10.1007/978-1-4614-4259-2_22</w:t>
        </w:r>
      </w:hyperlink>
    </w:p>
    <w:p w14:paraId="017ED67C" w14:textId="7A276D90" w:rsidR="00A61D93" w:rsidRPr="00D800F0" w:rsidRDefault="00A61D93" w:rsidP="00A61D93">
      <w:pPr>
        <w:ind w:left="720" w:hanging="720"/>
        <w:rPr>
          <w:rFonts w:ascii="Arial" w:hAnsi="Arial" w:cs="Arial"/>
          <w:color w:val="000000" w:themeColor="text1"/>
        </w:rPr>
      </w:pPr>
      <w:r w:rsidRPr="00D800F0">
        <w:rPr>
          <w:rFonts w:ascii="Arial" w:hAnsi="Arial" w:cs="Arial"/>
          <w:color w:val="000000" w:themeColor="text1"/>
        </w:rPr>
        <w:t xml:space="preserve">MacFarlane, D. R., Cherepanov, P. V, Choi, J., Suryanto, B. H. R., Hodgetts, R. Y., Bakker, J. M., Ferrero Vallana, F. M., &amp; Simonov, A. N. (2020). A Roadmap to the Ammonia Economy. </w:t>
      </w:r>
      <w:r w:rsidRPr="00D800F0">
        <w:rPr>
          <w:rFonts w:ascii="Arial" w:hAnsi="Arial" w:cs="Arial"/>
          <w:i/>
          <w:color w:val="000000" w:themeColor="text1"/>
        </w:rPr>
        <w:t>Joule</w:t>
      </w:r>
      <w:r w:rsidRPr="00D800F0">
        <w:rPr>
          <w:rFonts w:ascii="Arial" w:hAnsi="Arial" w:cs="Arial"/>
          <w:color w:val="000000" w:themeColor="text1"/>
        </w:rPr>
        <w:t xml:space="preserve">, </w:t>
      </w:r>
      <w:r w:rsidRPr="00D800F0">
        <w:rPr>
          <w:rFonts w:ascii="Arial" w:hAnsi="Arial" w:cs="Arial"/>
          <w:i/>
          <w:color w:val="000000" w:themeColor="text1"/>
        </w:rPr>
        <w:t>4</w:t>
      </w:r>
      <w:r w:rsidRPr="00D800F0">
        <w:rPr>
          <w:rFonts w:ascii="Arial" w:hAnsi="Arial" w:cs="Arial"/>
          <w:color w:val="000000" w:themeColor="text1"/>
        </w:rPr>
        <w:t xml:space="preserve">(6), 1186–1205. </w:t>
      </w:r>
      <w:hyperlink r:id="rId33" w:history="1">
        <w:r w:rsidRPr="00D800F0">
          <w:rPr>
            <w:rStyle w:val="Hyperlink"/>
            <w:rFonts w:ascii="Arial" w:hAnsi="Arial" w:cs="Arial"/>
            <w:color w:val="000000" w:themeColor="text1"/>
            <w:u w:val="none"/>
          </w:rPr>
          <w:t>https://doi.org/https://doi.org/10.1016/j.joule.2020.04.004</w:t>
        </w:r>
      </w:hyperlink>
    </w:p>
    <w:p w14:paraId="7E68EF29" w14:textId="175AD756" w:rsidR="007E233D" w:rsidRPr="00D800F0" w:rsidRDefault="007E233D" w:rsidP="007E233D">
      <w:pPr>
        <w:ind w:left="720" w:hanging="720"/>
        <w:rPr>
          <w:rFonts w:ascii="Arial" w:hAnsi="Arial" w:cs="Arial"/>
          <w:color w:val="000000" w:themeColor="text1"/>
        </w:rPr>
      </w:pPr>
      <w:r w:rsidRPr="00D800F0">
        <w:rPr>
          <w:rFonts w:ascii="Arial" w:hAnsi="Arial" w:cs="Arial"/>
          <w:color w:val="000000" w:themeColor="text1"/>
        </w:rPr>
        <w:t xml:space="preserve">McDonald, J. (2023, February 8). CBAM, ETS reform to impact fertilizer trade. </w:t>
      </w:r>
      <w:r w:rsidRPr="00D800F0">
        <w:rPr>
          <w:rFonts w:ascii="Arial" w:hAnsi="Arial" w:cs="Arial"/>
          <w:i/>
          <w:iCs/>
          <w:color w:val="000000" w:themeColor="text1"/>
        </w:rPr>
        <w:t>S&amp;P Global Commodity Insights</w:t>
      </w:r>
      <w:r w:rsidRPr="00D800F0">
        <w:rPr>
          <w:rFonts w:ascii="Arial" w:hAnsi="Arial" w:cs="Arial"/>
          <w:color w:val="000000" w:themeColor="text1"/>
        </w:rPr>
        <w:t>.</w:t>
      </w:r>
    </w:p>
    <w:p w14:paraId="0A485963" w14:textId="61C0C319" w:rsidR="006F7AE5" w:rsidRPr="00D800F0" w:rsidRDefault="006F7AE5" w:rsidP="004853CE">
      <w:pPr>
        <w:ind w:left="720" w:hanging="720"/>
        <w:rPr>
          <w:rStyle w:val="Hyperlink"/>
          <w:rFonts w:ascii="Arial" w:hAnsi="Arial" w:cs="Arial"/>
          <w:color w:val="000000" w:themeColor="text1"/>
          <w:u w:val="none"/>
        </w:rPr>
      </w:pPr>
      <w:r w:rsidRPr="00D800F0">
        <w:rPr>
          <w:rFonts w:ascii="Arial" w:hAnsi="Arial" w:cs="Arial"/>
          <w:color w:val="000000" w:themeColor="text1"/>
        </w:rPr>
        <w:t>Nicholson, S., &amp; Heath, G. (2021). Life Cycle Emissions Factors for Electricity Generation Technologies.</w:t>
      </w:r>
    </w:p>
    <w:p w14:paraId="75CA0238" w14:textId="77777777" w:rsidR="00F82D8D" w:rsidRPr="00D800F0" w:rsidRDefault="00AC7231" w:rsidP="00F82D8D">
      <w:pPr>
        <w:ind w:left="720" w:hanging="720"/>
        <w:rPr>
          <w:rFonts w:ascii="Arial" w:hAnsi="Arial" w:cs="Arial"/>
          <w:color w:val="000000" w:themeColor="text1"/>
        </w:rPr>
      </w:pPr>
      <w:r w:rsidRPr="00D800F0">
        <w:rPr>
          <w:rFonts w:ascii="Arial" w:hAnsi="Arial" w:cs="Arial"/>
          <w:color w:val="000000" w:themeColor="text1"/>
        </w:rPr>
        <w:t xml:space="preserve">Lewis, E., McNaul, S., Jamieson, M., Henriksen, M., Matthews, H. S., Walsh, L., Grove, J., Shultz, T., &amp; Stevens, R. (2022). Comparison of Commercial, State-of-the-Art, Fossil-Based Hydrogen Production Technologies. </w:t>
      </w:r>
      <w:r w:rsidRPr="00D800F0">
        <w:rPr>
          <w:rFonts w:ascii="Arial" w:hAnsi="Arial" w:cs="Arial"/>
          <w:i/>
          <w:color w:val="000000" w:themeColor="text1"/>
        </w:rPr>
        <w:t>Null</w:t>
      </w:r>
      <w:r w:rsidRPr="00D800F0">
        <w:rPr>
          <w:rFonts w:ascii="Arial" w:hAnsi="Arial" w:cs="Arial"/>
          <w:color w:val="000000" w:themeColor="text1"/>
        </w:rPr>
        <w:t xml:space="preserve">. </w:t>
      </w:r>
      <w:hyperlink r:id="rId34">
        <w:r w:rsidRPr="00D800F0">
          <w:rPr>
            <w:rFonts w:ascii="Arial" w:hAnsi="Arial" w:cs="Arial"/>
            <w:color w:val="000000" w:themeColor="text1"/>
          </w:rPr>
          <w:t>https://doi.org/10.2172/1862910</w:t>
        </w:r>
      </w:hyperlink>
    </w:p>
    <w:p w14:paraId="4BF987A2" w14:textId="77777777" w:rsidR="00F82D8D" w:rsidRPr="00D800F0" w:rsidRDefault="00F82D8D" w:rsidP="00F82D8D">
      <w:pPr>
        <w:ind w:left="720" w:hanging="720"/>
        <w:rPr>
          <w:rFonts w:ascii="Arial" w:hAnsi="Arial" w:cs="Arial"/>
          <w:color w:val="000000" w:themeColor="text1"/>
        </w:rPr>
      </w:pPr>
      <w:r w:rsidRPr="00D800F0">
        <w:rPr>
          <w:rFonts w:ascii="Arial" w:hAnsi="Arial" w:cs="Arial"/>
          <w:color w:val="000000" w:themeColor="text1"/>
        </w:rPr>
        <w:lastRenderedPageBreak/>
        <w:t xml:space="preserve">Onodera, H., Delage, R., &amp; Nakata, T. (2023). Systematic effects of flexible power-to-X operation in a renewable energy system - A case study from Japan. </w:t>
      </w:r>
      <w:r w:rsidRPr="00D800F0">
        <w:rPr>
          <w:rFonts w:ascii="Arial" w:hAnsi="Arial" w:cs="Arial"/>
          <w:i/>
          <w:iCs/>
          <w:color w:val="000000" w:themeColor="text1"/>
        </w:rPr>
        <w:t>Energy Conversion and Management: X</w:t>
      </w:r>
      <w:r w:rsidRPr="00D800F0">
        <w:rPr>
          <w:rFonts w:ascii="Arial" w:hAnsi="Arial" w:cs="Arial"/>
          <w:color w:val="000000" w:themeColor="text1"/>
        </w:rPr>
        <w:t xml:space="preserve">, </w:t>
      </w:r>
      <w:r w:rsidRPr="00D800F0">
        <w:rPr>
          <w:rFonts w:ascii="Arial" w:hAnsi="Arial" w:cs="Arial"/>
          <w:i/>
          <w:iCs/>
          <w:color w:val="000000" w:themeColor="text1"/>
        </w:rPr>
        <w:t>20</w:t>
      </w:r>
      <w:r w:rsidRPr="00D800F0">
        <w:rPr>
          <w:rFonts w:ascii="Arial" w:hAnsi="Arial" w:cs="Arial"/>
          <w:color w:val="000000" w:themeColor="text1"/>
        </w:rPr>
        <w:t>, 100416. https://doi.org/10.1016/j.ecmx.2023.100416 </w:t>
      </w:r>
    </w:p>
    <w:p w14:paraId="3E08F04C" w14:textId="7A1EC7C8" w:rsidR="00F82D8D" w:rsidRPr="00D800F0" w:rsidRDefault="00F82D8D" w:rsidP="004853CE">
      <w:pPr>
        <w:ind w:left="720" w:hanging="720"/>
        <w:rPr>
          <w:rFonts w:ascii="Arial" w:hAnsi="Arial" w:cs="Arial"/>
          <w:color w:val="000000" w:themeColor="text1"/>
        </w:rPr>
      </w:pPr>
      <w:r w:rsidRPr="00D800F0">
        <w:rPr>
          <w:rFonts w:ascii="Arial" w:hAnsi="Arial" w:cs="Arial"/>
          <w:color w:val="000000" w:themeColor="text1"/>
        </w:rPr>
        <w:t>Ostuni, R, &amp; Zardi, F. (2011). Method for load regulation of an ammonia plant (U.S. Patent No. 9463983B2). U.S. Patent and Trademark Office. https://rb.gy/ik0fb0 </w:t>
      </w:r>
    </w:p>
    <w:p w14:paraId="2A442650" w14:textId="77777777" w:rsidR="004853CE" w:rsidRPr="00D800F0" w:rsidRDefault="006F7AE5" w:rsidP="004853CE">
      <w:pPr>
        <w:spacing w:after="0" w:line="240" w:lineRule="auto"/>
        <w:ind w:left="720" w:hanging="720"/>
        <w:rPr>
          <w:rFonts w:ascii="Arial" w:eastAsia="Times New Roman" w:hAnsi="Arial" w:cs="Arial"/>
          <w:color w:val="000000" w:themeColor="text1"/>
        </w:rPr>
      </w:pPr>
      <w:r w:rsidRPr="00D800F0">
        <w:rPr>
          <w:rFonts w:ascii="Arial" w:eastAsia="Times New Roman" w:hAnsi="Arial" w:cs="Arial"/>
          <w:color w:val="000000" w:themeColor="text1"/>
        </w:rPr>
        <w:t>O'Donoughue, P. R.; Heath, G. A.; Dolan, S. L.; Vorum, M. (2014). Life Cycle Greenhouse Gas Emissions of Electricity Generated from Conventionally Produced Natural Gas</w:t>
      </w:r>
      <w:r w:rsidRPr="00D800F0">
        <w:rPr>
          <w:rFonts w:ascii="Arial" w:eastAsia="Times New Roman" w:hAnsi="Arial" w:cs="Arial"/>
          <w:i/>
          <w:iCs/>
          <w:color w:val="000000" w:themeColor="text1"/>
        </w:rPr>
        <w:t>. Journal of Industrial Ecology, 18(1), 125–144. </w:t>
      </w:r>
      <w:r w:rsidRPr="00D800F0">
        <w:rPr>
          <w:rFonts w:ascii="Arial" w:eastAsia="Times New Roman" w:hAnsi="Arial" w:cs="Arial"/>
          <w:color w:val="000000" w:themeColor="text1"/>
        </w:rPr>
        <w:t>doi:10.1111/jiec.12084 </w:t>
      </w:r>
    </w:p>
    <w:p w14:paraId="5D4CD559" w14:textId="77777777" w:rsidR="00F80F95" w:rsidRPr="00D800F0" w:rsidRDefault="004853CE" w:rsidP="00F80F95">
      <w:pPr>
        <w:spacing w:after="0" w:line="240" w:lineRule="auto"/>
        <w:ind w:left="720" w:hanging="720"/>
        <w:rPr>
          <w:rFonts w:ascii="Arial" w:hAnsi="Arial" w:cs="Arial"/>
          <w:color w:val="000000" w:themeColor="text1"/>
        </w:rPr>
      </w:pPr>
      <w:r w:rsidRPr="00D800F0">
        <w:rPr>
          <w:rFonts w:ascii="Arial" w:hAnsi="Arial" w:cs="Arial"/>
          <w:color w:val="000000" w:themeColor="text1"/>
        </w:rPr>
        <w:t>Open Energy Data Initiative (OEDI). (2022). OEDI: 2022 Annual Technology Baseline (ATB) Cost and Performance Data for Electricity Generation Technologies. Data Energy .</w:t>
      </w:r>
    </w:p>
    <w:p w14:paraId="7ED58D00" w14:textId="77777777" w:rsidR="00AD5705" w:rsidRPr="00D800F0" w:rsidRDefault="00F80F95" w:rsidP="00AD5705">
      <w:pPr>
        <w:spacing w:after="0" w:line="240" w:lineRule="auto"/>
        <w:ind w:left="720" w:hanging="720"/>
        <w:rPr>
          <w:rFonts w:ascii="Arial" w:hAnsi="Arial" w:cs="Arial"/>
          <w:color w:val="000000" w:themeColor="text1"/>
        </w:rPr>
      </w:pPr>
      <w:r w:rsidRPr="00D800F0">
        <w:rPr>
          <w:rFonts w:ascii="Arial" w:hAnsi="Arial" w:cs="Arial"/>
          <w:color w:val="000000" w:themeColor="text1"/>
        </w:rPr>
        <w:t xml:space="preserve">Osman, O., Sgouridis, S., &amp; Sleptchenko, A. (2020a). Scaling the production of renewable ammonia: A techno-economic optimization applied in regions with high insolation. </w:t>
      </w:r>
      <w:r w:rsidRPr="00D800F0">
        <w:rPr>
          <w:rFonts w:ascii="Arial" w:hAnsi="Arial" w:cs="Arial"/>
          <w:i/>
          <w:color w:val="000000" w:themeColor="text1"/>
        </w:rPr>
        <w:t>Journal of Cleaner Production</w:t>
      </w:r>
      <w:r w:rsidRPr="00D800F0">
        <w:rPr>
          <w:rFonts w:ascii="Arial" w:hAnsi="Arial" w:cs="Arial"/>
          <w:color w:val="000000" w:themeColor="text1"/>
        </w:rPr>
        <w:t>. https://doi.org/10.1016/j.jclepro.2020.121627</w:t>
      </w:r>
      <w:bookmarkStart w:id="124" w:name="_Hlk142346847"/>
    </w:p>
    <w:p w14:paraId="21FEF382" w14:textId="45202FC6" w:rsidR="00AD5705" w:rsidRPr="00D800F0" w:rsidRDefault="00AD5705" w:rsidP="00AD5705">
      <w:pPr>
        <w:spacing w:after="0" w:line="240" w:lineRule="auto"/>
        <w:ind w:left="720" w:hanging="720"/>
        <w:rPr>
          <w:rFonts w:ascii="Arial" w:hAnsi="Arial" w:cs="Arial"/>
          <w:color w:val="000000" w:themeColor="text1"/>
        </w:rPr>
      </w:pPr>
      <w:r w:rsidRPr="00D800F0">
        <w:rPr>
          <w:rFonts w:ascii="Arial" w:hAnsi="Arial" w:cs="Arial"/>
          <w:color w:val="000000" w:themeColor="text1"/>
        </w:rPr>
        <w:t>Pfenninger, S;Staffell, I. (2016). Long-term patterns of European PV output using 30 years of validated hourly reanalysis and satellite data. Energy 114, pp. 1251-1265. https://dx.doi.org/10.1016/j.energy.2016.08.060</w:t>
      </w:r>
    </w:p>
    <w:p w14:paraId="6F761F45" w14:textId="2DF362FE" w:rsidR="00F80F95" w:rsidRPr="00D800F0" w:rsidRDefault="00F80F95" w:rsidP="004853CE">
      <w:pPr>
        <w:spacing w:after="0" w:line="240" w:lineRule="auto"/>
        <w:ind w:left="720" w:hanging="720"/>
        <w:rPr>
          <w:rFonts w:ascii="Arial" w:hAnsi="Arial" w:cs="Arial"/>
          <w:color w:val="000000" w:themeColor="text1"/>
          <w:shd w:val="clear" w:color="auto" w:fill="FFFFFF"/>
        </w:rPr>
      </w:pPr>
      <w:r w:rsidRPr="00D800F0">
        <w:rPr>
          <w:rFonts w:ascii="Arial" w:hAnsi="Arial" w:cs="Arial"/>
          <w:color w:val="000000" w:themeColor="text1"/>
        </w:rPr>
        <w:t xml:space="preserve">Pfromm, P. H. (2017). Towards sustainable agriculture: Fossil-free ammonia. </w:t>
      </w:r>
      <w:r w:rsidRPr="00D800F0">
        <w:rPr>
          <w:rFonts w:ascii="Arial" w:hAnsi="Arial" w:cs="Arial"/>
          <w:i/>
          <w:color w:val="000000" w:themeColor="text1"/>
        </w:rPr>
        <w:t>Journal of Renewable and Sustainable Energy</w:t>
      </w:r>
      <w:r w:rsidRPr="00D800F0">
        <w:rPr>
          <w:rFonts w:ascii="Arial" w:hAnsi="Arial" w:cs="Arial"/>
          <w:color w:val="000000" w:themeColor="text1"/>
        </w:rPr>
        <w:t>. https://doi.org/10.1063/1.4985090</w:t>
      </w:r>
      <w:bookmarkEnd w:id="124"/>
    </w:p>
    <w:p w14:paraId="7E0A8B24" w14:textId="77777777" w:rsidR="00AE2B91" w:rsidRPr="00D800F0" w:rsidRDefault="006F7AE5" w:rsidP="00AE2B91">
      <w:pPr>
        <w:ind w:left="720" w:hanging="720"/>
        <w:rPr>
          <w:rFonts w:ascii="Arial" w:hAnsi="Arial" w:cs="Arial"/>
          <w:color w:val="000000" w:themeColor="text1"/>
        </w:rPr>
      </w:pPr>
      <w:r w:rsidRPr="00D800F0">
        <w:rPr>
          <w:rFonts w:ascii="Arial" w:hAnsi="Arial" w:cs="Arial"/>
          <w:color w:val="000000" w:themeColor="text1"/>
        </w:rPr>
        <w:t xml:space="preserve">Peters, M. S., Timmerhaus, K. D., &amp; West, R. E. (2003). Plant Design and Economics for Chemical Engineers 5th </w:t>
      </w:r>
      <w:sdt>
        <w:sdtPr>
          <w:rPr>
            <w:rFonts w:ascii="Arial" w:hAnsi="Arial" w:cs="Arial"/>
            <w:color w:val="000000" w:themeColor="text1"/>
          </w:rPr>
          <w:tag w:val="goog_rdk_33"/>
          <w:id w:val="-1204245826"/>
        </w:sdtPr>
        <w:sdtContent/>
      </w:sdt>
      <w:r w:rsidRPr="00D800F0">
        <w:rPr>
          <w:rFonts w:ascii="Arial" w:hAnsi="Arial" w:cs="Arial"/>
          <w:color w:val="000000" w:themeColor="text1"/>
        </w:rPr>
        <w:t xml:space="preserve">Edition. In </w:t>
      </w:r>
      <w:r w:rsidRPr="00D800F0">
        <w:rPr>
          <w:rFonts w:ascii="Arial" w:hAnsi="Arial" w:cs="Arial"/>
          <w:i/>
          <w:color w:val="000000" w:themeColor="text1"/>
        </w:rPr>
        <w:t>Journal of Petrology</w:t>
      </w:r>
      <w:r w:rsidRPr="00D800F0">
        <w:rPr>
          <w:rFonts w:ascii="Arial" w:hAnsi="Arial" w:cs="Arial"/>
          <w:color w:val="000000" w:themeColor="text1"/>
        </w:rPr>
        <w:t xml:space="preserve"> (Vol. 369, Issue 1).</w:t>
      </w:r>
    </w:p>
    <w:p w14:paraId="60B4C455" w14:textId="77777777" w:rsidR="00F80F95" w:rsidRPr="00D800F0" w:rsidRDefault="00AE2B91" w:rsidP="00F80F95">
      <w:pPr>
        <w:ind w:left="720" w:hanging="720"/>
        <w:rPr>
          <w:rStyle w:val="Hyperlink"/>
          <w:rFonts w:ascii="Arial" w:hAnsi="Arial" w:cs="Arial"/>
          <w:color w:val="000000" w:themeColor="text1"/>
          <w:u w:val="none"/>
        </w:rPr>
      </w:pPr>
      <w:r w:rsidRPr="00D800F0">
        <w:rPr>
          <w:rFonts w:ascii="Arial" w:hAnsi="Arial" w:cs="Arial"/>
          <w:color w:val="000000" w:themeColor="text1"/>
        </w:rPr>
        <w:t xml:space="preserve">Proost, J. (2017). State-of-the-art CAPEX data for water electrolyzers, and their impact on renewable hydrogen price settings. </w:t>
      </w:r>
      <w:r w:rsidRPr="00D800F0">
        <w:rPr>
          <w:rFonts w:ascii="Arial" w:hAnsi="Arial" w:cs="Arial"/>
          <w:i/>
          <w:color w:val="000000" w:themeColor="text1"/>
        </w:rPr>
        <w:t>International Journal of Hydrogen Energy</w:t>
      </w:r>
      <w:r w:rsidRPr="00D800F0">
        <w:rPr>
          <w:rFonts w:ascii="Arial" w:hAnsi="Arial" w:cs="Arial"/>
          <w:color w:val="000000" w:themeColor="text1"/>
        </w:rPr>
        <w:t xml:space="preserve">. </w:t>
      </w:r>
      <w:hyperlink r:id="rId35" w:history="1">
        <w:r w:rsidRPr="00D800F0">
          <w:rPr>
            <w:rStyle w:val="Hyperlink"/>
            <w:rFonts w:ascii="Arial" w:hAnsi="Arial" w:cs="Arial"/>
            <w:color w:val="000000" w:themeColor="text1"/>
            <w:u w:val="none"/>
          </w:rPr>
          <w:t>https://doi.org/10.1016/j.ijhydene.2018.07.164</w:t>
        </w:r>
      </w:hyperlink>
      <w:bookmarkStart w:id="125" w:name="_Hlk142347136"/>
    </w:p>
    <w:p w14:paraId="364197DE" w14:textId="5A245685" w:rsidR="00F80F95" w:rsidRPr="00D800F0" w:rsidRDefault="00F80F95" w:rsidP="00AE2B91">
      <w:pPr>
        <w:ind w:left="720" w:hanging="720"/>
        <w:rPr>
          <w:rStyle w:val="Hyperlink"/>
          <w:rFonts w:ascii="Arial" w:hAnsi="Arial" w:cs="Arial"/>
          <w:color w:val="000000" w:themeColor="text1"/>
          <w:u w:val="none"/>
        </w:rPr>
      </w:pPr>
      <w:r w:rsidRPr="00D800F0">
        <w:rPr>
          <w:rFonts w:ascii="Arial" w:hAnsi="Arial" w:cs="Arial"/>
          <w:color w:val="000000" w:themeColor="text1"/>
        </w:rPr>
        <w:t xml:space="preserve">Sánchez, A., Martín, M., &amp; Vega, P. (2019). Biomass Based Sustainable Ammonia Production: Digestion vs Gasification. </w:t>
      </w:r>
      <w:r w:rsidRPr="00D800F0">
        <w:rPr>
          <w:rFonts w:ascii="Arial" w:hAnsi="Arial" w:cs="Arial"/>
          <w:i/>
          <w:color w:val="000000" w:themeColor="text1"/>
        </w:rPr>
        <w:t>ACS Sustainable Chemistry &amp; Engineering</w:t>
      </w:r>
      <w:r w:rsidRPr="00D800F0">
        <w:rPr>
          <w:rFonts w:ascii="Arial" w:hAnsi="Arial" w:cs="Arial"/>
          <w:color w:val="000000" w:themeColor="text1"/>
        </w:rPr>
        <w:t xml:space="preserve">. </w:t>
      </w:r>
      <w:hyperlink r:id="rId36">
        <w:r w:rsidRPr="00D800F0">
          <w:rPr>
            <w:rFonts w:ascii="Arial" w:hAnsi="Arial" w:cs="Arial"/>
            <w:color w:val="000000" w:themeColor="text1"/>
          </w:rPr>
          <w:t>https://doi.org/10.1021/acssuschemeng.9b01158</w:t>
        </w:r>
      </w:hyperlink>
      <w:bookmarkEnd w:id="125"/>
    </w:p>
    <w:p w14:paraId="479ED0D2" w14:textId="77777777" w:rsidR="00AE2B91" w:rsidRPr="00D800F0" w:rsidRDefault="00AE2B91" w:rsidP="00AE2B91">
      <w:pPr>
        <w:ind w:left="720" w:hanging="720"/>
        <w:rPr>
          <w:rFonts w:ascii="Arial" w:hAnsi="Arial" w:cs="Arial"/>
          <w:color w:val="000000" w:themeColor="text1"/>
        </w:rPr>
      </w:pPr>
      <w:r w:rsidRPr="00D800F0">
        <w:rPr>
          <w:rFonts w:ascii="Arial" w:hAnsi="Arial" w:cs="Arial"/>
          <w:color w:val="000000" w:themeColor="text1"/>
        </w:rPr>
        <w:t xml:space="preserve">Singh, S. P., Ku, A. Y., Macdowell, N., &amp; Cao, C. (2022). Profitability and the use of flexible CO2 capture and storage (CCS) in the transition to decarbonized electricity systems. </w:t>
      </w:r>
      <w:r w:rsidRPr="00D800F0">
        <w:rPr>
          <w:rFonts w:ascii="Arial" w:hAnsi="Arial" w:cs="Arial"/>
          <w:i/>
          <w:color w:val="000000" w:themeColor="text1"/>
        </w:rPr>
        <w:t>International Journal of Greenhouse Gas Control</w:t>
      </w:r>
      <w:r w:rsidRPr="00D800F0">
        <w:rPr>
          <w:rFonts w:ascii="Arial" w:hAnsi="Arial" w:cs="Arial"/>
          <w:color w:val="000000" w:themeColor="text1"/>
        </w:rPr>
        <w:t xml:space="preserve">, </w:t>
      </w:r>
      <w:r w:rsidRPr="00D800F0">
        <w:rPr>
          <w:rFonts w:ascii="Arial" w:hAnsi="Arial" w:cs="Arial"/>
          <w:i/>
          <w:color w:val="000000" w:themeColor="text1"/>
        </w:rPr>
        <w:t>120</w:t>
      </w:r>
      <w:r w:rsidRPr="00D800F0">
        <w:rPr>
          <w:rFonts w:ascii="Arial" w:hAnsi="Arial" w:cs="Arial"/>
          <w:color w:val="000000" w:themeColor="text1"/>
        </w:rPr>
        <w:t>, 103767. https://doi.org/10.1016/J.IJGGC.2022.103767</w:t>
      </w:r>
      <w:bookmarkStart w:id="126" w:name="_Hlk142347287"/>
    </w:p>
    <w:p w14:paraId="51B88EED" w14:textId="58A36125" w:rsidR="00AE2B91" w:rsidRPr="00D800F0" w:rsidRDefault="00AE2B91" w:rsidP="004853CE">
      <w:pPr>
        <w:ind w:left="720" w:hanging="720"/>
        <w:rPr>
          <w:rFonts w:ascii="Arial" w:hAnsi="Arial" w:cs="Arial"/>
          <w:color w:val="000000" w:themeColor="text1"/>
        </w:rPr>
      </w:pPr>
      <w:r w:rsidRPr="00D800F0">
        <w:rPr>
          <w:rFonts w:ascii="Arial" w:hAnsi="Arial" w:cs="Arial"/>
          <w:color w:val="000000" w:themeColor="text1"/>
        </w:rPr>
        <w:t xml:space="preserve">Simons, A. M., Simons, A., &amp; Bauer, C. (2011). Life cycle assessment of hydrogen production. </w:t>
      </w:r>
      <w:r w:rsidR="00F80F95" w:rsidRPr="00D800F0">
        <w:rPr>
          <w:rFonts w:ascii="Arial" w:hAnsi="Arial" w:cs="Arial"/>
          <w:i/>
          <w:color w:val="000000" w:themeColor="text1"/>
        </w:rPr>
        <w:t>Transition to hydrogen. Pathways toward clean transportation</w:t>
      </w:r>
      <w:r w:rsidRPr="00D800F0">
        <w:rPr>
          <w:rFonts w:ascii="Arial" w:hAnsi="Arial" w:cs="Arial"/>
          <w:color w:val="000000" w:themeColor="text1"/>
        </w:rPr>
        <w:t>. https://doi.org/10.1017/cbo9781139018036.006</w:t>
      </w:r>
      <w:bookmarkEnd w:id="126"/>
    </w:p>
    <w:p w14:paraId="4AD1D89B" w14:textId="2ACE8279" w:rsidR="00AC7231" w:rsidRPr="00D800F0" w:rsidRDefault="00AC7231" w:rsidP="004853CE">
      <w:pPr>
        <w:ind w:left="720" w:hanging="720"/>
        <w:rPr>
          <w:rFonts w:ascii="Arial" w:hAnsi="Arial" w:cs="Arial"/>
          <w:color w:val="000000" w:themeColor="text1"/>
        </w:rPr>
      </w:pPr>
      <w:r w:rsidRPr="00D800F0">
        <w:rPr>
          <w:rFonts w:ascii="Arial" w:hAnsi="Arial" w:cs="Arial"/>
          <w:color w:val="000000" w:themeColor="text1"/>
        </w:rPr>
        <w:t xml:space="preserve">Spath, P., Aden, A., Eggeman, T., Ringer, M., Wallace, B., &amp; Jechura, J. (2005). Biomass to Hydrogen Production Detailed Design and Economics Utilizing the Battelle Columbus Laboratory Indirectly-Heated Gasifier. </w:t>
      </w:r>
      <w:hyperlink r:id="rId37">
        <w:r w:rsidRPr="00D800F0">
          <w:rPr>
            <w:rFonts w:ascii="Arial" w:hAnsi="Arial" w:cs="Arial"/>
            <w:color w:val="000000" w:themeColor="text1"/>
          </w:rPr>
          <w:t>https://doi.org/10.2172/15016221</w:t>
        </w:r>
      </w:hyperlink>
    </w:p>
    <w:p w14:paraId="5CA62714" w14:textId="77777777" w:rsidR="0050752A" w:rsidRPr="00D800F0" w:rsidRDefault="00AC7231" w:rsidP="0050752A">
      <w:pPr>
        <w:ind w:left="720" w:hanging="720"/>
        <w:rPr>
          <w:rStyle w:val="Hyperlink"/>
          <w:rFonts w:ascii="Arial" w:hAnsi="Arial" w:cs="Arial"/>
          <w:color w:val="000000" w:themeColor="text1"/>
          <w:u w:val="none"/>
        </w:rPr>
      </w:pPr>
      <w:r w:rsidRPr="00D800F0">
        <w:rPr>
          <w:rFonts w:ascii="Arial" w:hAnsi="Arial" w:cs="Arial"/>
          <w:color w:val="000000" w:themeColor="text1"/>
        </w:rPr>
        <w:t xml:space="preserve">Schmidt, O., Gambhir, A., Staffell, I., Hawkes, A., Nelson, J., &amp; Few, S. (2017). Future cost and performance of water electrolysis: An expert elicitation study. </w:t>
      </w:r>
      <w:r w:rsidRPr="00D800F0">
        <w:rPr>
          <w:rFonts w:ascii="Arial" w:hAnsi="Arial" w:cs="Arial"/>
          <w:i/>
          <w:color w:val="000000" w:themeColor="text1"/>
        </w:rPr>
        <w:t>International Journal of Hydrogen Energy</w:t>
      </w:r>
      <w:r w:rsidRPr="00D800F0">
        <w:rPr>
          <w:rFonts w:ascii="Arial" w:hAnsi="Arial" w:cs="Arial"/>
          <w:color w:val="000000" w:themeColor="text1"/>
        </w:rPr>
        <w:t xml:space="preserve">. </w:t>
      </w:r>
      <w:hyperlink r:id="rId38" w:history="1">
        <w:r w:rsidRPr="00D800F0">
          <w:rPr>
            <w:rStyle w:val="Hyperlink"/>
            <w:rFonts w:ascii="Arial" w:hAnsi="Arial" w:cs="Arial"/>
            <w:color w:val="000000" w:themeColor="text1"/>
            <w:u w:val="none"/>
          </w:rPr>
          <w:t>https://doi.org/10.1016/j.ijhydene.2017.10.045</w:t>
        </w:r>
      </w:hyperlink>
    </w:p>
    <w:p w14:paraId="7867F875" w14:textId="552AA811" w:rsidR="0050752A" w:rsidRPr="00D800F0" w:rsidRDefault="0050752A" w:rsidP="004853CE">
      <w:pPr>
        <w:ind w:left="720" w:hanging="720"/>
        <w:rPr>
          <w:rStyle w:val="Hyperlink"/>
          <w:rFonts w:ascii="Arial" w:hAnsi="Arial" w:cs="Arial"/>
          <w:color w:val="000000" w:themeColor="text1"/>
          <w:u w:val="none"/>
        </w:rPr>
      </w:pPr>
      <w:r w:rsidRPr="00D800F0">
        <w:rPr>
          <w:rFonts w:ascii="Arial" w:eastAsia="Times New Roman" w:hAnsi="Arial" w:cs="Arial"/>
          <w:color w:val="000000" w:themeColor="text1"/>
        </w:rPr>
        <w:t xml:space="preserve">Scott, V., Gilfillan, S., Markusson, N., Chalmers, H., &amp; Haszeldine, R. S. (2013). Last chance for carbon capture and storage. </w:t>
      </w:r>
      <w:r w:rsidRPr="00D800F0">
        <w:rPr>
          <w:rFonts w:ascii="Arial" w:eastAsia="Times New Roman" w:hAnsi="Arial" w:cs="Arial"/>
          <w:i/>
          <w:iCs/>
          <w:color w:val="000000" w:themeColor="text1"/>
        </w:rPr>
        <w:t>Nature Climate Change</w:t>
      </w:r>
      <w:r w:rsidRPr="00D800F0">
        <w:rPr>
          <w:rFonts w:ascii="Arial" w:eastAsia="Times New Roman" w:hAnsi="Arial" w:cs="Arial"/>
          <w:color w:val="000000" w:themeColor="text1"/>
        </w:rPr>
        <w:t xml:space="preserve">, </w:t>
      </w:r>
      <w:r w:rsidRPr="00D800F0">
        <w:rPr>
          <w:rFonts w:ascii="Arial" w:eastAsia="Times New Roman" w:hAnsi="Arial" w:cs="Arial"/>
          <w:i/>
          <w:iCs/>
          <w:color w:val="000000" w:themeColor="text1"/>
        </w:rPr>
        <w:t>3</w:t>
      </w:r>
      <w:r w:rsidRPr="00D800F0">
        <w:rPr>
          <w:rFonts w:ascii="Arial" w:eastAsia="Times New Roman" w:hAnsi="Arial" w:cs="Arial"/>
          <w:color w:val="000000" w:themeColor="text1"/>
        </w:rPr>
        <w:t>(2), 105–111. https://doi.org/10.1038/nclimate1695</w:t>
      </w:r>
    </w:p>
    <w:p w14:paraId="4E418FD2" w14:textId="77777777" w:rsidR="007E233D" w:rsidRPr="00D800F0" w:rsidRDefault="00AC7231" w:rsidP="007E233D">
      <w:pPr>
        <w:ind w:left="720" w:hanging="720"/>
        <w:rPr>
          <w:rFonts w:ascii="Arial" w:hAnsi="Arial" w:cs="Arial"/>
          <w:color w:val="000000" w:themeColor="text1"/>
        </w:rPr>
      </w:pPr>
      <w:r w:rsidRPr="00D800F0">
        <w:rPr>
          <w:rFonts w:ascii="Arial" w:hAnsi="Arial" w:cs="Arial"/>
          <w:color w:val="000000" w:themeColor="text1"/>
        </w:rPr>
        <w:lastRenderedPageBreak/>
        <w:t xml:space="preserve">Sousa, J., Waiblinger, W., &amp; Friedrich, K. A. (2022). Techno-economic Study of an Electrolysis-Based Green Ammonia Production Plant. </w:t>
      </w:r>
      <w:r w:rsidRPr="00D800F0">
        <w:rPr>
          <w:rFonts w:ascii="Arial" w:hAnsi="Arial" w:cs="Arial"/>
          <w:i/>
          <w:color w:val="000000" w:themeColor="text1"/>
        </w:rPr>
        <w:t>Industrial &amp; Engineering Chemistry Research</w:t>
      </w:r>
      <w:r w:rsidRPr="00D800F0">
        <w:rPr>
          <w:rFonts w:ascii="Arial" w:hAnsi="Arial" w:cs="Arial"/>
          <w:color w:val="000000" w:themeColor="text1"/>
        </w:rPr>
        <w:t>. https://doi.org/10.1021/acs.iecr.2c00383</w:t>
      </w:r>
    </w:p>
    <w:p w14:paraId="58CF8277" w14:textId="77777777" w:rsidR="0050752A" w:rsidRPr="00D800F0" w:rsidRDefault="007E233D" w:rsidP="0050752A">
      <w:pPr>
        <w:ind w:left="720" w:hanging="720"/>
        <w:rPr>
          <w:rStyle w:val="Hyperlink"/>
          <w:rFonts w:ascii="Arial" w:hAnsi="Arial" w:cs="Arial"/>
          <w:color w:val="000000" w:themeColor="text1"/>
          <w:u w:val="none"/>
        </w:rPr>
      </w:pPr>
      <w:r w:rsidRPr="00D800F0">
        <w:rPr>
          <w:rFonts w:ascii="Arial" w:hAnsi="Arial" w:cs="Arial"/>
          <w:color w:val="000000" w:themeColor="text1"/>
        </w:rPr>
        <w:t xml:space="preserve">Stehly, T., Beiter, P., &amp; Duffy, P. (2020). </w:t>
      </w:r>
      <w:r w:rsidRPr="00D800F0">
        <w:rPr>
          <w:rFonts w:ascii="Arial" w:hAnsi="Arial" w:cs="Arial"/>
          <w:i/>
          <w:color w:val="000000" w:themeColor="text1"/>
        </w:rPr>
        <w:t>2019 Cost of Wind Energy Review</w:t>
      </w:r>
      <w:r w:rsidRPr="00D800F0">
        <w:rPr>
          <w:rFonts w:ascii="Arial" w:hAnsi="Arial" w:cs="Arial"/>
          <w:color w:val="000000" w:themeColor="text1"/>
        </w:rPr>
        <w:t xml:space="preserve">. </w:t>
      </w:r>
      <w:hyperlink r:id="rId39" w:history="1">
        <w:r w:rsidRPr="00D800F0">
          <w:rPr>
            <w:rStyle w:val="Hyperlink"/>
            <w:rFonts w:ascii="Arial" w:hAnsi="Arial" w:cs="Arial"/>
            <w:color w:val="000000" w:themeColor="text1"/>
            <w:u w:val="none"/>
          </w:rPr>
          <w:t>https://doi.org/10.2172/1756710</w:t>
        </w:r>
      </w:hyperlink>
      <w:bookmarkStart w:id="127" w:name="_Hlk142347105"/>
    </w:p>
    <w:p w14:paraId="22F089DA" w14:textId="1B93D18A" w:rsidR="0067358D" w:rsidRPr="00D800F0" w:rsidRDefault="0067358D" w:rsidP="0050752A">
      <w:pPr>
        <w:ind w:left="720" w:hanging="720"/>
        <w:rPr>
          <w:rStyle w:val="Hyperlink"/>
          <w:rFonts w:ascii="Arial" w:eastAsia="Times New Roman" w:hAnsi="Arial" w:cs="Arial"/>
          <w:color w:val="000000" w:themeColor="text1"/>
          <w:u w:val="none"/>
        </w:rPr>
      </w:pPr>
      <w:r w:rsidRPr="00D800F0">
        <w:rPr>
          <w:rFonts w:ascii="Arial" w:eastAsia="Times New Roman" w:hAnsi="Arial" w:cs="Arial"/>
          <w:color w:val="000000" w:themeColor="text1"/>
        </w:rPr>
        <w:t xml:space="preserve">Reiner, D. M. (2016). Learning through a portfolio of carbon capture and storage demonstration projects. </w:t>
      </w:r>
      <w:r w:rsidRPr="00D800F0">
        <w:rPr>
          <w:rFonts w:ascii="Arial" w:eastAsia="Times New Roman" w:hAnsi="Arial" w:cs="Arial"/>
          <w:i/>
          <w:iCs/>
          <w:color w:val="000000" w:themeColor="text1"/>
        </w:rPr>
        <w:t>Nature Energy</w:t>
      </w:r>
      <w:r w:rsidRPr="00D800F0">
        <w:rPr>
          <w:rFonts w:ascii="Arial" w:eastAsia="Times New Roman" w:hAnsi="Arial" w:cs="Arial"/>
          <w:color w:val="000000" w:themeColor="text1"/>
        </w:rPr>
        <w:t xml:space="preserve">, </w:t>
      </w:r>
      <w:r w:rsidRPr="00D800F0">
        <w:rPr>
          <w:rFonts w:ascii="Arial" w:eastAsia="Times New Roman" w:hAnsi="Arial" w:cs="Arial"/>
          <w:i/>
          <w:iCs/>
          <w:color w:val="000000" w:themeColor="text1"/>
        </w:rPr>
        <w:t>1</w:t>
      </w:r>
      <w:r w:rsidRPr="00D800F0">
        <w:rPr>
          <w:rFonts w:ascii="Arial" w:eastAsia="Times New Roman" w:hAnsi="Arial" w:cs="Arial"/>
          <w:color w:val="000000" w:themeColor="text1"/>
        </w:rPr>
        <w:t>(1), 15011. https://doi.org/10.1038/nenergy.2015.11</w:t>
      </w:r>
    </w:p>
    <w:p w14:paraId="4E6070C8" w14:textId="77777777" w:rsidR="0050752A" w:rsidRPr="00D800F0" w:rsidRDefault="0050752A" w:rsidP="0050752A">
      <w:pPr>
        <w:ind w:left="720" w:hanging="720"/>
        <w:rPr>
          <w:rStyle w:val="Hyperlink"/>
          <w:rFonts w:ascii="Arial" w:eastAsia="Times New Roman" w:hAnsi="Arial" w:cs="Arial"/>
          <w:color w:val="000000" w:themeColor="text1"/>
          <w:u w:val="none"/>
        </w:rPr>
      </w:pPr>
      <w:r w:rsidRPr="00D800F0">
        <w:rPr>
          <w:rFonts w:ascii="Arial" w:eastAsia="Times New Roman" w:hAnsi="Arial" w:cs="Arial"/>
          <w:color w:val="000000" w:themeColor="text1"/>
        </w:rPr>
        <w:t xml:space="preserve">Ricks, W., Xu, Q., &amp; Jenkins, J. D. (2023). Minimizing emissions from grid-based hydrogen production in the United States. </w:t>
      </w:r>
      <w:r w:rsidRPr="00D800F0">
        <w:rPr>
          <w:rFonts w:ascii="Arial" w:eastAsia="Times New Roman" w:hAnsi="Arial" w:cs="Arial"/>
          <w:i/>
          <w:iCs/>
          <w:color w:val="000000" w:themeColor="text1"/>
        </w:rPr>
        <w:t>Environmental Research Letters</w:t>
      </w:r>
      <w:r w:rsidRPr="00D800F0">
        <w:rPr>
          <w:rFonts w:ascii="Arial" w:eastAsia="Times New Roman" w:hAnsi="Arial" w:cs="Arial"/>
          <w:color w:val="000000" w:themeColor="text1"/>
        </w:rPr>
        <w:t xml:space="preserve">, </w:t>
      </w:r>
      <w:r w:rsidRPr="00D800F0">
        <w:rPr>
          <w:rFonts w:ascii="Arial" w:eastAsia="Times New Roman" w:hAnsi="Arial" w:cs="Arial"/>
          <w:i/>
          <w:iCs/>
          <w:color w:val="000000" w:themeColor="text1"/>
        </w:rPr>
        <w:t>18</w:t>
      </w:r>
      <w:r w:rsidRPr="00D800F0">
        <w:rPr>
          <w:rFonts w:ascii="Arial" w:eastAsia="Times New Roman" w:hAnsi="Arial" w:cs="Arial"/>
          <w:color w:val="000000" w:themeColor="text1"/>
        </w:rPr>
        <w:t xml:space="preserve">(1). </w:t>
      </w:r>
      <w:hyperlink r:id="rId40" w:history="1">
        <w:r w:rsidRPr="00D800F0">
          <w:rPr>
            <w:rStyle w:val="Hyperlink"/>
            <w:rFonts w:ascii="Arial" w:eastAsia="Times New Roman" w:hAnsi="Arial" w:cs="Arial"/>
            <w:color w:val="000000" w:themeColor="text1"/>
            <w:u w:val="none"/>
          </w:rPr>
          <w:t>https://doi.org/10.1088/1748-9326/acacb5</w:t>
        </w:r>
      </w:hyperlink>
    </w:p>
    <w:p w14:paraId="2F879923" w14:textId="7131EBD1" w:rsidR="0067358D" w:rsidRPr="00D800F0" w:rsidRDefault="0067358D" w:rsidP="0050752A">
      <w:pPr>
        <w:ind w:left="720" w:hanging="720"/>
        <w:rPr>
          <w:rStyle w:val="Hyperlink"/>
          <w:rFonts w:ascii="Arial" w:eastAsia="Times New Roman" w:hAnsi="Arial" w:cs="Arial"/>
          <w:color w:val="000000" w:themeColor="text1"/>
          <w:u w:val="none"/>
        </w:rPr>
      </w:pPr>
      <w:r w:rsidRPr="00D800F0">
        <w:rPr>
          <w:rFonts w:ascii="Arial" w:eastAsia="Times New Roman" w:hAnsi="Arial" w:cs="Arial"/>
          <w:color w:val="000000" w:themeColor="text1"/>
        </w:rPr>
        <w:t xml:space="preserve">Riley, B. P., Daoutidis, P., &amp; Zhang, Q. (2023). Multi-scenario design of ammonia-based energy storage systems for use as non-wires alternatives. </w:t>
      </w:r>
      <w:r w:rsidRPr="00D800F0">
        <w:rPr>
          <w:rFonts w:ascii="Arial" w:eastAsia="Times New Roman" w:hAnsi="Arial" w:cs="Arial"/>
          <w:i/>
          <w:iCs/>
          <w:color w:val="000000" w:themeColor="text1"/>
        </w:rPr>
        <w:t>Journal of Energy Storage</w:t>
      </w:r>
      <w:r w:rsidRPr="00D800F0">
        <w:rPr>
          <w:rFonts w:ascii="Arial" w:eastAsia="Times New Roman" w:hAnsi="Arial" w:cs="Arial"/>
          <w:color w:val="000000" w:themeColor="text1"/>
        </w:rPr>
        <w:t xml:space="preserve">, </w:t>
      </w:r>
      <w:r w:rsidRPr="00D800F0">
        <w:rPr>
          <w:rFonts w:ascii="Arial" w:eastAsia="Times New Roman" w:hAnsi="Arial" w:cs="Arial"/>
          <w:i/>
          <w:iCs/>
          <w:color w:val="000000" w:themeColor="text1"/>
        </w:rPr>
        <w:t>73</w:t>
      </w:r>
      <w:r w:rsidRPr="00D800F0">
        <w:rPr>
          <w:rFonts w:ascii="Arial" w:eastAsia="Times New Roman" w:hAnsi="Arial" w:cs="Arial"/>
          <w:color w:val="000000" w:themeColor="text1"/>
        </w:rPr>
        <w:t>, 108795. https://doi.org/10.1016/j.est.2023.108795</w:t>
      </w:r>
    </w:p>
    <w:p w14:paraId="7476B5EF" w14:textId="77777777" w:rsidR="00F80F95" w:rsidRPr="00D800F0" w:rsidRDefault="00F80F95" w:rsidP="00F80F95">
      <w:pPr>
        <w:ind w:left="720" w:hanging="720"/>
        <w:rPr>
          <w:rFonts w:ascii="Arial" w:hAnsi="Arial" w:cs="Arial"/>
          <w:color w:val="000000" w:themeColor="text1"/>
        </w:rPr>
      </w:pPr>
      <w:r w:rsidRPr="00D800F0">
        <w:rPr>
          <w:rFonts w:ascii="Arial" w:hAnsi="Arial" w:cs="Arial"/>
          <w:color w:val="000000" w:themeColor="text1"/>
        </w:rPr>
        <w:t xml:space="preserve">Rouwenhorst, K. H. R., Van der Ham, A. G. J., Mul, G., &amp; Kersten, S. R. A. (2019). Islanded ammonia power systems: Technology review &amp; conceptual process design. In </w:t>
      </w:r>
      <w:r w:rsidRPr="00D800F0">
        <w:rPr>
          <w:rFonts w:ascii="Arial" w:hAnsi="Arial" w:cs="Arial"/>
          <w:i/>
          <w:color w:val="000000" w:themeColor="text1"/>
        </w:rPr>
        <w:t>Renewable and Sustainable Energy Reviews</w:t>
      </w:r>
      <w:r w:rsidRPr="00D800F0">
        <w:rPr>
          <w:rFonts w:ascii="Arial" w:hAnsi="Arial" w:cs="Arial"/>
          <w:color w:val="000000" w:themeColor="text1"/>
        </w:rPr>
        <w:t xml:space="preserve"> (Vol. 114). Elsevier Ltd. https://doi.org/10.1016/j.rser.2019.109339</w:t>
      </w:r>
    </w:p>
    <w:p w14:paraId="58DEF893" w14:textId="77777777" w:rsidR="0067358D" w:rsidRPr="00D800F0" w:rsidRDefault="00F80F95" w:rsidP="0067358D">
      <w:pPr>
        <w:ind w:left="720" w:hanging="720"/>
        <w:rPr>
          <w:rFonts w:ascii="Arial" w:hAnsi="Arial" w:cs="Arial"/>
          <w:color w:val="000000" w:themeColor="text1"/>
        </w:rPr>
      </w:pPr>
      <w:r w:rsidRPr="00D800F0">
        <w:rPr>
          <w:rFonts w:ascii="Arial" w:hAnsi="Arial" w:cs="Arial"/>
          <w:color w:val="000000" w:themeColor="text1"/>
        </w:rPr>
        <w:t xml:space="preserve">Rouwenhorst, K. (2023, June 28). </w:t>
      </w:r>
      <w:r w:rsidRPr="00D800F0">
        <w:rPr>
          <w:rFonts w:ascii="Arial" w:hAnsi="Arial" w:cs="Arial"/>
          <w:i/>
          <w:iCs/>
          <w:color w:val="000000" w:themeColor="text1"/>
        </w:rPr>
        <w:t>China: Scaling-up “flexible” ammonia production powered by Renewable Energy</w:t>
      </w:r>
      <w:r w:rsidRPr="00D800F0">
        <w:rPr>
          <w:rFonts w:ascii="Arial" w:hAnsi="Arial" w:cs="Arial"/>
          <w:color w:val="000000" w:themeColor="text1"/>
        </w:rPr>
        <w:t>. Ammonia Energy Association. https://www.ammoniaenergy.org/articles/china-scaling-up-flexible-ammonia-production-powered-by-renewable-energy/#:~:text=Flexible%20ammonia%20production%20allows%20the,Skovgaard%20Energy%2C%20Vestas%20and%20Topse. </w:t>
      </w:r>
    </w:p>
    <w:p w14:paraId="1F89A60F" w14:textId="6C6443CD" w:rsidR="0067358D" w:rsidRPr="00D800F0" w:rsidRDefault="0067358D" w:rsidP="00AE2B91">
      <w:pPr>
        <w:ind w:left="720" w:hanging="720"/>
        <w:rPr>
          <w:rStyle w:val="Hyperlink"/>
          <w:rFonts w:ascii="Arial" w:hAnsi="Arial" w:cs="Arial"/>
          <w:color w:val="000000" w:themeColor="text1"/>
          <w:u w:val="none"/>
        </w:rPr>
      </w:pPr>
      <w:r w:rsidRPr="00D800F0">
        <w:rPr>
          <w:rFonts w:ascii="Arial" w:eastAsia="Times New Roman" w:hAnsi="Arial" w:cs="Arial"/>
          <w:color w:val="000000" w:themeColor="text1"/>
        </w:rPr>
        <w:t xml:space="preserve">Ruhnau, O., &amp; Schiele, J. (2023). Flexible green hydrogen: The effect of relaxing simultaneity requirements on project design, economics, and power sector emissions. </w:t>
      </w:r>
      <w:r w:rsidRPr="00D800F0">
        <w:rPr>
          <w:rFonts w:ascii="Arial" w:eastAsia="Times New Roman" w:hAnsi="Arial" w:cs="Arial"/>
          <w:i/>
          <w:iCs/>
          <w:color w:val="000000" w:themeColor="text1"/>
        </w:rPr>
        <w:t>Energy Policy</w:t>
      </w:r>
      <w:r w:rsidRPr="00D800F0">
        <w:rPr>
          <w:rFonts w:ascii="Arial" w:eastAsia="Times New Roman" w:hAnsi="Arial" w:cs="Arial"/>
          <w:color w:val="000000" w:themeColor="text1"/>
        </w:rPr>
        <w:t xml:space="preserve">, </w:t>
      </w:r>
      <w:r w:rsidRPr="00D800F0">
        <w:rPr>
          <w:rFonts w:ascii="Arial" w:eastAsia="Times New Roman" w:hAnsi="Arial" w:cs="Arial"/>
          <w:i/>
          <w:iCs/>
          <w:color w:val="000000" w:themeColor="text1"/>
        </w:rPr>
        <w:t>182</w:t>
      </w:r>
      <w:r w:rsidRPr="00D800F0">
        <w:rPr>
          <w:rFonts w:ascii="Arial" w:eastAsia="Times New Roman" w:hAnsi="Arial" w:cs="Arial"/>
          <w:color w:val="000000" w:themeColor="text1"/>
        </w:rPr>
        <w:t>, 113763. https://doi.org/10.1016/j.enpol.2023.113763</w:t>
      </w:r>
    </w:p>
    <w:p w14:paraId="2FE46982" w14:textId="77777777" w:rsidR="00AE2B91" w:rsidRPr="00D800F0" w:rsidRDefault="00AE2B91" w:rsidP="00AE2B91">
      <w:pPr>
        <w:ind w:left="720" w:hanging="720"/>
        <w:rPr>
          <w:rFonts w:ascii="Arial" w:hAnsi="Arial" w:cs="Arial"/>
          <w:color w:val="000000" w:themeColor="text1"/>
        </w:rPr>
      </w:pPr>
      <w:r w:rsidRPr="00D800F0">
        <w:rPr>
          <w:rFonts w:ascii="Arial" w:hAnsi="Arial" w:cs="Arial"/>
          <w:color w:val="000000" w:themeColor="text1"/>
        </w:rPr>
        <w:t xml:space="preserve">Tock, L., Maréchal, F., &amp; Perrenoud, M. (2015). Thermo-environomic evaluation of the ammonia production. </w:t>
      </w:r>
      <w:r w:rsidRPr="00D800F0">
        <w:rPr>
          <w:rFonts w:ascii="Arial" w:hAnsi="Arial" w:cs="Arial"/>
          <w:i/>
          <w:color w:val="000000" w:themeColor="text1"/>
        </w:rPr>
        <w:t>The Canadian Journal of Chemical Engineering</w:t>
      </w:r>
      <w:r w:rsidRPr="00D800F0">
        <w:rPr>
          <w:rFonts w:ascii="Arial" w:hAnsi="Arial" w:cs="Arial"/>
          <w:color w:val="000000" w:themeColor="text1"/>
        </w:rPr>
        <w:t>. https://doi.org/10.1002/cjce.22126</w:t>
      </w:r>
      <w:bookmarkEnd w:id="127"/>
    </w:p>
    <w:p w14:paraId="02044BB1" w14:textId="68B06383" w:rsidR="00AE2B91" w:rsidRPr="00D800F0" w:rsidRDefault="00AE2B91" w:rsidP="007E233D">
      <w:pPr>
        <w:ind w:left="720" w:hanging="720"/>
        <w:rPr>
          <w:rFonts w:ascii="Arial" w:hAnsi="Arial" w:cs="Arial"/>
          <w:color w:val="000000" w:themeColor="text1"/>
        </w:rPr>
      </w:pPr>
      <w:r w:rsidRPr="00D800F0">
        <w:rPr>
          <w:rFonts w:ascii="Arial" w:hAnsi="Arial" w:cs="Arial"/>
          <w:color w:val="000000" w:themeColor="text1"/>
        </w:rPr>
        <w:t xml:space="preserve">Tunå, P., Hulteberg, C., &amp; Ahlgren, S. (2014). Techno-economic assessment of nonfossil ammonia production. </w:t>
      </w:r>
      <w:r w:rsidRPr="00D800F0">
        <w:rPr>
          <w:rFonts w:ascii="Arial" w:hAnsi="Arial" w:cs="Arial"/>
          <w:i/>
          <w:color w:val="000000" w:themeColor="text1"/>
        </w:rPr>
        <w:t>Environmental Progress</w:t>
      </w:r>
      <w:r w:rsidRPr="00D800F0">
        <w:rPr>
          <w:rFonts w:ascii="Arial" w:hAnsi="Arial" w:cs="Arial"/>
          <w:color w:val="000000" w:themeColor="text1"/>
        </w:rPr>
        <w:t xml:space="preserve">. </w:t>
      </w:r>
      <w:hyperlink r:id="rId41" w:history="1">
        <w:r w:rsidRPr="00D800F0">
          <w:rPr>
            <w:rStyle w:val="Hyperlink"/>
            <w:rFonts w:ascii="Arial" w:hAnsi="Arial" w:cs="Arial"/>
            <w:color w:val="000000" w:themeColor="text1"/>
            <w:u w:val="none"/>
          </w:rPr>
          <w:t>https://doi.org/10.1002/ep.11886</w:t>
        </w:r>
      </w:hyperlink>
    </w:p>
    <w:p w14:paraId="08A90697" w14:textId="7023603F" w:rsidR="00AC7231" w:rsidRPr="00D800F0" w:rsidRDefault="00AC7231" w:rsidP="004853CE">
      <w:pPr>
        <w:ind w:left="720" w:hanging="720"/>
        <w:rPr>
          <w:rFonts w:ascii="Arial" w:hAnsi="Arial" w:cs="Arial"/>
          <w:color w:val="000000" w:themeColor="text1"/>
        </w:rPr>
      </w:pPr>
      <w:r w:rsidRPr="00D800F0">
        <w:rPr>
          <w:rFonts w:ascii="Arial" w:hAnsi="Arial" w:cs="Arial"/>
          <w:color w:val="000000" w:themeColor="text1"/>
        </w:rPr>
        <w:t>The Engineering ToolBox (2003). </w:t>
      </w:r>
      <w:r w:rsidRPr="00D800F0">
        <w:rPr>
          <w:rFonts w:ascii="Arial" w:hAnsi="Arial" w:cs="Arial"/>
          <w:i/>
          <w:iCs/>
          <w:color w:val="000000" w:themeColor="text1"/>
        </w:rPr>
        <w:t>Fuels - Higher and Lower Calorific Values</w:t>
      </w:r>
      <w:r w:rsidRPr="00D800F0">
        <w:rPr>
          <w:rFonts w:ascii="Arial" w:hAnsi="Arial" w:cs="Arial"/>
          <w:color w:val="000000" w:themeColor="text1"/>
        </w:rPr>
        <w:t>. [online] Available at: https://www.engineeringtoolbox.com/fuels-higher-calorific-values-d_169.html</w:t>
      </w:r>
    </w:p>
    <w:p w14:paraId="4B22E2AB" w14:textId="77777777" w:rsidR="00242138" w:rsidRPr="00D800F0" w:rsidRDefault="00AC7231" w:rsidP="00242138">
      <w:pPr>
        <w:ind w:left="720" w:hanging="720"/>
        <w:rPr>
          <w:rFonts w:ascii="Arial" w:hAnsi="Arial" w:cs="Arial"/>
          <w:color w:val="000000" w:themeColor="text1"/>
        </w:rPr>
      </w:pPr>
      <w:bookmarkStart w:id="128" w:name="_Hlk142348288"/>
      <w:r w:rsidRPr="00D800F0">
        <w:rPr>
          <w:rFonts w:ascii="Arial" w:hAnsi="Arial" w:cs="Arial"/>
          <w:color w:val="000000" w:themeColor="text1"/>
        </w:rPr>
        <w:t xml:space="preserve">Turton, R., Shaeiwitz, J., Bhattacharyya, D., &amp; Whiting, W. (2018). </w:t>
      </w:r>
      <w:r w:rsidRPr="00D800F0">
        <w:rPr>
          <w:rFonts w:ascii="Arial" w:hAnsi="Arial" w:cs="Arial"/>
          <w:i/>
          <w:color w:val="000000" w:themeColor="text1"/>
        </w:rPr>
        <w:t>Analysis, Synthesis, and Design of Chemical Processes</w:t>
      </w:r>
      <w:r w:rsidRPr="00D800F0">
        <w:rPr>
          <w:rFonts w:ascii="Arial" w:hAnsi="Arial" w:cs="Arial"/>
          <w:color w:val="000000" w:themeColor="text1"/>
        </w:rPr>
        <w:t xml:space="preserve"> (5th ed.). Prentice Hall.</w:t>
      </w:r>
      <w:bookmarkEnd w:id="128"/>
    </w:p>
    <w:p w14:paraId="11A9CF93" w14:textId="77777777" w:rsidR="0067358D" w:rsidRPr="00D800F0" w:rsidRDefault="00242138" w:rsidP="0067358D">
      <w:pPr>
        <w:ind w:left="720" w:hanging="720"/>
        <w:rPr>
          <w:rFonts w:ascii="Arial" w:hAnsi="Arial" w:cs="Arial"/>
          <w:color w:val="000000" w:themeColor="text1"/>
        </w:rPr>
      </w:pPr>
      <w:r w:rsidRPr="00D800F0">
        <w:rPr>
          <w:rFonts w:ascii="Arial" w:hAnsi="Arial" w:cs="Arial"/>
          <w:color w:val="000000" w:themeColor="text1"/>
        </w:rPr>
        <w:t xml:space="preserve">Valente, A., Iribarren, D., &amp; Dufour, J. (2020). Prospective carbon footprint comparison of hydrogen options. </w:t>
      </w:r>
      <w:r w:rsidRPr="00D800F0">
        <w:rPr>
          <w:rFonts w:ascii="Arial" w:hAnsi="Arial" w:cs="Arial"/>
          <w:i/>
          <w:color w:val="000000" w:themeColor="text1"/>
        </w:rPr>
        <w:t>Science of The Total Environment</w:t>
      </w:r>
      <w:r w:rsidRPr="00D800F0">
        <w:rPr>
          <w:rFonts w:ascii="Arial" w:hAnsi="Arial" w:cs="Arial"/>
          <w:color w:val="000000" w:themeColor="text1"/>
        </w:rPr>
        <w:t>. https://doi.org/10.1016/j.scitotenv.2020.138212</w:t>
      </w:r>
    </w:p>
    <w:p w14:paraId="7D4BC9A4" w14:textId="16E81360" w:rsidR="0067358D" w:rsidRPr="00D800F0" w:rsidRDefault="0067358D" w:rsidP="00F82D8D">
      <w:pPr>
        <w:ind w:left="720" w:hanging="720"/>
        <w:rPr>
          <w:rFonts w:ascii="Arial" w:hAnsi="Arial" w:cs="Arial"/>
          <w:color w:val="000000" w:themeColor="text1"/>
        </w:rPr>
      </w:pPr>
      <w:r w:rsidRPr="00D800F0">
        <w:rPr>
          <w:rFonts w:ascii="Arial" w:hAnsi="Arial" w:cs="Arial"/>
          <w:color w:val="000000" w:themeColor="text1"/>
        </w:rPr>
        <w:lastRenderedPageBreak/>
        <w:t xml:space="preserve">Vargas, M., McNutt, K., Seiple, C., &amp; Mackenzie, W. (2023). Annual Matching Requirements For New IRA Tax Credits Could Kick-Start Economically Competitive Green Hydrogen Production. </w:t>
      </w:r>
      <w:r w:rsidRPr="00D800F0">
        <w:rPr>
          <w:rFonts w:ascii="Arial" w:hAnsi="Arial" w:cs="Arial"/>
          <w:i/>
          <w:iCs/>
          <w:color w:val="000000" w:themeColor="text1"/>
        </w:rPr>
        <w:t>Forbes</w:t>
      </w:r>
      <w:r w:rsidRPr="00D800F0">
        <w:rPr>
          <w:rFonts w:ascii="Arial" w:hAnsi="Arial" w:cs="Arial"/>
          <w:color w:val="000000" w:themeColor="text1"/>
        </w:rPr>
        <w:t>.</w:t>
      </w:r>
    </w:p>
    <w:p w14:paraId="1A7CA7BC" w14:textId="4927740C" w:rsidR="00F82D8D" w:rsidRPr="00D800F0" w:rsidRDefault="00F82D8D" w:rsidP="00F82D8D">
      <w:pPr>
        <w:ind w:left="720" w:hanging="720"/>
        <w:rPr>
          <w:rFonts w:ascii="Arial" w:hAnsi="Arial" w:cs="Arial"/>
          <w:color w:val="000000" w:themeColor="text1"/>
        </w:rPr>
      </w:pPr>
      <w:r w:rsidRPr="00D800F0">
        <w:rPr>
          <w:rFonts w:ascii="Arial" w:hAnsi="Arial" w:cs="Arial"/>
          <w:color w:val="000000" w:themeColor="text1"/>
        </w:rPr>
        <w:t xml:space="preserve">Verleysen, K., Parente, A., &amp; Contino, F. (2023). How does a resilient, flexible ammonia process look? Robust design optimization of a Haber-Bosch process with optimal dynamic control powered by wind. </w:t>
      </w:r>
      <w:r w:rsidRPr="00D800F0">
        <w:rPr>
          <w:rFonts w:ascii="Arial" w:hAnsi="Arial" w:cs="Arial"/>
          <w:i/>
          <w:iCs/>
          <w:color w:val="000000" w:themeColor="text1"/>
        </w:rPr>
        <w:t>Proceedings of the Combustion Institute</w:t>
      </w:r>
      <w:r w:rsidRPr="00D800F0">
        <w:rPr>
          <w:rFonts w:ascii="Arial" w:hAnsi="Arial" w:cs="Arial"/>
          <w:color w:val="000000" w:themeColor="text1"/>
        </w:rPr>
        <w:t xml:space="preserve">, </w:t>
      </w:r>
      <w:r w:rsidRPr="00D800F0">
        <w:rPr>
          <w:rFonts w:ascii="Arial" w:hAnsi="Arial" w:cs="Arial"/>
          <w:i/>
          <w:iCs/>
          <w:color w:val="000000" w:themeColor="text1"/>
        </w:rPr>
        <w:t>39</w:t>
      </w:r>
      <w:r w:rsidRPr="00D800F0">
        <w:rPr>
          <w:rFonts w:ascii="Arial" w:hAnsi="Arial" w:cs="Arial"/>
          <w:color w:val="000000" w:themeColor="text1"/>
        </w:rPr>
        <w:t>(4).</w:t>
      </w:r>
      <w:hyperlink r:id="rId42" w:history="1">
        <w:r w:rsidRPr="00D800F0">
          <w:rPr>
            <w:rStyle w:val="Hyperlink"/>
            <w:rFonts w:ascii="Arial" w:hAnsi="Arial" w:cs="Arial"/>
            <w:color w:val="000000" w:themeColor="text1"/>
            <w:u w:val="none"/>
          </w:rPr>
          <w:t xml:space="preserve"> https://doi.org/10.1016/j.proci.2022.06.027</w:t>
        </w:r>
      </w:hyperlink>
    </w:p>
    <w:p w14:paraId="447BEA99" w14:textId="349DE63E" w:rsidR="00F82D8D" w:rsidRPr="00D800F0" w:rsidRDefault="00F82D8D" w:rsidP="00F82D8D">
      <w:pPr>
        <w:ind w:left="720" w:hanging="720"/>
        <w:rPr>
          <w:rFonts w:ascii="Arial" w:hAnsi="Arial" w:cs="Arial"/>
          <w:color w:val="000000" w:themeColor="text1"/>
        </w:rPr>
      </w:pPr>
      <w:r w:rsidRPr="00D800F0">
        <w:rPr>
          <w:rFonts w:ascii="Arial" w:hAnsi="Arial" w:cs="Arial"/>
          <w:color w:val="000000" w:themeColor="text1"/>
        </w:rPr>
        <w:t xml:space="preserve">Wang, C., Walsh, S. D. C., Longden, T., Palmer, G., Lutalo, I., &amp; Dargaville, R. (2022). Optimising renewable generation configurations of off-grid green ammonia production systems considering Haber-Bosch flexibility. </w:t>
      </w:r>
      <w:r w:rsidRPr="00D800F0">
        <w:rPr>
          <w:rFonts w:ascii="Arial" w:hAnsi="Arial" w:cs="Arial"/>
          <w:i/>
          <w:iCs/>
          <w:color w:val="000000" w:themeColor="text1"/>
        </w:rPr>
        <w:t>Energy Conversion and Management</w:t>
      </w:r>
      <w:r w:rsidRPr="00D800F0">
        <w:rPr>
          <w:rFonts w:ascii="Arial" w:hAnsi="Arial" w:cs="Arial"/>
          <w:color w:val="000000" w:themeColor="text1"/>
        </w:rPr>
        <w:t xml:space="preserve">, </w:t>
      </w:r>
      <w:r w:rsidRPr="00D800F0">
        <w:rPr>
          <w:rFonts w:ascii="Arial" w:hAnsi="Arial" w:cs="Arial"/>
          <w:i/>
          <w:iCs/>
          <w:color w:val="000000" w:themeColor="text1"/>
        </w:rPr>
        <w:t>280</w:t>
      </w:r>
      <w:r w:rsidRPr="00D800F0">
        <w:rPr>
          <w:rFonts w:ascii="Arial" w:hAnsi="Arial" w:cs="Arial"/>
          <w:color w:val="000000" w:themeColor="text1"/>
        </w:rPr>
        <w:t xml:space="preserve">, 116790. </w:t>
      </w:r>
      <w:hyperlink r:id="rId43" w:history="1">
        <w:r w:rsidRPr="00D800F0">
          <w:rPr>
            <w:rStyle w:val="Hyperlink"/>
            <w:rFonts w:ascii="Arial" w:hAnsi="Arial" w:cs="Arial"/>
            <w:color w:val="000000" w:themeColor="text1"/>
            <w:u w:val="none"/>
          </w:rPr>
          <w:t>https://doi.org/10.1016/j.enconman.2023.116790</w:t>
        </w:r>
      </w:hyperlink>
    </w:p>
    <w:p w14:paraId="56AB9664" w14:textId="38A16FBC" w:rsidR="00F80F95" w:rsidRPr="00D800F0" w:rsidRDefault="00F80F95" w:rsidP="004853CE">
      <w:pPr>
        <w:ind w:left="720" w:hanging="720"/>
        <w:rPr>
          <w:rFonts w:ascii="Arial" w:hAnsi="Arial" w:cs="Arial"/>
          <w:color w:val="000000" w:themeColor="text1"/>
        </w:rPr>
      </w:pPr>
      <w:r w:rsidRPr="00D800F0">
        <w:rPr>
          <w:rFonts w:ascii="Arial" w:hAnsi="Arial" w:cs="Arial"/>
          <w:color w:val="000000" w:themeColor="text1"/>
        </w:rPr>
        <w:t xml:space="preserve">Wang, G., Mitsos, A., &amp; Marquardt, W. (2020). Renewable production of ammonia and nitric acid. </w:t>
      </w:r>
      <w:r w:rsidRPr="00D800F0">
        <w:rPr>
          <w:rFonts w:ascii="Arial" w:hAnsi="Arial" w:cs="Arial"/>
          <w:i/>
          <w:color w:val="000000" w:themeColor="text1"/>
        </w:rPr>
        <w:t>Aiche Journal</w:t>
      </w:r>
      <w:r w:rsidRPr="00D800F0">
        <w:rPr>
          <w:rFonts w:ascii="Arial" w:hAnsi="Arial" w:cs="Arial"/>
          <w:color w:val="000000" w:themeColor="text1"/>
        </w:rPr>
        <w:t>. https://doi.org/10.1002/aic.16947</w:t>
      </w:r>
    </w:p>
    <w:p w14:paraId="5C42A07C" w14:textId="77777777" w:rsidR="00F80F95" w:rsidRPr="00D800F0" w:rsidRDefault="00AC7231" w:rsidP="00F80F95">
      <w:pPr>
        <w:ind w:left="720" w:hanging="720"/>
        <w:rPr>
          <w:rFonts w:ascii="Arial" w:hAnsi="Arial" w:cs="Arial"/>
          <w:color w:val="000000" w:themeColor="text1"/>
        </w:rPr>
      </w:pPr>
      <w:r w:rsidRPr="00D800F0">
        <w:rPr>
          <w:rFonts w:ascii="Arial" w:hAnsi="Arial" w:cs="Arial"/>
          <w:color w:val="000000" w:themeColor="text1"/>
        </w:rPr>
        <w:t xml:space="preserve">Young, A. F., Young, A. F., Villardi, H. G. D., Villardi, H. G. D., Araújo, L. S., Raptopoulos, L. S. C., &amp; Dutra, M. S. (2021). Detailed Design and Economic Evaluation of a Cryogenic Air Separation Unit with Recent Literature Solutions. </w:t>
      </w:r>
      <w:r w:rsidRPr="00D800F0">
        <w:rPr>
          <w:rFonts w:ascii="Arial" w:hAnsi="Arial" w:cs="Arial"/>
          <w:i/>
          <w:color w:val="000000" w:themeColor="text1"/>
        </w:rPr>
        <w:t>Industrial &amp; Engineering Chemistry Research</w:t>
      </w:r>
      <w:r w:rsidRPr="00D800F0">
        <w:rPr>
          <w:rFonts w:ascii="Arial" w:hAnsi="Arial" w:cs="Arial"/>
          <w:color w:val="000000" w:themeColor="text1"/>
        </w:rPr>
        <w:t xml:space="preserve">. </w:t>
      </w:r>
      <w:hyperlink r:id="rId44">
        <w:r w:rsidRPr="00D800F0">
          <w:rPr>
            <w:rFonts w:ascii="Arial" w:hAnsi="Arial" w:cs="Arial"/>
            <w:color w:val="000000" w:themeColor="text1"/>
          </w:rPr>
          <w:t>https://doi.org/10.1021/acs.iecr.1c02818</w:t>
        </w:r>
      </w:hyperlink>
    </w:p>
    <w:p w14:paraId="0F67AE1C" w14:textId="77777777" w:rsidR="0050752A" w:rsidRPr="00D800F0" w:rsidRDefault="00F80F95" w:rsidP="0050752A">
      <w:pPr>
        <w:ind w:left="720" w:hanging="720"/>
        <w:rPr>
          <w:rFonts w:ascii="Arial" w:hAnsi="Arial" w:cs="Arial"/>
          <w:color w:val="000000" w:themeColor="text1"/>
        </w:rPr>
      </w:pPr>
      <w:r w:rsidRPr="00D800F0">
        <w:rPr>
          <w:rFonts w:ascii="Arial" w:hAnsi="Arial" w:cs="Arial"/>
          <w:color w:val="000000" w:themeColor="text1"/>
        </w:rPr>
        <w:t xml:space="preserve">Young, B., Krynock, M., Carlson, D. R., Hawkins, T., Hawkins, T., Hawkins, T. R., Marriott, J., Morelli, B., Jamieson, M., Jamieson, M., Cooney, G., Cooney, G., Skone, T. J., Skone, T. J., &amp; Skone, T. J. (2019). Comparative environmental life cycle assessment of carbon capture for petroleum refining, ammonia production, and thermoelectric power generation in the United States. </w:t>
      </w:r>
      <w:r w:rsidRPr="00D800F0">
        <w:rPr>
          <w:rFonts w:ascii="Arial" w:hAnsi="Arial" w:cs="Arial"/>
          <w:i/>
          <w:color w:val="000000" w:themeColor="text1"/>
        </w:rPr>
        <w:t>International Journal of Greenhouse Gas Control</w:t>
      </w:r>
      <w:r w:rsidRPr="00D800F0">
        <w:rPr>
          <w:rFonts w:ascii="Arial" w:hAnsi="Arial" w:cs="Arial"/>
          <w:color w:val="000000" w:themeColor="text1"/>
        </w:rPr>
        <w:t>. https://doi.org/10.1016/j.ijggc.2019.102821</w:t>
      </w:r>
    </w:p>
    <w:p w14:paraId="371C32DF" w14:textId="32A16CCE" w:rsidR="0050752A" w:rsidRPr="00D800F0" w:rsidRDefault="0050752A" w:rsidP="00AE2B91">
      <w:pPr>
        <w:ind w:left="720" w:hanging="720"/>
        <w:rPr>
          <w:rFonts w:ascii="Arial" w:hAnsi="Arial" w:cs="Arial"/>
          <w:color w:val="000000" w:themeColor="text1"/>
        </w:rPr>
      </w:pPr>
      <w:r w:rsidRPr="00D800F0">
        <w:rPr>
          <w:rFonts w:ascii="Arial" w:hAnsi="Arial" w:cs="Arial"/>
          <w:color w:val="000000" w:themeColor="text1"/>
        </w:rPr>
        <w:t xml:space="preserve">Young, T. M., Ostermeier, D., Thomas, J. D., &amp; Brooks, R. T. (1991). The economic availability of woody biomass for the southeastern United States. </w:t>
      </w:r>
      <w:r w:rsidRPr="00D800F0">
        <w:rPr>
          <w:rFonts w:ascii="Arial" w:hAnsi="Arial" w:cs="Arial"/>
          <w:i/>
          <w:color w:val="000000" w:themeColor="text1"/>
        </w:rPr>
        <w:t>Bioresource Technology</w:t>
      </w:r>
      <w:r w:rsidRPr="00D800F0">
        <w:rPr>
          <w:rFonts w:ascii="Arial" w:hAnsi="Arial" w:cs="Arial"/>
          <w:color w:val="000000" w:themeColor="text1"/>
        </w:rPr>
        <w:t xml:space="preserve">. </w:t>
      </w:r>
      <w:hyperlink r:id="rId45" w:history="1">
        <w:r w:rsidRPr="00D800F0">
          <w:rPr>
            <w:rStyle w:val="Hyperlink"/>
            <w:rFonts w:ascii="Arial" w:hAnsi="Arial" w:cs="Arial"/>
            <w:color w:val="000000" w:themeColor="text1"/>
            <w:u w:val="none"/>
          </w:rPr>
          <w:t>https://doi.org/10.1016/0960-8524(91)90106-t</w:t>
        </w:r>
      </w:hyperlink>
    </w:p>
    <w:p w14:paraId="4BF8EC68" w14:textId="57EDEE4D" w:rsidR="00AE2B91" w:rsidRPr="00D800F0" w:rsidRDefault="00AE2B91" w:rsidP="00AE2B91">
      <w:pPr>
        <w:ind w:left="720" w:hanging="720"/>
        <w:rPr>
          <w:rFonts w:ascii="Arial" w:hAnsi="Arial" w:cs="Arial"/>
          <w:color w:val="000000" w:themeColor="text1"/>
        </w:rPr>
      </w:pPr>
      <w:r w:rsidRPr="00D800F0">
        <w:rPr>
          <w:rFonts w:ascii="Arial" w:hAnsi="Arial" w:cs="Arial"/>
          <w:color w:val="000000" w:themeColor="text1"/>
        </w:rPr>
        <w:t xml:space="preserve">Zhang, H., Zhang, H., Wang, L., herle, J. Van, Maréchal, F., &amp; Desideri, U. (2020). Techno-economic comparison of green ammonia production processes. </w:t>
      </w:r>
      <w:r w:rsidRPr="00D800F0">
        <w:rPr>
          <w:rFonts w:ascii="Arial" w:hAnsi="Arial" w:cs="Arial"/>
          <w:i/>
          <w:color w:val="000000" w:themeColor="text1"/>
        </w:rPr>
        <w:t>Applied Energy</w:t>
      </w:r>
      <w:r w:rsidRPr="00D800F0">
        <w:rPr>
          <w:rFonts w:ascii="Arial" w:hAnsi="Arial" w:cs="Arial"/>
          <w:color w:val="000000" w:themeColor="text1"/>
        </w:rPr>
        <w:t>. https://doi.org/10.1016/j.apenergy.2019.114135</w:t>
      </w:r>
    </w:p>
    <w:p w14:paraId="0A431E95" w14:textId="77777777" w:rsidR="00AE2B91" w:rsidRPr="00D800F0" w:rsidRDefault="00AE2B91" w:rsidP="004853CE">
      <w:pPr>
        <w:ind w:left="720" w:hanging="720"/>
        <w:rPr>
          <w:rFonts w:ascii="Arial" w:hAnsi="Arial" w:cs="Arial"/>
        </w:rPr>
      </w:pPr>
    </w:p>
    <w:p w14:paraId="51D38471" w14:textId="77777777" w:rsidR="004853CE" w:rsidRPr="00D800F0" w:rsidRDefault="004853CE" w:rsidP="004853CE">
      <w:pPr>
        <w:ind w:left="720" w:hanging="720"/>
        <w:rPr>
          <w:rFonts w:ascii="Arial" w:hAnsi="Arial" w:cs="Arial"/>
        </w:rPr>
      </w:pPr>
    </w:p>
    <w:p w14:paraId="77FB6A88" w14:textId="77777777" w:rsidR="00AC7231" w:rsidRPr="00D800F0" w:rsidRDefault="00AC7231" w:rsidP="00AC7231">
      <w:pPr>
        <w:ind w:left="720" w:hanging="720"/>
        <w:rPr>
          <w:rFonts w:ascii="Arial" w:hAnsi="Arial" w:cs="Arial"/>
        </w:rPr>
      </w:pPr>
    </w:p>
    <w:bookmarkEnd w:id="17"/>
    <w:bookmarkEnd w:id="50"/>
    <w:p w14:paraId="26D2B26B" w14:textId="77777777" w:rsidR="00AC7231" w:rsidRPr="00D800F0" w:rsidRDefault="00AC7231" w:rsidP="00AC7231">
      <w:pPr>
        <w:ind w:left="720" w:hanging="720"/>
        <w:rPr>
          <w:rFonts w:ascii="Arial" w:hAnsi="Arial" w:cs="Arial"/>
          <w:lang w:eastAsia="en-GB"/>
        </w:rPr>
      </w:pPr>
    </w:p>
    <w:sectPr w:rsidR="00AC7231" w:rsidRPr="00D800F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2F168" w14:textId="77777777" w:rsidR="00E70D4C" w:rsidRDefault="00E70D4C" w:rsidP="00DA7E40">
      <w:pPr>
        <w:spacing w:after="0" w:line="240" w:lineRule="auto"/>
      </w:pPr>
      <w:r>
        <w:separator/>
      </w:r>
    </w:p>
  </w:endnote>
  <w:endnote w:type="continuationSeparator" w:id="0">
    <w:p w14:paraId="7DD709F2" w14:textId="77777777" w:rsidR="00E70D4C" w:rsidRDefault="00E70D4C" w:rsidP="00DA7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7C7AF" w14:textId="77777777" w:rsidR="00E70D4C" w:rsidRDefault="00E70D4C" w:rsidP="00DA7E40">
      <w:pPr>
        <w:spacing w:after="0" w:line="240" w:lineRule="auto"/>
      </w:pPr>
      <w:r>
        <w:separator/>
      </w:r>
    </w:p>
  </w:footnote>
  <w:footnote w:type="continuationSeparator" w:id="0">
    <w:p w14:paraId="48511009" w14:textId="77777777" w:rsidR="00E70D4C" w:rsidRDefault="00E70D4C" w:rsidP="00DA7E40">
      <w:pPr>
        <w:spacing w:after="0" w:line="240" w:lineRule="auto"/>
      </w:pPr>
      <w:r>
        <w:continuationSeparator/>
      </w:r>
    </w:p>
  </w:footnote>
  <w:footnote w:id="1">
    <w:p w14:paraId="01F12F3D" w14:textId="77777777" w:rsidR="00DA7E40" w:rsidRDefault="00DA7E40" w:rsidP="00DA7E4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The equipment list Excel file also contains the full calculations of </w:t>
      </w:r>
      <m:oMath>
        <m:r>
          <m:rPr>
            <m:sty m:val="bi"/>
          </m:rPr>
          <w:rPr>
            <w:rFonts w:ascii="Cambria Math" w:eastAsia="Cambria Math" w:hAnsi="Cambria Math" w:cs="Cambria Math"/>
          </w:rPr>
          <m:t>E</m:t>
        </m:r>
        <m:sSub>
          <m:sSubPr>
            <m:ctrlPr>
              <w:rPr>
                <w:rFonts w:ascii="Cambria Math" w:eastAsia="Cambria Math" w:hAnsi="Cambria Math" w:cs="Cambria Math"/>
                <w:b/>
                <w:bCs/>
              </w:rPr>
            </m:ctrlPr>
          </m:sSubPr>
          <m:e>
            <m:r>
              <m:rPr>
                <m:sty m:val="bi"/>
              </m:rPr>
              <w:rPr>
                <w:rFonts w:ascii="Cambria Math" w:eastAsia="Cambria Math" w:hAnsi="Cambria Math" w:cs="Cambria Math"/>
              </w:rPr>
              <m:t>C</m:t>
            </m:r>
          </m:e>
          <m:sub>
            <m:sSub>
              <m:sSubPr>
                <m:ctrlPr>
                  <w:rPr>
                    <w:rFonts w:ascii="Cambria Math" w:eastAsia="Cambria Math" w:hAnsi="Cambria Math" w:cs="Cambria Math"/>
                    <w:b/>
                    <w:bCs/>
                  </w:rPr>
                </m:ctrlPr>
              </m:sSubPr>
              <m:e>
                <m:r>
                  <m:rPr>
                    <m:sty m:val="bi"/>
                  </m:rPr>
                  <w:rPr>
                    <w:rFonts w:ascii="Cambria Math" w:eastAsia="Cambria Math" w:hAnsi="Cambria Math" w:cs="Cambria Math"/>
                  </w:rPr>
                  <m:t>u</m:t>
                </m:r>
              </m:e>
              <m:sub>
                <m:r>
                  <m:rPr>
                    <m:sty m:val="bi"/>
                  </m:rPr>
                  <w:rPr>
                    <w:rFonts w:ascii="Cambria Math" w:eastAsia="Cambria Math" w:hAnsi="Cambria Math" w:cs="Cambria Math"/>
                  </w:rPr>
                  <m:t>j</m:t>
                </m:r>
              </m:sub>
            </m:sSub>
          </m:sub>
        </m:sSub>
      </m:oMath>
      <w:r>
        <w:rPr>
          <w:b/>
          <w:color w:val="000000"/>
          <w:sz w:val="20"/>
          <w:szCs w:val="20"/>
        </w:rPr>
        <w:t xml:space="preserve"> </w:t>
      </w:r>
      <w:r>
        <w:rPr>
          <w:color w:val="000000"/>
          <w:sz w:val="20"/>
          <w:szCs w:val="20"/>
        </w:rPr>
        <w:t xml:space="preserve">and </w:t>
      </w:r>
      <m:oMath>
        <m:r>
          <m:rPr>
            <m:sty m:val="bi"/>
          </m:rPr>
          <w:rPr>
            <w:rFonts w:ascii="Cambria Math" w:eastAsia="Cambria Math" w:hAnsi="Cambria Math" w:cs="Cambria Math"/>
          </w:rPr>
          <m:t>E</m:t>
        </m:r>
        <m:sSub>
          <m:sSubPr>
            <m:ctrlPr>
              <w:rPr>
                <w:rFonts w:ascii="Cambria Math" w:eastAsia="Cambria Math" w:hAnsi="Cambria Math" w:cs="Cambria Math"/>
                <w:b/>
                <w:bCs/>
              </w:rPr>
            </m:ctrlPr>
          </m:sSubPr>
          <m:e>
            <m:r>
              <m:rPr>
                <m:sty m:val="bi"/>
              </m:rPr>
              <w:rPr>
                <w:rFonts w:ascii="Cambria Math" w:eastAsia="Cambria Math" w:hAnsi="Cambria Math" w:cs="Cambria Math"/>
              </w:rPr>
              <m:t>C</m:t>
            </m:r>
          </m:e>
          <m:sub>
            <m:sSub>
              <m:sSubPr>
                <m:ctrlPr>
                  <w:rPr>
                    <w:rFonts w:ascii="Cambria Math" w:eastAsia="Cambria Math" w:hAnsi="Cambria Math" w:cs="Cambria Math"/>
                    <w:b/>
                    <w:bCs/>
                  </w:rPr>
                </m:ctrlPr>
              </m:sSubPr>
              <m:e>
                <m:r>
                  <m:rPr>
                    <m:sty m:val="bi"/>
                  </m:rPr>
                  <w:rPr>
                    <w:rFonts w:ascii="Cambria Math" w:eastAsia="Cambria Math" w:hAnsi="Cambria Math" w:cs="Cambria Math"/>
                  </w:rPr>
                  <m:t>i</m:t>
                </m:r>
              </m:e>
              <m:sub>
                <m:r>
                  <m:rPr>
                    <m:sty m:val="bi"/>
                  </m:rPr>
                  <w:rPr>
                    <w:rFonts w:ascii="Cambria Math" w:eastAsia="Cambria Math" w:hAnsi="Cambria Math" w:cs="Cambria Math"/>
                  </w:rPr>
                  <m:t>j</m:t>
                </m:r>
              </m:sub>
            </m:sSub>
          </m:sub>
        </m:sSub>
      </m:oMath>
      <w:r>
        <w:rPr>
          <w:color w:val="000000"/>
          <w:sz w:val="20"/>
          <w:szCs w:val="20"/>
        </w:rPr>
        <w:t xml:space="preserve">. </w:t>
      </w:r>
    </w:p>
  </w:footnote>
  <w:footnote w:id="2">
    <w:p w14:paraId="1CADD895" w14:textId="77777777" w:rsidR="00DA7E40" w:rsidRDefault="00DA7E40" w:rsidP="00DA7E40">
      <w:pPr>
        <w:pStyle w:val="FootnoteText"/>
      </w:pPr>
      <w:r>
        <w:rPr>
          <w:rStyle w:val="FootnoteReference"/>
        </w:rPr>
        <w:footnoteRef/>
      </w:r>
      <w:r>
        <w:t xml:space="preserve"> See SI D and E for calculations related to the wind farm and battery storage system. </w:t>
      </w:r>
    </w:p>
  </w:footnote>
  <w:footnote w:id="3">
    <w:p w14:paraId="732D803A" w14:textId="77777777" w:rsidR="00DA7E40" w:rsidRDefault="00DA7E40" w:rsidP="00DA7E40">
      <w:pPr>
        <w:pStyle w:val="FootnoteText"/>
      </w:pPr>
      <w:r>
        <w:rPr>
          <w:rStyle w:val="FootnoteReference"/>
        </w:rPr>
        <w:footnoteRef/>
      </w:r>
      <w:r>
        <w:t xml:space="preserve"> If the start of the plant is the year 2030, then the equity part of the FCI appreciates at the risk-free rate (4.25%) for seven years. The appreciation is compounded monthly. The ROI after seven years of appreciation is subject to income tax (set as 21%). </w:t>
      </w:r>
    </w:p>
  </w:footnote>
  <w:footnote w:id="4">
    <w:p w14:paraId="1C309D91" w14:textId="77777777" w:rsidR="00DA7E40" w:rsidRPr="00E55FBD" w:rsidRDefault="00DA7E40" w:rsidP="00DA7E40">
      <w:pPr>
        <w:pStyle w:val="FootnoteText"/>
        <w:rPr>
          <w:sz w:val="16"/>
          <w:szCs w:val="16"/>
        </w:rPr>
      </w:pPr>
      <w:r w:rsidRPr="00E55FBD">
        <w:rPr>
          <w:rStyle w:val="FootnoteReference"/>
          <w:sz w:val="16"/>
          <w:szCs w:val="16"/>
        </w:rPr>
        <w:footnoteRef/>
      </w:r>
      <w:r w:rsidRPr="00E55FBD">
        <w:rPr>
          <w:sz w:val="16"/>
          <w:szCs w:val="16"/>
        </w:rPr>
        <w:t xml:space="preserve"> The average wind turbine specifications reported by NREL were in the years 2020 and 2030. We use the design parameters from 2020 for the 2026 scenario and the 2030 design parameters for our 2033 scenario. </w:t>
      </w:r>
    </w:p>
  </w:footnote>
  <w:footnote w:id="5">
    <w:p w14:paraId="10199799" w14:textId="77777777" w:rsidR="00DA7E40" w:rsidRDefault="00DA7E40" w:rsidP="00DA7E40">
      <w:pPr>
        <w:pStyle w:val="FootnoteText"/>
      </w:pPr>
      <w:r>
        <w:rPr>
          <w:rStyle w:val="FootnoteReference"/>
        </w:rPr>
        <w:footnoteRef/>
      </w:r>
      <w:r>
        <w:t xml:space="preserve"> For example, to model yearly matching, the number of time steps in the optimization model is changed to 1. For monthly matching, only 12-time steps are required. For hourly matching, 8760 time steps are required.</w:t>
      </w:r>
    </w:p>
  </w:footnote>
  <w:footnote w:id="6">
    <w:p w14:paraId="40D98CD8" w14:textId="77777777" w:rsidR="00DA7E40" w:rsidRDefault="00DA7E40" w:rsidP="00DA7E40">
      <w:pPr>
        <w:pStyle w:val="FootnoteText"/>
      </w:pPr>
      <w:r>
        <w:rPr>
          <w:rStyle w:val="FootnoteReference"/>
        </w:rPr>
        <w:footnoteRef/>
      </w:r>
      <w:r>
        <w:t xml:space="preserve"> The cost of the wind farm and the battery is the same cost as the start year. Hence, no technological improvements are taken into account. We adopt this assumption because the capacity factor data (and hence the optimization algorithm) is a function of the design parameters of the wind turbine. Relaxing this assumption brings about considerable computation barrriers and also has little effect on the PPA price (scenario C) or NPV (scenario B) because the replacement cost is heavily discounted. Consider that 75% of the value of the NPV or PPA price is derived from the first 13 years of performance. At 20 years, the replacement cost plays a small part in the economic performance.  </w:t>
      </w:r>
    </w:p>
  </w:footnote>
  <w:footnote w:id="7">
    <w:p w14:paraId="61C80697" w14:textId="77777777" w:rsidR="009D77A1" w:rsidRPr="003908E3" w:rsidRDefault="009D77A1" w:rsidP="009D77A1">
      <w:pPr>
        <w:spacing w:after="0" w:line="240" w:lineRule="auto"/>
        <w:rPr>
          <w:sz w:val="20"/>
          <w:szCs w:val="20"/>
        </w:rPr>
      </w:pPr>
      <w:r w:rsidRPr="003908E3">
        <w:rPr>
          <w:rStyle w:val="FootnoteReference"/>
          <w:sz w:val="20"/>
          <w:szCs w:val="20"/>
        </w:rPr>
        <w:footnoteRef/>
      </w:r>
      <w:r w:rsidRPr="003908E3">
        <w:rPr>
          <w:sz w:val="20"/>
          <w:szCs w:val="20"/>
        </w:rPr>
        <w:t xml:space="preserve">  In this report, CCS refers to Methyl diethanolamine (MDA) solvent-based carbon capture units. </w:t>
      </w:r>
    </w:p>
  </w:footnote>
  <w:footnote w:id="8">
    <w:p w14:paraId="4E70A8D4" w14:textId="77777777" w:rsidR="009D77A1" w:rsidRDefault="009D77A1" w:rsidP="009D77A1">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The LCOA's effective income tax rate skews towards 0% as the revenues generated are only sufficient to offset the costs. With no income tax to abate, this framework's dependence on selling tax credits invites the risk of incorporating potentially oversimplifying assumptions. This issue becomes particularly notable under conditions of an unpredictable tax credit market.</w:t>
      </w:r>
    </w:p>
  </w:footnote>
  <w:footnote w:id="9">
    <w:p w14:paraId="5309AA57" w14:textId="77777777" w:rsidR="009D77A1" w:rsidRPr="00265CE3" w:rsidRDefault="009D77A1" w:rsidP="009D77A1">
      <w:pPr>
        <w:pStyle w:val="FootnoteText"/>
        <w:rPr>
          <w:sz w:val="16"/>
          <w:szCs w:val="16"/>
        </w:rPr>
      </w:pPr>
      <w:r w:rsidRPr="00265CE3">
        <w:rPr>
          <w:rStyle w:val="FootnoteReference"/>
          <w:sz w:val="16"/>
          <w:szCs w:val="16"/>
        </w:rPr>
        <w:footnoteRef/>
      </w:r>
      <w:r w:rsidRPr="00265CE3">
        <w:rPr>
          <w:sz w:val="16"/>
          <w:szCs w:val="16"/>
        </w:rPr>
        <w:t xml:space="preserve"> Hydrogen is approximately 17% of NH3 by mass. Hence, carbon intensity values on a per-NH3 or H2 unit are interchangeable. Regardless of basis units, ammonia processes will be more carbon intensive as there is more processing than hydrogen production. </w:t>
      </w:r>
    </w:p>
  </w:footnote>
  <w:footnote w:id="10">
    <w:p w14:paraId="6D35C88A" w14:textId="77777777" w:rsidR="00DA7E40" w:rsidRDefault="00DA7E40" w:rsidP="00DA7E40">
      <w:pPr>
        <w:pStyle w:val="FootnoteText"/>
      </w:pPr>
      <w:r>
        <w:rPr>
          <w:rStyle w:val="FootnoteReference"/>
        </w:rPr>
        <w:footnoteRef/>
      </w:r>
      <w:r>
        <w:t xml:space="preserve"> They increase their equipment costs by 70% to estimate the CAPEX for “engineering, procurement, and construction costs” (</w:t>
      </w:r>
      <w:r>
        <w:rPr>
          <w:lang w:eastAsia="en-GB"/>
        </w:rPr>
        <w:t>IEA, 2021</w:t>
      </w:r>
      <w:r>
        <w:t>). Our estimates increase the equipment costs well over 100% to estimate the additional costs of more cost factors such as site improvements, contingency, legal expenses, and contractor fees, among others (see section B).</w:t>
      </w:r>
    </w:p>
  </w:footnote>
  <w:footnote w:id="11">
    <w:p w14:paraId="1FC92A67" w14:textId="3F48BBF9" w:rsidR="004059AC" w:rsidRPr="004059AC" w:rsidRDefault="004059AC">
      <w:pPr>
        <w:pStyle w:val="FootnoteText"/>
        <w:rPr>
          <w:sz w:val="16"/>
          <w:szCs w:val="16"/>
        </w:rPr>
      </w:pPr>
      <w:r>
        <w:rPr>
          <w:rStyle w:val="FootnoteReference"/>
        </w:rPr>
        <w:footnoteRef/>
      </w:r>
      <w:r>
        <w:t xml:space="preserve"> </w:t>
      </w:r>
      <w:r w:rsidRPr="00614900">
        <w:rPr>
          <w:sz w:val="16"/>
          <w:szCs w:val="16"/>
        </w:rPr>
        <w:t>Owing to the scale at which we model the AP plants, 2717 TPD NH3, the electricity requirements we report are large. An ammonia plant of this size is on the larger end of US AP (</w:t>
      </w:r>
      <w:r w:rsidRPr="00614900">
        <w:rPr>
          <w:rFonts w:asciiTheme="minorHAnsi" w:hAnsiTheme="minorHAnsi" w:cstheme="minorHAnsi"/>
          <w:sz w:val="16"/>
          <w:szCs w:val="16"/>
        </w:rPr>
        <w:t>Amhamed et al., 2022</w:t>
      </w:r>
      <w:r w:rsidRPr="00614900">
        <w:rPr>
          <w:sz w:val="16"/>
          <w:szCs w:val="16"/>
        </w:rPr>
        <w:t>). More details are in SI</w:t>
      </w:r>
      <w:r>
        <w:rPr>
          <w:sz w:val="16"/>
          <w:szCs w:val="16"/>
        </w:rPr>
        <w:t xml:space="preserve"> A and B.</w:t>
      </w:r>
    </w:p>
  </w:footnote>
  <w:footnote w:id="12">
    <w:p w14:paraId="3F232A50" w14:textId="08318CF5" w:rsidR="004059AC" w:rsidRDefault="004059AC">
      <w:pPr>
        <w:pStyle w:val="FootnoteText"/>
      </w:pPr>
      <w:r>
        <w:rPr>
          <w:rStyle w:val="FootnoteReference"/>
        </w:rPr>
        <w:footnoteRef/>
      </w:r>
      <w:r>
        <w:t xml:space="preserve"> </w:t>
      </w:r>
      <w:r w:rsidRPr="00614900">
        <w:rPr>
          <w:sz w:val="16"/>
          <w:szCs w:val="16"/>
        </w:rPr>
        <w:t>In the conventional SMR process, excess high-pressure steam is generated. This steam can be sold or used to generate power. In the case of AP CCS, the high-pressure steam is used to regenerate the amine-based solvent that captures the CO</w:t>
      </w:r>
      <w:r w:rsidRPr="00614900">
        <w:rPr>
          <w:sz w:val="16"/>
          <w:szCs w:val="16"/>
          <w:vertAlign w:val="subscript"/>
        </w:rPr>
        <w:t>2</w:t>
      </w:r>
      <w:r w:rsidRPr="00614900">
        <w:rPr>
          <w:sz w:val="16"/>
          <w:szCs w:val="16"/>
        </w:rPr>
        <w:t xml:space="preserve"> (Lewis et al, 2022; IEAGHG, 2017). Losing the steam energy, AP CCS cannot use that energy across other unit operations.</w:t>
      </w:r>
    </w:p>
  </w:footnote>
  <w:footnote w:id="13">
    <w:p w14:paraId="19FC07F9" w14:textId="3C4677F3" w:rsidR="004059AC" w:rsidRPr="004059AC" w:rsidRDefault="004059AC">
      <w:pPr>
        <w:pStyle w:val="FootnoteText"/>
        <w:rPr>
          <w:sz w:val="16"/>
          <w:szCs w:val="16"/>
        </w:rPr>
      </w:pPr>
      <w:r>
        <w:rPr>
          <w:rStyle w:val="FootnoteReference"/>
        </w:rPr>
        <w:footnoteRef/>
      </w:r>
      <w:r>
        <w:t xml:space="preserve"> </w:t>
      </w:r>
      <w:r w:rsidRPr="0060150A">
        <w:rPr>
          <w:sz w:val="16"/>
          <w:szCs w:val="16"/>
        </w:rPr>
        <w:t xml:space="preserve">The project lifetime of wind farm projects is typically in the 20 year range. Since our AP model is 40 years, we make some assumptions regarding replacement costs of the wind turbines after the 20 year mark (see </w:t>
      </w:r>
      <w:r>
        <w:rPr>
          <w:sz w:val="16"/>
          <w:szCs w:val="16"/>
        </w:rPr>
        <w:t>SI</w:t>
      </w:r>
      <w:r w:rsidRPr="0060150A">
        <w:rPr>
          <w:sz w:val="16"/>
          <w:szCs w:val="16"/>
        </w:rPr>
        <w:t xml:space="preserve"> E).</w:t>
      </w:r>
    </w:p>
  </w:footnote>
  <w:footnote w:id="14">
    <w:p w14:paraId="5B1BD796" w14:textId="21A81406" w:rsidR="004059AC" w:rsidRDefault="004059AC">
      <w:pPr>
        <w:pStyle w:val="FootnoteText"/>
      </w:pPr>
      <w:r>
        <w:rPr>
          <w:rStyle w:val="FootnoteReference"/>
        </w:rPr>
        <w:footnoteRef/>
      </w:r>
      <w:r>
        <w:t xml:space="preserve"> </w:t>
      </w:r>
      <w:r w:rsidRPr="00BC1477">
        <w:rPr>
          <w:sz w:val="16"/>
          <w:szCs w:val="16"/>
        </w:rPr>
        <w:t>Unsteady state operation of the Haber-Bosch process negatively affects its performance (Armijo &amp; Philibert, 2020). The Haber-Bosch process is designed to operate at a steady state (and we assume steady state) – under a biomass feedstock, this condition may not be the case.</w:t>
      </w:r>
    </w:p>
  </w:footnote>
  <w:footnote w:id="15">
    <w:p w14:paraId="410C1A58" w14:textId="77777777" w:rsidR="004059AC" w:rsidRDefault="004059AC" w:rsidP="004059AC">
      <w:pPr>
        <w:pStyle w:val="FootnoteText"/>
      </w:pPr>
      <w:r>
        <w:rPr>
          <w:rStyle w:val="FootnoteReference"/>
        </w:rPr>
        <w:footnoteRef/>
      </w:r>
      <w:r>
        <w:t xml:space="preserve"> </w:t>
      </w:r>
      <w:r w:rsidRPr="00151637">
        <w:rPr>
          <w:sz w:val="16"/>
          <w:szCs w:val="16"/>
        </w:rPr>
        <w:t xml:space="preserve">For example, CCS demonstration projects cost on the order of US$1 billion each – hence the number of projects is low (Reiner, 2016; Scott et al., 2013). The driver of the learning rate is the number of units deployed among other factors. </w:t>
      </w:r>
    </w:p>
  </w:footnote>
  <w:footnote w:id="16">
    <w:p w14:paraId="7E20F337" w14:textId="77777777" w:rsidR="004059AC" w:rsidRPr="00C81E52" w:rsidRDefault="004059AC" w:rsidP="004059AC">
      <w:pPr>
        <w:pBdr>
          <w:top w:val="nil"/>
          <w:left w:val="nil"/>
          <w:bottom w:val="nil"/>
          <w:right w:val="nil"/>
          <w:between w:val="nil"/>
        </w:pBdr>
        <w:spacing w:after="0" w:line="240" w:lineRule="auto"/>
        <w:rPr>
          <w:color w:val="000000"/>
          <w:sz w:val="16"/>
          <w:szCs w:val="16"/>
        </w:rPr>
      </w:pPr>
      <w:r w:rsidRPr="00C81E52">
        <w:rPr>
          <w:rStyle w:val="FootnoteReference"/>
          <w:sz w:val="16"/>
          <w:szCs w:val="16"/>
        </w:rPr>
        <w:footnoteRef/>
      </w:r>
      <w:r w:rsidRPr="00C81E52">
        <w:rPr>
          <w:color w:val="000000"/>
          <w:sz w:val="16"/>
          <w:szCs w:val="16"/>
        </w:rPr>
        <w:t xml:space="preserve"> This effect has been studied before. The interested reader might look at an interesting study regarding investor optionality in green vehicle investment by Dimanchev et al. (2023).</w:t>
      </w:r>
    </w:p>
  </w:footnote>
  <w:footnote w:id="17">
    <w:p w14:paraId="511F906C" w14:textId="77777777" w:rsidR="004059AC" w:rsidRDefault="004059AC" w:rsidP="004059AC">
      <w:pPr>
        <w:pStyle w:val="FootnoteText"/>
      </w:pPr>
      <w:r w:rsidRPr="00C81E52">
        <w:rPr>
          <w:rStyle w:val="FootnoteReference"/>
          <w:sz w:val="16"/>
          <w:szCs w:val="16"/>
        </w:rPr>
        <w:footnoteRef/>
      </w:r>
      <w:r w:rsidRPr="00C81E52">
        <w:rPr>
          <w:sz w:val="16"/>
          <w:szCs w:val="16"/>
        </w:rPr>
        <w:t xml:space="preserve"> </w:t>
      </w:r>
      <w:bookmarkStart w:id="114" w:name="_Hlk147957889"/>
      <w:r w:rsidRPr="00C81E52">
        <w:rPr>
          <w:sz w:val="16"/>
          <w:szCs w:val="16"/>
        </w:rPr>
        <w:t>This value was calculated by increasing the highest tranche of 45V credits ($3/kg) until 2026C AP AEC’s NPV matches 2033C AP AEC’s NPV.</w:t>
      </w:r>
      <w:bookmarkEnd w:id="114"/>
    </w:p>
  </w:footnote>
  <w:footnote w:id="18">
    <w:p w14:paraId="2572CFE3" w14:textId="05CAE9EF" w:rsidR="001339DD" w:rsidRDefault="001339DD" w:rsidP="001339DD">
      <w:pPr>
        <w:pStyle w:val="FootnoteText"/>
      </w:pPr>
      <w:r>
        <w:rPr>
          <w:rStyle w:val="FootnoteReference"/>
        </w:rPr>
        <w:footnoteRef/>
      </w:r>
      <w:r>
        <w:t xml:space="preserve"> 50-60% ITC can be achieved by being in (i) an energy community, and (ii) meeting domestic manufacturing requirements– where each criteria met will result in a 10% ITC increment (IRA, 2022). </w:t>
      </w:r>
    </w:p>
  </w:footnote>
  <w:footnote w:id="19">
    <w:p w14:paraId="7930A642" w14:textId="77777777" w:rsidR="001339DD" w:rsidRDefault="001339DD" w:rsidP="001339DD">
      <w:pPr>
        <w:pStyle w:val="FootnoteText"/>
      </w:pPr>
      <w:r>
        <w:rPr>
          <w:rStyle w:val="FootnoteReference"/>
        </w:rPr>
        <w:footnoteRef/>
      </w:r>
      <w:r>
        <w:t xml:space="preserve"> The locations mapped to the capacity factors correspond to the largest operational AP plants in the US. Some plants, like the complex in Donaldsonville – also the largest ammonia production complex in the world – has a low annual capacity factor of 18%. Other facilities, like the Woodward complex by CF Industries, have capacity factors upwards of 46% (Pfenninger &amp; Staffell, 2016). We capture this variability in the upper and lower bound of the wind-farm and battery capacity input variables. </w:t>
      </w:r>
    </w:p>
  </w:footnote>
  <w:footnote w:id="20">
    <w:p w14:paraId="700E4002" w14:textId="77777777" w:rsidR="001339DD" w:rsidRDefault="001339DD" w:rsidP="001339DD">
      <w:pPr>
        <w:pStyle w:val="FootnoteText"/>
      </w:pPr>
      <w:r>
        <w:rPr>
          <w:rStyle w:val="FootnoteReference"/>
        </w:rPr>
        <w:footnoteRef/>
      </w:r>
      <w:r>
        <w:t xml:space="preserve"> The extent of this neutralization depends on actual grid condtions which varies from one location to another and from one hour to another. We did not attempt to model this issue at this level of precision so leave this for future research</w:t>
      </w:r>
    </w:p>
  </w:footnote>
  <w:footnote w:id="21">
    <w:p w14:paraId="73CB3CA5" w14:textId="77777777" w:rsidR="001339DD" w:rsidRPr="00C859DF" w:rsidRDefault="001339DD" w:rsidP="001339DD">
      <w:pPr>
        <w:spacing w:line="240" w:lineRule="auto"/>
        <w:rPr>
          <w:sz w:val="16"/>
          <w:szCs w:val="16"/>
        </w:rPr>
      </w:pPr>
      <w:r w:rsidRPr="00C859DF">
        <w:rPr>
          <w:rStyle w:val="FootnoteReference"/>
          <w:sz w:val="16"/>
          <w:szCs w:val="16"/>
        </w:rPr>
        <w:footnoteRef/>
      </w:r>
      <w:r w:rsidRPr="00C859DF">
        <w:rPr>
          <w:sz w:val="16"/>
          <w:szCs w:val="16"/>
        </w:rPr>
        <w:t xml:space="preserve"> We assume 2019 capacity factors for all years of our analysis. The deterministic capacity factor allowed us to make this problem tractable across 40 years – especially for hourly matching. Therefore, it is likely our results are an underestimation of hourly matching costs because the design of the wind farm and battery system should be envisioned to be robust to extreme scenarios across the 40-year lifespan. </w:t>
      </w:r>
    </w:p>
  </w:footnote>
  <w:footnote w:id="22">
    <w:p w14:paraId="56E26B3E" w14:textId="77777777" w:rsidR="001339DD" w:rsidRPr="00C859DF" w:rsidRDefault="001339DD" w:rsidP="001339DD">
      <w:pPr>
        <w:pStyle w:val="FootnoteText"/>
        <w:rPr>
          <w:sz w:val="16"/>
          <w:szCs w:val="16"/>
        </w:rPr>
      </w:pPr>
      <w:r w:rsidRPr="00C859DF">
        <w:rPr>
          <w:rStyle w:val="FootnoteReference"/>
          <w:sz w:val="16"/>
          <w:szCs w:val="16"/>
        </w:rPr>
        <w:footnoteRef/>
      </w:r>
      <w:r w:rsidRPr="00C859DF">
        <w:rPr>
          <w:sz w:val="16"/>
          <w:szCs w:val="16"/>
        </w:rPr>
        <w:t xml:space="preserve"> In this study we assume the capacity factor for each year is constant and equal to the hourly capacity factors of the 2019 data we use to size the hybrid wind farm (see</w:t>
      </w:r>
      <w:r>
        <w:rPr>
          <w:sz w:val="16"/>
          <w:szCs w:val="16"/>
        </w:rPr>
        <w:t xml:space="preserve"> section D</w:t>
      </w:r>
      <w:r w:rsidRPr="00C859DF">
        <w:rPr>
          <w:sz w:val="16"/>
          <w:szCs w:val="16"/>
        </w:rPr>
        <w:t xml:space="preserve">) (Pfenninger et al., 2016). </w:t>
      </w:r>
    </w:p>
  </w:footnote>
  <w:footnote w:id="23">
    <w:p w14:paraId="4739198B" w14:textId="77777777" w:rsidR="001339DD" w:rsidRDefault="001339DD" w:rsidP="001339DD">
      <w:pPr>
        <w:pStyle w:val="FootnoteText"/>
      </w:pPr>
      <w:r w:rsidRPr="00C859DF">
        <w:rPr>
          <w:rStyle w:val="FootnoteReference"/>
          <w:sz w:val="16"/>
          <w:szCs w:val="16"/>
        </w:rPr>
        <w:footnoteRef/>
      </w:r>
      <w:r w:rsidRPr="00C859DF">
        <w:rPr>
          <w:sz w:val="16"/>
          <w:szCs w:val="16"/>
        </w:rPr>
        <w:t xml:space="preserve"> Across all capacity factor datasets, 15.7% of hourly data points are below 0.05 capacity factor. 5.8% of data points are below 0.01 capacity factor.</w:t>
      </w:r>
    </w:p>
  </w:footnote>
  <w:footnote w:id="24">
    <w:p w14:paraId="31044C74" w14:textId="77777777" w:rsidR="001339DD" w:rsidRPr="00D74A3D" w:rsidRDefault="001339DD" w:rsidP="001339DD">
      <w:pPr>
        <w:pStyle w:val="FootnoteText"/>
        <w:rPr>
          <w:sz w:val="16"/>
          <w:szCs w:val="16"/>
        </w:rPr>
      </w:pPr>
      <w:r w:rsidRPr="00D74A3D">
        <w:rPr>
          <w:rStyle w:val="FootnoteReference"/>
          <w:sz w:val="16"/>
          <w:szCs w:val="16"/>
        </w:rPr>
        <w:footnoteRef/>
      </w:r>
      <w:r w:rsidRPr="00D74A3D">
        <w:rPr>
          <w:sz w:val="16"/>
          <w:szCs w:val="16"/>
        </w:rPr>
        <w:t xml:space="preserve"> We acknowledge that one of the limitations of our study is that we exclude solar and hydrogen storage. These technology alternatives may bridge the gap between AP AEC and AP SMR. However, the degree to which hydrogen storage or solar helps bridge the gap depends on the cost. PVs are as costly as wind and are less efficient and hydrogen storage is known to be relatively expensive as well. We leave this question for future research. </w:t>
      </w:r>
    </w:p>
  </w:footnote>
  <w:footnote w:id="25">
    <w:p w14:paraId="0CF5BF2F" w14:textId="77777777" w:rsidR="001339DD" w:rsidRPr="00D74A3D" w:rsidRDefault="001339DD" w:rsidP="001339DD">
      <w:pPr>
        <w:pStyle w:val="FootnoteText"/>
        <w:rPr>
          <w:sz w:val="16"/>
          <w:szCs w:val="16"/>
        </w:rPr>
      </w:pPr>
      <w:r w:rsidRPr="00D74A3D">
        <w:rPr>
          <w:rStyle w:val="FootnoteReference"/>
          <w:sz w:val="16"/>
          <w:szCs w:val="16"/>
        </w:rPr>
        <w:footnoteRef/>
      </w:r>
      <w:r w:rsidRPr="00D74A3D">
        <w:rPr>
          <w:sz w:val="16"/>
          <w:szCs w:val="16"/>
        </w:rPr>
        <w:t xml:space="preserve"> Bearing in mind our consistent use of a 2% discount rate for the social cost of carbon.</w:t>
      </w:r>
    </w:p>
  </w:footnote>
  <w:footnote w:id="26">
    <w:p w14:paraId="4AB414A9" w14:textId="77777777" w:rsidR="001339DD" w:rsidRDefault="001339DD" w:rsidP="001339DD">
      <w:pPr>
        <w:pStyle w:val="FootnoteText"/>
      </w:pPr>
      <w:r w:rsidRPr="00D74A3D">
        <w:rPr>
          <w:rStyle w:val="FootnoteReference"/>
          <w:sz w:val="16"/>
          <w:szCs w:val="16"/>
        </w:rPr>
        <w:footnoteRef/>
      </w:r>
      <w:r w:rsidRPr="00D74A3D">
        <w:rPr>
          <w:sz w:val="16"/>
          <w:szCs w:val="16"/>
        </w:rPr>
        <w:t xml:space="preserve"> We compare the CAC of scenario B only because scenario B’s CAC encompasses the total policy support for the entire system (AP and hybrid wind farm). Scenario C only accounts for the AP plant.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6CDE"/>
    <w:multiLevelType w:val="hybridMultilevel"/>
    <w:tmpl w:val="94FA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91F6E"/>
    <w:multiLevelType w:val="multilevel"/>
    <w:tmpl w:val="1A9AF8AA"/>
    <w:lvl w:ilvl="0">
      <w:start w:val="4"/>
      <w:numFmt w:val="upperLetter"/>
      <w:lvlText w:val="%1."/>
      <w:lvlJc w:val="left"/>
      <w:pPr>
        <w:ind w:left="360" w:hanging="360"/>
      </w:pPr>
      <w:rPr>
        <w:rFonts w:hint="default"/>
      </w:rPr>
    </w:lvl>
    <w:lvl w:ilvl="1">
      <w:start w:val="1"/>
      <w:numFmt w:val="decimal"/>
      <w:lvlText w:val="%1.%2."/>
      <w:lvlJc w:val="left"/>
      <w:pPr>
        <w:tabs>
          <w:tab w:val="num" w:pos="1296"/>
        </w:tabs>
        <w:ind w:left="634" w:hanging="4"/>
      </w:pPr>
      <w:rPr>
        <w:rFonts w:hint="default"/>
      </w:rPr>
    </w:lvl>
    <w:lvl w:ilvl="2">
      <w:start w:val="1"/>
      <w:numFmt w:val="decimal"/>
      <w:lvlText w:val="%1.%2.%3."/>
      <w:lvlJc w:val="left"/>
      <w:pPr>
        <w:tabs>
          <w:tab w:val="num" w:pos="360"/>
        </w:tabs>
        <w:ind w:left="1080" w:hanging="360"/>
      </w:pPr>
      <w:rPr>
        <w:rFonts w:hint="default"/>
      </w:rPr>
    </w:lvl>
    <w:lvl w:ilvl="3">
      <w:start w:val="1"/>
      <w:numFmt w:val="decimal"/>
      <w:lvlText w:val="%1.%2.%3.%4."/>
      <w:lvlJc w:val="left"/>
      <w:pPr>
        <w:tabs>
          <w:tab w:val="num" w:pos="1080"/>
        </w:tabs>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 w15:restartNumberingAfterBreak="0">
    <w:nsid w:val="20161316"/>
    <w:multiLevelType w:val="multilevel"/>
    <w:tmpl w:val="4256438A"/>
    <w:lvl w:ilvl="0">
      <w:start w:val="1"/>
      <w:numFmt w:val="upp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229A2D0E"/>
    <w:multiLevelType w:val="hybridMultilevel"/>
    <w:tmpl w:val="3758B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040B4"/>
    <w:multiLevelType w:val="hybridMultilevel"/>
    <w:tmpl w:val="01E2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534CD5"/>
    <w:multiLevelType w:val="multilevel"/>
    <w:tmpl w:val="841834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A64579D"/>
    <w:multiLevelType w:val="multilevel"/>
    <w:tmpl w:val="2592D542"/>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D7A1F31"/>
    <w:multiLevelType w:val="multilevel"/>
    <w:tmpl w:val="788E7896"/>
    <w:lvl w:ilvl="0">
      <w:start w:val="2"/>
      <w:numFmt w:val="upperLetter"/>
      <w:lvlText w:val="%1."/>
      <w:lvlJc w:val="left"/>
      <w:pPr>
        <w:ind w:left="360" w:hanging="360"/>
      </w:pPr>
      <w:rPr>
        <w:rFonts w:hint="default"/>
      </w:rPr>
    </w:lvl>
    <w:lvl w:ilvl="1">
      <w:start w:val="1"/>
      <w:numFmt w:val="decimal"/>
      <w:lvlText w:val="%1.%2."/>
      <w:lvlJc w:val="left"/>
      <w:pPr>
        <w:ind w:left="882" w:hanging="432"/>
      </w:pPr>
      <w:rPr>
        <w:rFonts w:hint="default"/>
      </w:rPr>
    </w:lvl>
    <w:lvl w:ilvl="2">
      <w:start w:val="1"/>
      <w:numFmt w:val="decimal"/>
      <w:lvlText w:val="%1.%2.%3."/>
      <w:lvlJc w:val="left"/>
      <w:pPr>
        <w:tabs>
          <w:tab w:val="num" w:pos="1224"/>
        </w:tabs>
        <w:ind w:left="1224" w:hanging="720"/>
      </w:pPr>
      <w:rPr>
        <w:rFonts w:hint="default"/>
      </w:rPr>
    </w:lvl>
    <w:lvl w:ilvl="3">
      <w:start w:val="1"/>
      <w:numFmt w:val="decimal"/>
      <w:lvlText w:val="%1.%2.%3.%4."/>
      <w:lvlJc w:val="left"/>
      <w:pPr>
        <w:ind w:left="2056" w:hanging="616"/>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4"/>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400C3F62"/>
    <w:multiLevelType w:val="hybridMultilevel"/>
    <w:tmpl w:val="A986E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7748A1"/>
    <w:multiLevelType w:val="hybridMultilevel"/>
    <w:tmpl w:val="A770125A"/>
    <w:lvl w:ilvl="0" w:tplc="8F123842">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8153EF"/>
    <w:multiLevelType w:val="hybridMultilevel"/>
    <w:tmpl w:val="97B6CD7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4C3B3E5E"/>
    <w:multiLevelType w:val="multilevel"/>
    <w:tmpl w:val="F1481AA0"/>
    <w:lvl w:ilvl="0">
      <w:start w:val="1"/>
      <w:numFmt w:val="upperLetter"/>
      <w:pStyle w:val="Heading2"/>
      <w:lvlText w:val="%1."/>
      <w:lvlJc w:val="left"/>
      <w:pPr>
        <w:ind w:left="360" w:hanging="360"/>
      </w:pPr>
      <w:rPr>
        <w:rFonts w:hint="default"/>
      </w:rPr>
    </w:lvl>
    <w:lvl w:ilvl="1">
      <w:start w:val="1"/>
      <w:numFmt w:val="decimal"/>
      <w:pStyle w:val="Heading3"/>
      <w:lvlText w:val="%1.%2."/>
      <w:lvlJc w:val="left"/>
      <w:pPr>
        <w:ind w:left="792" w:hanging="432"/>
      </w:pPr>
    </w:lvl>
    <w:lvl w:ilvl="2">
      <w:start w:val="1"/>
      <w:numFmt w:val="decimal"/>
      <w:pStyle w:val="Heading4"/>
      <w:lvlText w:val="%1.%2.%3."/>
      <w:lvlJc w:val="left"/>
      <w:pPr>
        <w:ind w:left="1440" w:hanging="720"/>
      </w:pPr>
      <w:rPr>
        <w:rFonts w:hint="default"/>
      </w:rPr>
    </w:lvl>
    <w:lvl w:ilvl="3">
      <w:start w:val="1"/>
      <w:numFmt w:val="decimal"/>
      <w:pStyle w:val="Heading5"/>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F4D77F5"/>
    <w:multiLevelType w:val="hybridMultilevel"/>
    <w:tmpl w:val="3A2C103A"/>
    <w:lvl w:ilvl="0" w:tplc="24262F2C">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D1252E"/>
    <w:multiLevelType w:val="hybridMultilevel"/>
    <w:tmpl w:val="0E90EBC8"/>
    <w:lvl w:ilvl="0" w:tplc="24262F2C">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E3482E"/>
    <w:multiLevelType w:val="hybridMultilevel"/>
    <w:tmpl w:val="ADBEC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0A52B3"/>
    <w:multiLevelType w:val="multilevel"/>
    <w:tmpl w:val="2592D542"/>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8F1246A"/>
    <w:multiLevelType w:val="multilevel"/>
    <w:tmpl w:val="BE0680A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440" w:hanging="1080"/>
      </w:pPr>
      <w:rPr>
        <w:b w:val="0"/>
        <w:bCs/>
      </w:rPr>
    </w:lvl>
    <w:lvl w:ilvl="3">
      <w:start w:val="1"/>
      <w:numFmt w:val="decimal"/>
      <w:lvlText w:val="%1.%2.%3.%4."/>
      <w:lvlJc w:val="left"/>
      <w:pPr>
        <w:ind w:left="1800" w:hanging="144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880" w:hanging="2520"/>
      </w:pPr>
    </w:lvl>
    <w:lvl w:ilvl="8">
      <w:start w:val="1"/>
      <w:numFmt w:val="decimal"/>
      <w:lvlText w:val="%1.%2.%3.%4.%5.%6.%7.%8.%9."/>
      <w:lvlJc w:val="left"/>
      <w:pPr>
        <w:ind w:left="2880" w:hanging="2520"/>
      </w:pPr>
    </w:lvl>
  </w:abstractNum>
  <w:abstractNum w:abstractNumId="17" w15:restartNumberingAfterBreak="0">
    <w:nsid w:val="69D273F8"/>
    <w:multiLevelType w:val="hybridMultilevel"/>
    <w:tmpl w:val="9D484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6C4B3B"/>
    <w:multiLevelType w:val="hybridMultilevel"/>
    <w:tmpl w:val="77AC6FC0"/>
    <w:lvl w:ilvl="0" w:tplc="8774019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205725"/>
    <w:multiLevelType w:val="hybridMultilevel"/>
    <w:tmpl w:val="E49C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3D27FA"/>
    <w:multiLevelType w:val="hybridMultilevel"/>
    <w:tmpl w:val="C7A0F4F6"/>
    <w:lvl w:ilvl="0" w:tplc="0EC05972">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D230E5"/>
    <w:multiLevelType w:val="hybridMultilevel"/>
    <w:tmpl w:val="1D689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5710806">
    <w:abstractNumId w:val="11"/>
  </w:num>
  <w:num w:numId="2" w16cid:durableId="1981304670">
    <w:abstractNumId w:val="7"/>
  </w:num>
  <w:num w:numId="3" w16cid:durableId="75802172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9881918">
    <w:abstractNumId w:val="1"/>
  </w:num>
  <w:num w:numId="5" w16cid:durableId="1858302734">
    <w:abstractNumId w:val="2"/>
  </w:num>
  <w:num w:numId="6" w16cid:durableId="1959489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0314615">
    <w:abstractNumId w:val="6"/>
  </w:num>
  <w:num w:numId="8" w16cid:durableId="225461320">
    <w:abstractNumId w:val="15"/>
  </w:num>
  <w:num w:numId="9" w16cid:durableId="1606033869">
    <w:abstractNumId w:val="21"/>
  </w:num>
  <w:num w:numId="10" w16cid:durableId="1526670642">
    <w:abstractNumId w:val="14"/>
  </w:num>
  <w:num w:numId="11" w16cid:durableId="1654527103">
    <w:abstractNumId w:val="4"/>
  </w:num>
  <w:num w:numId="12" w16cid:durableId="2006013368">
    <w:abstractNumId w:val="3"/>
  </w:num>
  <w:num w:numId="13" w16cid:durableId="11267034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681417">
    <w:abstractNumId w:val="10"/>
  </w:num>
  <w:num w:numId="15" w16cid:durableId="1370258819">
    <w:abstractNumId w:val="17"/>
  </w:num>
  <w:num w:numId="16" w16cid:durableId="13550342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3620751">
    <w:abstractNumId w:val="0"/>
  </w:num>
  <w:num w:numId="18" w16cid:durableId="82847105">
    <w:abstractNumId w:val="19"/>
  </w:num>
  <w:num w:numId="19" w16cid:durableId="164828867">
    <w:abstractNumId w:val="20"/>
  </w:num>
  <w:num w:numId="20" w16cid:durableId="2035183845">
    <w:abstractNumId w:val="9"/>
  </w:num>
  <w:num w:numId="21" w16cid:durableId="117453170">
    <w:abstractNumId w:val="12"/>
  </w:num>
  <w:num w:numId="22" w16cid:durableId="973027171">
    <w:abstractNumId w:val="13"/>
  </w:num>
  <w:num w:numId="23" w16cid:durableId="740642403">
    <w:abstractNumId w:val="8"/>
  </w:num>
  <w:num w:numId="24" w16cid:durableId="233778438">
    <w:abstractNumId w:val="18"/>
  </w:num>
  <w:num w:numId="25" w16cid:durableId="1393966177">
    <w:abstractNumId w:val="16"/>
  </w:num>
  <w:num w:numId="26" w16cid:durableId="1087507038">
    <w:abstractNumId w:val="5"/>
  </w:num>
  <w:num w:numId="27" w16cid:durableId="529535673">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82613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071"/>
    <w:rsid w:val="0001079C"/>
    <w:rsid w:val="000514CF"/>
    <w:rsid w:val="001339DD"/>
    <w:rsid w:val="001574C4"/>
    <w:rsid w:val="0019533E"/>
    <w:rsid w:val="001D7305"/>
    <w:rsid w:val="00242138"/>
    <w:rsid w:val="00290D67"/>
    <w:rsid w:val="002B65CA"/>
    <w:rsid w:val="002F5375"/>
    <w:rsid w:val="00325310"/>
    <w:rsid w:val="003449BF"/>
    <w:rsid w:val="00380D87"/>
    <w:rsid w:val="00396A9C"/>
    <w:rsid w:val="003C61D3"/>
    <w:rsid w:val="003E0002"/>
    <w:rsid w:val="003E2F8D"/>
    <w:rsid w:val="003E7B08"/>
    <w:rsid w:val="00403A61"/>
    <w:rsid w:val="004059AC"/>
    <w:rsid w:val="00433FD7"/>
    <w:rsid w:val="00454FE2"/>
    <w:rsid w:val="0046043C"/>
    <w:rsid w:val="00470C46"/>
    <w:rsid w:val="004853CE"/>
    <w:rsid w:val="004A6C98"/>
    <w:rsid w:val="0050752A"/>
    <w:rsid w:val="0057408A"/>
    <w:rsid w:val="00597762"/>
    <w:rsid w:val="005B2AC8"/>
    <w:rsid w:val="005D2839"/>
    <w:rsid w:val="005F027A"/>
    <w:rsid w:val="006375E9"/>
    <w:rsid w:val="0064362E"/>
    <w:rsid w:val="00665064"/>
    <w:rsid w:val="00671D55"/>
    <w:rsid w:val="0067358D"/>
    <w:rsid w:val="00681342"/>
    <w:rsid w:val="006864F3"/>
    <w:rsid w:val="006C18FE"/>
    <w:rsid w:val="006F7AE5"/>
    <w:rsid w:val="007256C3"/>
    <w:rsid w:val="007500EB"/>
    <w:rsid w:val="00750402"/>
    <w:rsid w:val="007C177A"/>
    <w:rsid w:val="007E233D"/>
    <w:rsid w:val="00802EAA"/>
    <w:rsid w:val="008155BD"/>
    <w:rsid w:val="008270B1"/>
    <w:rsid w:val="008C4DC1"/>
    <w:rsid w:val="008F6B6D"/>
    <w:rsid w:val="00990AC0"/>
    <w:rsid w:val="009967A4"/>
    <w:rsid w:val="009D77A1"/>
    <w:rsid w:val="00A05F79"/>
    <w:rsid w:val="00A24EB3"/>
    <w:rsid w:val="00A326C2"/>
    <w:rsid w:val="00A61D93"/>
    <w:rsid w:val="00A70E91"/>
    <w:rsid w:val="00A83749"/>
    <w:rsid w:val="00AB49EF"/>
    <w:rsid w:val="00AC5071"/>
    <w:rsid w:val="00AC7231"/>
    <w:rsid w:val="00AD5705"/>
    <w:rsid w:val="00AE2B91"/>
    <w:rsid w:val="00B1060A"/>
    <w:rsid w:val="00B2135F"/>
    <w:rsid w:val="00B40BD3"/>
    <w:rsid w:val="00B7348E"/>
    <w:rsid w:val="00BD6A64"/>
    <w:rsid w:val="00C02B34"/>
    <w:rsid w:val="00C33E8C"/>
    <w:rsid w:val="00C54C3E"/>
    <w:rsid w:val="00D2726E"/>
    <w:rsid w:val="00D402D9"/>
    <w:rsid w:val="00D800F0"/>
    <w:rsid w:val="00DA5071"/>
    <w:rsid w:val="00DA7E40"/>
    <w:rsid w:val="00DF2228"/>
    <w:rsid w:val="00E54676"/>
    <w:rsid w:val="00E611E8"/>
    <w:rsid w:val="00E70D4C"/>
    <w:rsid w:val="00EA7652"/>
    <w:rsid w:val="00EE3C1F"/>
    <w:rsid w:val="00F0760D"/>
    <w:rsid w:val="00F21F79"/>
    <w:rsid w:val="00F7791E"/>
    <w:rsid w:val="00F80F95"/>
    <w:rsid w:val="00F82D8D"/>
    <w:rsid w:val="00F912B2"/>
    <w:rsid w:val="00F959C1"/>
    <w:rsid w:val="00FD5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3EA94B"/>
  <w15:docId w15:val="{83911ABE-F4A9-4B19-9AD6-5F645B6E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A52"/>
  </w:style>
  <w:style w:type="paragraph" w:styleId="Heading1">
    <w:name w:val="heading 1"/>
    <w:basedOn w:val="Title"/>
    <w:next w:val="Normal"/>
    <w:link w:val="Heading1Char"/>
    <w:uiPriority w:val="9"/>
    <w:qFormat/>
    <w:rsid w:val="006864F3"/>
    <w:pPr>
      <w:jc w:val="center"/>
      <w:outlineLvl w:val="0"/>
    </w:pPr>
    <w:rPr>
      <w:rFonts w:ascii="Calibri" w:eastAsia="Calibri" w:hAnsi="Calibri" w:cs="Calibri"/>
      <w:bCs w:val="0"/>
    </w:rPr>
  </w:style>
  <w:style w:type="paragraph" w:styleId="Heading2">
    <w:name w:val="heading 2"/>
    <w:basedOn w:val="Heading1"/>
    <w:next w:val="Normal"/>
    <w:link w:val="Heading2Char"/>
    <w:uiPriority w:val="9"/>
    <w:unhideWhenUsed/>
    <w:qFormat/>
    <w:rsid w:val="00531678"/>
    <w:pPr>
      <w:numPr>
        <w:numId w:val="1"/>
      </w:numPr>
      <w:jc w:val="left"/>
      <w:outlineLvl w:val="1"/>
    </w:pPr>
  </w:style>
  <w:style w:type="paragraph" w:styleId="Heading3">
    <w:name w:val="heading 3"/>
    <w:basedOn w:val="Normal"/>
    <w:next w:val="Normal"/>
    <w:link w:val="Heading3Char"/>
    <w:uiPriority w:val="9"/>
    <w:unhideWhenUsed/>
    <w:qFormat/>
    <w:rsid w:val="00531678"/>
    <w:pPr>
      <w:numPr>
        <w:ilvl w:val="1"/>
        <w:numId w:val="1"/>
      </w:numPr>
      <w:spacing w:after="0" w:line="240" w:lineRule="auto"/>
      <w:contextualSpacing/>
      <w:outlineLvl w:val="2"/>
    </w:pPr>
    <w:rPr>
      <w:b/>
      <w:spacing w:val="-10"/>
      <w:kern w:val="28"/>
      <w:sz w:val="24"/>
      <w:szCs w:val="24"/>
      <w:lang w:eastAsia="en-GB"/>
    </w:rPr>
  </w:style>
  <w:style w:type="paragraph" w:styleId="Heading4">
    <w:name w:val="heading 4"/>
    <w:basedOn w:val="Normal"/>
    <w:next w:val="Normal"/>
    <w:link w:val="Heading4Char"/>
    <w:uiPriority w:val="9"/>
    <w:unhideWhenUsed/>
    <w:qFormat/>
    <w:rsid w:val="006864F3"/>
    <w:pPr>
      <w:numPr>
        <w:ilvl w:val="2"/>
        <w:numId w:val="1"/>
      </w:numPr>
      <w:spacing w:after="0" w:line="240" w:lineRule="auto"/>
      <w:contextualSpacing/>
      <w:outlineLvl w:val="3"/>
    </w:pPr>
    <w:rPr>
      <w:b/>
      <w:spacing w:val="-10"/>
      <w:kern w:val="28"/>
      <w:sz w:val="24"/>
      <w:szCs w:val="24"/>
      <w:lang w:eastAsia="en-GB"/>
    </w:rPr>
  </w:style>
  <w:style w:type="paragraph" w:styleId="Heading5">
    <w:name w:val="heading 5"/>
    <w:basedOn w:val="Heading4"/>
    <w:next w:val="Normal"/>
    <w:link w:val="Heading5Char"/>
    <w:uiPriority w:val="9"/>
    <w:unhideWhenUsed/>
    <w:qFormat/>
    <w:rsid w:val="006864F3"/>
    <w:pPr>
      <w:numPr>
        <w:ilvl w:val="3"/>
      </w:numPr>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864F3"/>
    <w:pPr>
      <w:spacing w:after="0" w:line="240" w:lineRule="auto"/>
      <w:contextualSpacing/>
    </w:pPr>
    <w:rPr>
      <w:rFonts w:asciiTheme="minorHAnsi" w:eastAsiaTheme="majorEastAsia" w:hAnsiTheme="minorHAnsi" w:cstheme="minorHAnsi"/>
      <w:b/>
      <w:bCs/>
      <w:spacing w:val="-10"/>
      <w:kern w:val="28"/>
      <w:sz w:val="24"/>
      <w:szCs w:val="24"/>
      <w:lang w:eastAsia="en-GB"/>
    </w:rPr>
  </w:style>
  <w:style w:type="character" w:customStyle="1" w:styleId="TitleChar">
    <w:name w:val="Title Char"/>
    <w:basedOn w:val="DefaultParagraphFont"/>
    <w:link w:val="Title"/>
    <w:uiPriority w:val="10"/>
    <w:rsid w:val="006864F3"/>
    <w:rPr>
      <w:rFonts w:asciiTheme="minorHAnsi" w:eastAsiaTheme="majorEastAsia" w:hAnsiTheme="minorHAnsi" w:cstheme="minorHAnsi"/>
      <w:b/>
      <w:bCs/>
      <w:spacing w:val="-10"/>
      <w:kern w:val="28"/>
      <w:sz w:val="24"/>
      <w:szCs w:val="24"/>
      <w:lang w:eastAsia="en-GB"/>
    </w:rPr>
  </w:style>
  <w:style w:type="paragraph" w:styleId="NoSpacing">
    <w:name w:val="No Spacing"/>
    <w:uiPriority w:val="1"/>
    <w:qFormat/>
    <w:rsid w:val="003E2B2E"/>
    <w:pPr>
      <w:spacing w:after="0" w:line="240" w:lineRule="auto"/>
    </w:pPr>
    <w:rPr>
      <w:lang w:eastAsia="en-GB"/>
    </w:rPr>
  </w:style>
  <w:style w:type="character" w:customStyle="1" w:styleId="Heading1Char">
    <w:name w:val="Heading 1 Char"/>
    <w:basedOn w:val="DefaultParagraphFont"/>
    <w:link w:val="Heading1"/>
    <w:uiPriority w:val="9"/>
    <w:rsid w:val="006864F3"/>
    <w:rPr>
      <w:b/>
      <w:spacing w:val="-10"/>
      <w:kern w:val="28"/>
      <w:sz w:val="24"/>
      <w:szCs w:val="24"/>
      <w:lang w:eastAsia="en-GB"/>
    </w:rPr>
  </w:style>
  <w:style w:type="character" w:customStyle="1" w:styleId="Heading2Char">
    <w:name w:val="Heading 2 Char"/>
    <w:basedOn w:val="DefaultParagraphFont"/>
    <w:link w:val="Heading2"/>
    <w:uiPriority w:val="9"/>
    <w:rsid w:val="00531678"/>
    <w:rPr>
      <w:rFonts w:ascii="Calibri" w:eastAsia="Calibri" w:hAnsi="Calibri" w:cs="Calibri"/>
      <w:b/>
      <w:spacing w:val="-10"/>
      <w:kern w:val="28"/>
      <w:sz w:val="24"/>
      <w:szCs w:val="24"/>
      <w:lang w:eastAsia="en-GB"/>
    </w:rPr>
  </w:style>
  <w:style w:type="character" w:styleId="SubtleEmphasis">
    <w:name w:val="Subtle Emphasis"/>
    <w:basedOn w:val="DefaultParagraphFont"/>
    <w:uiPriority w:val="19"/>
    <w:qFormat/>
    <w:rsid w:val="003E2B2E"/>
    <w:rPr>
      <w:i/>
      <w:iCs/>
      <w:color w:val="404040" w:themeColor="text1" w:themeTint="BF"/>
    </w:rPr>
  </w:style>
  <w:style w:type="character" w:customStyle="1" w:styleId="Heading3Char">
    <w:name w:val="Heading 3 Char"/>
    <w:basedOn w:val="DefaultParagraphFont"/>
    <w:link w:val="Heading3"/>
    <w:uiPriority w:val="9"/>
    <w:rsid w:val="00531678"/>
    <w:rPr>
      <w:rFonts w:ascii="Calibri" w:eastAsia="Calibri" w:hAnsi="Calibri" w:cs="Calibri"/>
      <w:b/>
      <w:spacing w:val="-10"/>
      <w:kern w:val="28"/>
      <w:sz w:val="24"/>
      <w:szCs w:val="24"/>
      <w:lang w:eastAsia="en-GB"/>
    </w:rPr>
  </w:style>
  <w:style w:type="paragraph" w:styleId="ListParagraph">
    <w:name w:val="List Paragraph"/>
    <w:basedOn w:val="Normal"/>
    <w:uiPriority w:val="34"/>
    <w:qFormat/>
    <w:rsid w:val="0044441D"/>
    <w:pPr>
      <w:ind w:left="720"/>
      <w:contextualSpacing/>
    </w:pPr>
  </w:style>
  <w:style w:type="character" w:styleId="Hyperlink">
    <w:name w:val="Hyperlink"/>
    <w:basedOn w:val="DefaultParagraphFont"/>
    <w:uiPriority w:val="99"/>
    <w:unhideWhenUsed/>
    <w:rsid w:val="0044441D"/>
    <w:rPr>
      <w:color w:val="0563C1" w:themeColor="hyperlink"/>
      <w:u w:val="single"/>
    </w:rPr>
  </w:style>
  <w:style w:type="character" w:styleId="FootnoteReference">
    <w:name w:val="footnote reference"/>
    <w:basedOn w:val="DefaultParagraphFont"/>
    <w:uiPriority w:val="99"/>
    <w:semiHidden/>
    <w:unhideWhenUsed/>
    <w:rsid w:val="00887B2F"/>
    <w:rPr>
      <w:vertAlign w:val="superscript"/>
    </w:rPr>
  </w:style>
  <w:style w:type="paragraph" w:styleId="Revision">
    <w:name w:val="Revision"/>
    <w:hidden/>
    <w:uiPriority w:val="99"/>
    <w:semiHidden/>
    <w:rsid w:val="00887B2F"/>
    <w:pPr>
      <w:spacing w:after="0" w:line="240" w:lineRule="auto"/>
    </w:pPr>
  </w:style>
  <w:style w:type="character" w:customStyle="1" w:styleId="Heading4Char">
    <w:name w:val="Heading 4 Char"/>
    <w:basedOn w:val="DefaultParagraphFont"/>
    <w:link w:val="Heading4"/>
    <w:uiPriority w:val="9"/>
    <w:rsid w:val="006864F3"/>
    <w:rPr>
      <w:b/>
      <w:spacing w:val="-10"/>
      <w:kern w:val="28"/>
      <w:sz w:val="24"/>
      <w:szCs w:val="24"/>
      <w:lang w:eastAsia="en-GB"/>
    </w:rPr>
  </w:style>
  <w:style w:type="table" w:styleId="TableGrid">
    <w:name w:val="Table Grid"/>
    <w:basedOn w:val="TableNormal"/>
    <w:uiPriority w:val="39"/>
    <w:rsid w:val="00DB3FDE"/>
    <w:pPr>
      <w:spacing w:after="0"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Caption">
    <w:name w:val="caption"/>
    <w:basedOn w:val="Normal"/>
    <w:next w:val="Normal"/>
    <w:uiPriority w:val="35"/>
    <w:unhideWhenUsed/>
    <w:qFormat/>
    <w:rsid w:val="008973F2"/>
    <w:pPr>
      <w:keepNext/>
      <w:spacing w:after="200" w:line="240" w:lineRule="auto"/>
    </w:pPr>
  </w:style>
  <w:style w:type="character" w:styleId="CommentReference">
    <w:name w:val="annotation reference"/>
    <w:basedOn w:val="DefaultParagraphFont"/>
    <w:uiPriority w:val="99"/>
    <w:semiHidden/>
    <w:unhideWhenUsed/>
    <w:rsid w:val="00304A11"/>
    <w:rPr>
      <w:sz w:val="16"/>
      <w:szCs w:val="16"/>
    </w:rPr>
  </w:style>
  <w:style w:type="character" w:styleId="PlaceholderText">
    <w:name w:val="Placeholder Text"/>
    <w:basedOn w:val="DefaultParagraphFont"/>
    <w:uiPriority w:val="99"/>
    <w:semiHidden/>
    <w:rsid w:val="00304A11"/>
    <w:rPr>
      <w:color w:val="808080"/>
    </w:rPr>
  </w:style>
  <w:style w:type="paragraph" w:styleId="CommentText">
    <w:name w:val="annotation text"/>
    <w:basedOn w:val="Normal"/>
    <w:link w:val="CommentTextChar"/>
    <w:uiPriority w:val="99"/>
    <w:unhideWhenUsed/>
    <w:rsid w:val="007C5F38"/>
    <w:pPr>
      <w:spacing w:line="240" w:lineRule="auto"/>
    </w:pPr>
    <w:rPr>
      <w:sz w:val="20"/>
      <w:szCs w:val="20"/>
    </w:rPr>
  </w:style>
  <w:style w:type="character" w:customStyle="1" w:styleId="CommentTextChar">
    <w:name w:val="Comment Text Char"/>
    <w:basedOn w:val="DefaultParagraphFont"/>
    <w:link w:val="CommentText"/>
    <w:uiPriority w:val="99"/>
    <w:rsid w:val="007C5F38"/>
    <w:rPr>
      <w:sz w:val="20"/>
      <w:szCs w:val="20"/>
    </w:rPr>
  </w:style>
  <w:style w:type="paragraph" w:styleId="CommentSubject">
    <w:name w:val="annotation subject"/>
    <w:basedOn w:val="CommentText"/>
    <w:next w:val="CommentText"/>
    <w:link w:val="CommentSubjectChar"/>
    <w:uiPriority w:val="99"/>
    <w:semiHidden/>
    <w:unhideWhenUsed/>
    <w:rsid w:val="007C5F38"/>
    <w:rPr>
      <w:b/>
      <w:bCs/>
    </w:rPr>
  </w:style>
  <w:style w:type="character" w:customStyle="1" w:styleId="CommentSubjectChar">
    <w:name w:val="Comment Subject Char"/>
    <w:basedOn w:val="CommentTextChar"/>
    <w:link w:val="CommentSubject"/>
    <w:uiPriority w:val="99"/>
    <w:semiHidden/>
    <w:rsid w:val="007C5F38"/>
    <w:rPr>
      <w:b/>
      <w:bCs/>
      <w:sz w:val="20"/>
      <w:szCs w:val="20"/>
    </w:rPr>
  </w:style>
  <w:style w:type="character" w:customStyle="1" w:styleId="Heading5Char">
    <w:name w:val="Heading 5 Char"/>
    <w:basedOn w:val="DefaultParagraphFont"/>
    <w:link w:val="Heading5"/>
    <w:uiPriority w:val="9"/>
    <w:rsid w:val="006864F3"/>
    <w:rPr>
      <w:b/>
      <w:spacing w:val="-10"/>
      <w:kern w:val="28"/>
      <w:sz w:val="24"/>
      <w:szCs w:val="24"/>
      <w:lang w:eastAsia="en-GB"/>
    </w:rPr>
  </w:style>
  <w:style w:type="character" w:styleId="UnresolvedMention">
    <w:name w:val="Unresolved Mention"/>
    <w:basedOn w:val="DefaultParagraphFont"/>
    <w:uiPriority w:val="99"/>
    <w:semiHidden/>
    <w:unhideWhenUsed/>
    <w:rsid w:val="00125056"/>
    <w:rPr>
      <w:color w:val="605E5C"/>
      <w:shd w:val="clear" w:color="auto" w:fill="E1DFDD"/>
    </w:rPr>
  </w:style>
  <w:style w:type="paragraph" w:styleId="Subtitle">
    <w:name w:val="Subtitle"/>
    <w:basedOn w:val="Normal"/>
    <w:next w:val="Normal"/>
    <w:uiPriority w:val="11"/>
    <w:qFormat/>
    <w:rsid w:val="006864F3"/>
    <w:pPr>
      <w:keepNext/>
      <w:keepLines/>
      <w:spacing w:after="0"/>
      <w:jc w:val="center"/>
    </w:pPr>
    <w:rPr>
      <w:rFonts w:asciiTheme="minorHAnsi" w:eastAsia="Georgia" w:hAnsiTheme="minorHAnsi" w:cstheme="minorHAnsi"/>
      <w:iCs/>
      <w:sz w:val="24"/>
      <w:szCs w:val="24"/>
    </w:rPr>
  </w:style>
  <w:style w:type="table" w:customStyle="1" w:styleId="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GridTable2">
    <w:name w:val="Grid Table 2"/>
    <w:basedOn w:val="TableNormal"/>
    <w:uiPriority w:val="47"/>
    <w:rsid w:val="009967A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tyle1">
    <w:name w:val="Style1"/>
    <w:basedOn w:val="TableNormal"/>
    <w:uiPriority w:val="99"/>
    <w:rsid w:val="009967A4"/>
    <w:pPr>
      <w:spacing w:after="0" w:line="240" w:lineRule="auto"/>
    </w:pPr>
    <w:tblPr/>
  </w:style>
  <w:style w:type="numbering" w:customStyle="1" w:styleId="CurrentList1">
    <w:name w:val="Current List1"/>
    <w:uiPriority w:val="99"/>
    <w:rsid w:val="00DA7E40"/>
  </w:style>
  <w:style w:type="paragraph" w:styleId="FootnoteText">
    <w:name w:val="footnote text"/>
    <w:basedOn w:val="Normal"/>
    <w:link w:val="FootnoteTextChar"/>
    <w:uiPriority w:val="99"/>
    <w:semiHidden/>
    <w:unhideWhenUsed/>
    <w:rsid w:val="00DA7E40"/>
    <w:pPr>
      <w:spacing w:after="0" w:line="240" w:lineRule="auto"/>
    </w:pPr>
    <w:rPr>
      <w:sz w:val="20"/>
      <w:szCs w:val="20"/>
      <w:lang w:eastAsia="zh-CN"/>
    </w:rPr>
  </w:style>
  <w:style w:type="character" w:customStyle="1" w:styleId="FootnoteTextChar">
    <w:name w:val="Footnote Text Char"/>
    <w:basedOn w:val="DefaultParagraphFont"/>
    <w:link w:val="FootnoteText"/>
    <w:uiPriority w:val="99"/>
    <w:semiHidden/>
    <w:rsid w:val="00DA7E40"/>
    <w:rPr>
      <w:sz w:val="20"/>
      <w:szCs w:val="20"/>
      <w:lang w:eastAsia="zh-CN"/>
    </w:rPr>
  </w:style>
  <w:style w:type="paragraph" w:styleId="Header">
    <w:name w:val="header"/>
    <w:basedOn w:val="Normal"/>
    <w:link w:val="HeaderChar"/>
    <w:uiPriority w:val="99"/>
    <w:unhideWhenUsed/>
    <w:rsid w:val="00DA7E40"/>
    <w:pPr>
      <w:tabs>
        <w:tab w:val="center" w:pos="4680"/>
        <w:tab w:val="right" w:pos="9360"/>
      </w:tabs>
      <w:spacing w:after="0" w:line="240" w:lineRule="auto"/>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DA7E40"/>
    <w:rPr>
      <w:rFonts w:asciiTheme="minorHAnsi" w:eastAsiaTheme="minorHAnsi" w:hAnsiTheme="minorHAnsi" w:cstheme="minorBidi"/>
      <w:kern w:val="2"/>
      <w14:ligatures w14:val="standardContextual"/>
    </w:rPr>
  </w:style>
  <w:style w:type="paragraph" w:styleId="Footer">
    <w:name w:val="footer"/>
    <w:basedOn w:val="Normal"/>
    <w:link w:val="FooterChar"/>
    <w:uiPriority w:val="99"/>
    <w:unhideWhenUsed/>
    <w:rsid w:val="00DA7E40"/>
    <w:pPr>
      <w:tabs>
        <w:tab w:val="center" w:pos="4680"/>
        <w:tab w:val="right" w:pos="9360"/>
      </w:tabs>
      <w:spacing w:after="0" w:line="240" w:lineRule="auto"/>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DA7E40"/>
    <w:rPr>
      <w:rFonts w:asciiTheme="minorHAnsi" w:eastAsiaTheme="minorHAnsi" w:hAnsiTheme="minorHAnsi" w:cstheme="minorBidi"/>
      <w:kern w:val="2"/>
      <w14:ligatures w14:val="standardContextual"/>
    </w:rPr>
  </w:style>
  <w:style w:type="paragraph" w:styleId="NormalWeb">
    <w:name w:val="Normal (Web)"/>
    <w:basedOn w:val="Normal"/>
    <w:uiPriority w:val="99"/>
    <w:unhideWhenUsed/>
    <w:rsid w:val="00F82D8D"/>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800F0"/>
    <w:pPr>
      <w:keepNext/>
      <w:keepLines/>
      <w:spacing w:before="240" w:line="259" w:lineRule="auto"/>
      <w:contextualSpacing w:val="0"/>
      <w:jc w:val="left"/>
      <w:outlineLvl w:val="9"/>
    </w:pPr>
    <w:rPr>
      <w:rFonts w:asciiTheme="majorHAnsi" w:eastAsiaTheme="majorEastAsia" w:hAnsiTheme="majorHAnsi" w:cstheme="majorBidi"/>
      <w:b w:val="0"/>
      <w:color w:val="2F5496" w:themeColor="accent1" w:themeShade="BF"/>
      <w:spacing w:val="0"/>
      <w:kern w:val="0"/>
      <w:sz w:val="32"/>
      <w:szCs w:val="32"/>
      <w:lang w:eastAsia="en-US"/>
    </w:rPr>
  </w:style>
  <w:style w:type="paragraph" w:styleId="TOC1">
    <w:name w:val="toc 1"/>
    <w:basedOn w:val="Normal"/>
    <w:next w:val="Normal"/>
    <w:autoRedefine/>
    <w:uiPriority w:val="39"/>
    <w:unhideWhenUsed/>
    <w:rsid w:val="00D800F0"/>
    <w:pPr>
      <w:spacing w:after="100"/>
    </w:pPr>
  </w:style>
  <w:style w:type="paragraph" w:styleId="TOC2">
    <w:name w:val="toc 2"/>
    <w:basedOn w:val="Normal"/>
    <w:next w:val="Normal"/>
    <w:autoRedefine/>
    <w:uiPriority w:val="39"/>
    <w:unhideWhenUsed/>
    <w:rsid w:val="00D800F0"/>
    <w:pPr>
      <w:spacing w:after="100"/>
      <w:ind w:left="220"/>
    </w:pPr>
  </w:style>
  <w:style w:type="paragraph" w:styleId="TOC3">
    <w:name w:val="toc 3"/>
    <w:basedOn w:val="Normal"/>
    <w:next w:val="Normal"/>
    <w:autoRedefine/>
    <w:uiPriority w:val="39"/>
    <w:unhideWhenUsed/>
    <w:rsid w:val="00D800F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38690">
      <w:bodyDiv w:val="1"/>
      <w:marLeft w:val="0"/>
      <w:marRight w:val="0"/>
      <w:marTop w:val="0"/>
      <w:marBottom w:val="0"/>
      <w:divBdr>
        <w:top w:val="none" w:sz="0" w:space="0" w:color="auto"/>
        <w:left w:val="none" w:sz="0" w:space="0" w:color="auto"/>
        <w:bottom w:val="none" w:sz="0" w:space="0" w:color="auto"/>
        <w:right w:val="none" w:sz="0" w:space="0" w:color="auto"/>
      </w:divBdr>
      <w:divsChild>
        <w:div w:id="361514146">
          <w:marLeft w:val="0"/>
          <w:marRight w:val="0"/>
          <w:marTop w:val="0"/>
          <w:marBottom w:val="0"/>
          <w:divBdr>
            <w:top w:val="none" w:sz="0" w:space="0" w:color="auto"/>
            <w:left w:val="none" w:sz="0" w:space="0" w:color="auto"/>
            <w:bottom w:val="none" w:sz="0" w:space="0" w:color="auto"/>
            <w:right w:val="none" w:sz="0" w:space="0" w:color="auto"/>
          </w:divBdr>
        </w:div>
      </w:divsChild>
    </w:div>
    <w:div w:id="282464012">
      <w:bodyDiv w:val="1"/>
      <w:marLeft w:val="0"/>
      <w:marRight w:val="0"/>
      <w:marTop w:val="0"/>
      <w:marBottom w:val="0"/>
      <w:divBdr>
        <w:top w:val="none" w:sz="0" w:space="0" w:color="auto"/>
        <w:left w:val="none" w:sz="0" w:space="0" w:color="auto"/>
        <w:bottom w:val="none" w:sz="0" w:space="0" w:color="auto"/>
        <w:right w:val="none" w:sz="0" w:space="0" w:color="auto"/>
      </w:divBdr>
    </w:div>
    <w:div w:id="428279026">
      <w:bodyDiv w:val="1"/>
      <w:marLeft w:val="0"/>
      <w:marRight w:val="0"/>
      <w:marTop w:val="0"/>
      <w:marBottom w:val="0"/>
      <w:divBdr>
        <w:top w:val="none" w:sz="0" w:space="0" w:color="auto"/>
        <w:left w:val="none" w:sz="0" w:space="0" w:color="auto"/>
        <w:bottom w:val="none" w:sz="0" w:space="0" w:color="auto"/>
        <w:right w:val="none" w:sz="0" w:space="0" w:color="auto"/>
      </w:divBdr>
      <w:divsChild>
        <w:div w:id="287470140">
          <w:marLeft w:val="375"/>
          <w:marRight w:val="375"/>
          <w:marTop w:val="720"/>
          <w:marBottom w:val="0"/>
          <w:divBdr>
            <w:top w:val="none" w:sz="0" w:space="0" w:color="auto"/>
            <w:left w:val="none" w:sz="0" w:space="0" w:color="auto"/>
            <w:bottom w:val="none" w:sz="0" w:space="0" w:color="auto"/>
            <w:right w:val="none" w:sz="0" w:space="0" w:color="auto"/>
          </w:divBdr>
        </w:div>
      </w:divsChild>
    </w:div>
    <w:div w:id="564679395">
      <w:bodyDiv w:val="1"/>
      <w:marLeft w:val="0"/>
      <w:marRight w:val="0"/>
      <w:marTop w:val="0"/>
      <w:marBottom w:val="0"/>
      <w:divBdr>
        <w:top w:val="none" w:sz="0" w:space="0" w:color="auto"/>
        <w:left w:val="none" w:sz="0" w:space="0" w:color="auto"/>
        <w:bottom w:val="none" w:sz="0" w:space="0" w:color="auto"/>
        <w:right w:val="none" w:sz="0" w:space="0" w:color="auto"/>
      </w:divBdr>
    </w:div>
    <w:div w:id="628050383">
      <w:bodyDiv w:val="1"/>
      <w:marLeft w:val="0"/>
      <w:marRight w:val="0"/>
      <w:marTop w:val="0"/>
      <w:marBottom w:val="0"/>
      <w:divBdr>
        <w:top w:val="none" w:sz="0" w:space="0" w:color="auto"/>
        <w:left w:val="none" w:sz="0" w:space="0" w:color="auto"/>
        <w:bottom w:val="none" w:sz="0" w:space="0" w:color="auto"/>
        <w:right w:val="none" w:sz="0" w:space="0" w:color="auto"/>
      </w:divBdr>
      <w:divsChild>
        <w:div w:id="377969661">
          <w:marLeft w:val="0"/>
          <w:marRight w:val="0"/>
          <w:marTop w:val="0"/>
          <w:marBottom w:val="0"/>
          <w:divBdr>
            <w:top w:val="none" w:sz="0" w:space="0" w:color="auto"/>
            <w:left w:val="none" w:sz="0" w:space="0" w:color="auto"/>
            <w:bottom w:val="none" w:sz="0" w:space="0" w:color="auto"/>
            <w:right w:val="none" w:sz="0" w:space="0" w:color="auto"/>
          </w:divBdr>
        </w:div>
      </w:divsChild>
    </w:div>
    <w:div w:id="640119080">
      <w:bodyDiv w:val="1"/>
      <w:marLeft w:val="0"/>
      <w:marRight w:val="0"/>
      <w:marTop w:val="0"/>
      <w:marBottom w:val="0"/>
      <w:divBdr>
        <w:top w:val="none" w:sz="0" w:space="0" w:color="auto"/>
        <w:left w:val="none" w:sz="0" w:space="0" w:color="auto"/>
        <w:bottom w:val="none" w:sz="0" w:space="0" w:color="auto"/>
        <w:right w:val="none" w:sz="0" w:space="0" w:color="auto"/>
      </w:divBdr>
    </w:div>
    <w:div w:id="840895038">
      <w:bodyDiv w:val="1"/>
      <w:marLeft w:val="0"/>
      <w:marRight w:val="0"/>
      <w:marTop w:val="0"/>
      <w:marBottom w:val="0"/>
      <w:divBdr>
        <w:top w:val="none" w:sz="0" w:space="0" w:color="auto"/>
        <w:left w:val="none" w:sz="0" w:space="0" w:color="auto"/>
        <w:bottom w:val="none" w:sz="0" w:space="0" w:color="auto"/>
        <w:right w:val="none" w:sz="0" w:space="0" w:color="auto"/>
      </w:divBdr>
    </w:div>
    <w:div w:id="852689476">
      <w:bodyDiv w:val="1"/>
      <w:marLeft w:val="0"/>
      <w:marRight w:val="0"/>
      <w:marTop w:val="0"/>
      <w:marBottom w:val="0"/>
      <w:divBdr>
        <w:top w:val="none" w:sz="0" w:space="0" w:color="auto"/>
        <w:left w:val="none" w:sz="0" w:space="0" w:color="auto"/>
        <w:bottom w:val="none" w:sz="0" w:space="0" w:color="auto"/>
        <w:right w:val="none" w:sz="0" w:space="0" w:color="auto"/>
      </w:divBdr>
      <w:divsChild>
        <w:div w:id="1263487182">
          <w:marLeft w:val="0"/>
          <w:marRight w:val="0"/>
          <w:marTop w:val="0"/>
          <w:marBottom w:val="0"/>
          <w:divBdr>
            <w:top w:val="none" w:sz="0" w:space="0" w:color="auto"/>
            <w:left w:val="none" w:sz="0" w:space="0" w:color="auto"/>
            <w:bottom w:val="none" w:sz="0" w:space="0" w:color="auto"/>
            <w:right w:val="none" w:sz="0" w:space="0" w:color="auto"/>
          </w:divBdr>
        </w:div>
      </w:divsChild>
    </w:div>
    <w:div w:id="1293318276">
      <w:bodyDiv w:val="1"/>
      <w:marLeft w:val="0"/>
      <w:marRight w:val="0"/>
      <w:marTop w:val="0"/>
      <w:marBottom w:val="0"/>
      <w:divBdr>
        <w:top w:val="none" w:sz="0" w:space="0" w:color="auto"/>
        <w:left w:val="none" w:sz="0" w:space="0" w:color="auto"/>
        <w:bottom w:val="none" w:sz="0" w:space="0" w:color="auto"/>
        <w:right w:val="none" w:sz="0" w:space="0" w:color="auto"/>
      </w:divBdr>
    </w:div>
    <w:div w:id="1447576045">
      <w:bodyDiv w:val="1"/>
      <w:marLeft w:val="0"/>
      <w:marRight w:val="0"/>
      <w:marTop w:val="0"/>
      <w:marBottom w:val="0"/>
      <w:divBdr>
        <w:top w:val="none" w:sz="0" w:space="0" w:color="auto"/>
        <w:left w:val="none" w:sz="0" w:space="0" w:color="auto"/>
        <w:bottom w:val="none" w:sz="0" w:space="0" w:color="auto"/>
        <w:right w:val="none" w:sz="0" w:space="0" w:color="auto"/>
      </w:divBdr>
    </w:div>
    <w:div w:id="1498224751">
      <w:bodyDiv w:val="1"/>
      <w:marLeft w:val="0"/>
      <w:marRight w:val="0"/>
      <w:marTop w:val="0"/>
      <w:marBottom w:val="0"/>
      <w:divBdr>
        <w:top w:val="none" w:sz="0" w:space="0" w:color="auto"/>
        <w:left w:val="none" w:sz="0" w:space="0" w:color="auto"/>
        <w:bottom w:val="none" w:sz="0" w:space="0" w:color="auto"/>
        <w:right w:val="none" w:sz="0" w:space="0" w:color="auto"/>
      </w:divBdr>
    </w:div>
    <w:div w:id="1628196365">
      <w:bodyDiv w:val="1"/>
      <w:marLeft w:val="0"/>
      <w:marRight w:val="0"/>
      <w:marTop w:val="0"/>
      <w:marBottom w:val="0"/>
      <w:divBdr>
        <w:top w:val="none" w:sz="0" w:space="0" w:color="auto"/>
        <w:left w:val="none" w:sz="0" w:space="0" w:color="auto"/>
        <w:bottom w:val="none" w:sz="0" w:space="0" w:color="auto"/>
        <w:right w:val="none" w:sz="0" w:space="0" w:color="auto"/>
      </w:divBdr>
    </w:div>
    <w:div w:id="1878853734">
      <w:bodyDiv w:val="1"/>
      <w:marLeft w:val="0"/>
      <w:marRight w:val="0"/>
      <w:marTop w:val="0"/>
      <w:marBottom w:val="0"/>
      <w:divBdr>
        <w:top w:val="none" w:sz="0" w:space="0" w:color="auto"/>
        <w:left w:val="none" w:sz="0" w:space="0" w:color="auto"/>
        <w:bottom w:val="none" w:sz="0" w:space="0" w:color="auto"/>
        <w:right w:val="none" w:sz="0" w:space="0" w:color="auto"/>
      </w:divBdr>
    </w:div>
    <w:div w:id="1909532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3390/fuels3030026" TargetMode="External"/><Relationship Id="rId26" Type="http://schemas.openxmlformats.org/officeDocument/2006/relationships/hyperlink" Target="https://doi.org/10.2172/1529218" TargetMode="External"/><Relationship Id="rId39" Type="http://schemas.openxmlformats.org/officeDocument/2006/relationships/hyperlink" Target="https://doi.org/10.2172/1756710" TargetMode="External"/><Relationship Id="rId21" Type="http://schemas.openxmlformats.org/officeDocument/2006/relationships/hyperlink" Target="https://doi.org/10.1039/d1se01508g" TargetMode="External"/><Relationship Id="rId34" Type="http://schemas.openxmlformats.org/officeDocument/2006/relationships/hyperlink" Target="https://doi.org/10.2172/1862910" TargetMode="External"/><Relationship Id="rId42" Type="http://schemas.openxmlformats.org/officeDocument/2006/relationships/hyperlink" Target="https://doi.org/10.1016/j.proci.2022.06.027" TargetMode="External"/><Relationship Id="rId47"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doi.org/10.1016/j.renene.2020.05.0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oi.org/10.1016/b978-0-444-64203-5.00020-4" TargetMode="External"/><Relationship Id="rId32" Type="http://schemas.openxmlformats.org/officeDocument/2006/relationships/hyperlink" Target="https://doi.org/10.1007/978-1-4614-4259-2_22" TargetMode="External"/><Relationship Id="rId37" Type="http://schemas.openxmlformats.org/officeDocument/2006/relationships/hyperlink" Target="https://doi.org/10.2172/15016221" TargetMode="External"/><Relationship Id="rId40" Type="http://schemas.openxmlformats.org/officeDocument/2006/relationships/hyperlink" Target="https://doi.org/10.1088/1748-9326/acacb5" TargetMode="External"/><Relationship Id="rId45" Type="http://schemas.openxmlformats.org/officeDocument/2006/relationships/hyperlink" Target="https://doi.org/10.1016/0960-8524(91)90106-t"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doi.org/10.1016/j.apenergy.2020.114780" TargetMode="External"/><Relationship Id="rId28" Type="http://schemas.openxmlformats.org/officeDocument/2006/relationships/hyperlink" Target="https://doi.org/10.1016/j.enconman.2022.115312" TargetMode="External"/><Relationship Id="rId36" Type="http://schemas.openxmlformats.org/officeDocument/2006/relationships/hyperlink" Target="https://doi.org/10.1021/acssuschemeng.9b01158" TargetMode="External"/><Relationship Id="rId10" Type="http://schemas.openxmlformats.org/officeDocument/2006/relationships/image" Target="media/image1.png"/><Relationship Id="rId19" Type="http://schemas.openxmlformats.org/officeDocument/2006/relationships/hyperlink" Target="https://doi.org/https://doi.org/10.1002/9783527613885.ch04" TargetMode="External"/><Relationship Id="rId31" Type="http://schemas.openxmlformats.org/officeDocument/2006/relationships/hyperlink" Target="https://doi.org/10.1021/acsenergylett.2c01197" TargetMode="External"/><Relationship Id="rId44" Type="http://schemas.openxmlformats.org/officeDocument/2006/relationships/hyperlink" Target="https://doi.org/10.1021/acs.iecr.1c02818" TargetMode="External"/><Relationship Id="rId4" Type="http://schemas.openxmlformats.org/officeDocument/2006/relationships/styles" Target="styles.xml"/><Relationship Id="rId9" Type="http://schemas.openxmlformats.org/officeDocument/2006/relationships/hyperlink" Target="mailto:kc3634@columbia.edu" TargetMode="External"/><Relationship Id="rId14" Type="http://schemas.openxmlformats.org/officeDocument/2006/relationships/image" Target="media/image5.png"/><Relationship Id="rId22" Type="http://schemas.openxmlformats.org/officeDocument/2006/relationships/hyperlink" Target="https://doi.org/10.2172/1515254" TargetMode="External"/><Relationship Id="rId27" Type="http://schemas.openxmlformats.org/officeDocument/2006/relationships/hyperlink" Target="https://assets.publishing.service.gov.uk/government/uploads/system/uploads/attachment_data/file/1158095/HYS2169_STFC_Final_Feasibility_Report__Confidential___Public_.pdf" TargetMode="External"/><Relationship Id="rId30" Type="http://schemas.openxmlformats.org/officeDocument/2006/relationships/hyperlink" Target="http://www.iea.org/t&amp;c/" TargetMode="External"/><Relationship Id="rId35" Type="http://schemas.openxmlformats.org/officeDocument/2006/relationships/hyperlink" Target="https://doi.org/10.1016/j.ijhydene.2018.07.164" TargetMode="External"/><Relationship Id="rId43" Type="http://schemas.openxmlformats.org/officeDocument/2006/relationships/hyperlink" Target="https://doi.org/10.1016/j.enconman.2023.116790"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2139/ssrn.4154006" TargetMode="External"/><Relationship Id="rId33" Type="http://schemas.openxmlformats.org/officeDocument/2006/relationships/hyperlink" Target="https://doi.org/https://doi.org/10.1016/j.joule.2020.04.004" TargetMode="External"/><Relationship Id="rId38" Type="http://schemas.openxmlformats.org/officeDocument/2006/relationships/hyperlink" Target="https://doi.org/10.1016/j.ijhydene.2017.10.045" TargetMode="External"/><Relationship Id="rId46" Type="http://schemas.openxmlformats.org/officeDocument/2006/relationships/fontTable" Target="fontTable.xml"/><Relationship Id="rId20" Type="http://schemas.openxmlformats.org/officeDocument/2006/relationships/hyperlink" Target="https://doi.org/10.1016/j.jclepro.2017.01.148" TargetMode="External"/><Relationship Id="rId41" Type="http://schemas.openxmlformats.org/officeDocument/2006/relationships/hyperlink" Target="https://doi.org/10.1002/ep.1188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AFCE14F4D54603972ADE86E7756A57"/>
        <w:category>
          <w:name w:val="General"/>
          <w:gallery w:val="placeholder"/>
        </w:category>
        <w:types>
          <w:type w:val="bbPlcHdr"/>
        </w:types>
        <w:behaviors>
          <w:behavior w:val="content"/>
        </w:behaviors>
        <w:guid w:val="{B00A39EC-8B1D-4CFC-BFF7-4B01EF497449}"/>
      </w:docPartPr>
      <w:docPartBody>
        <w:p w:rsidR="009C4A17" w:rsidRDefault="0045607E" w:rsidP="0045607E">
          <w:pPr>
            <w:pStyle w:val="7FAFCE14F4D54603972ADE86E7756A57"/>
          </w:pPr>
          <w:r w:rsidRPr="006F5C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07E"/>
    <w:rsid w:val="002542C9"/>
    <w:rsid w:val="003668DD"/>
    <w:rsid w:val="0045607E"/>
    <w:rsid w:val="00476FF0"/>
    <w:rsid w:val="00512B1A"/>
    <w:rsid w:val="007762F7"/>
    <w:rsid w:val="0092743A"/>
    <w:rsid w:val="00996FE4"/>
    <w:rsid w:val="009C4A17"/>
    <w:rsid w:val="00CC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607E"/>
    <w:rPr>
      <w:color w:val="808080"/>
    </w:rPr>
  </w:style>
  <w:style w:type="paragraph" w:customStyle="1" w:styleId="7FAFCE14F4D54603972ADE86E7756A57">
    <w:name w:val="7FAFCE14F4D54603972ADE86E7756A57"/>
    <w:rsid w:val="00456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QAJXsTbvaClNtxvmFdx6KlMOxA==">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</go:docsCustomData>
</go:gDocsCustomXmlDataStorage>
</file>

<file path=customXml/itemProps1.xml><?xml version="1.0" encoding="utf-8"?>
<ds:datastoreItem xmlns:ds="http://schemas.openxmlformats.org/officeDocument/2006/customXml" ds:itemID="{E106EE80-96E4-49EE-AE42-10763635BA0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76</Pages>
  <Words>27783</Words>
  <Characters>151697</Characters>
  <Application>Microsoft Office Word</Application>
  <DocSecurity>0</DocSecurity>
  <Lines>4213</Lines>
  <Paragraphs>2804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Italiani</dc:creator>
  <cp:lastModifiedBy>Kong Chyong</cp:lastModifiedBy>
  <cp:revision>68</cp:revision>
  <dcterms:created xsi:type="dcterms:W3CDTF">2023-09-21T17:37:00Z</dcterms:created>
  <dcterms:modified xsi:type="dcterms:W3CDTF">2023-10-16T01:10:00Z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1e7ea280ac0f46139249150975e17c7a539c53136358f2c9a3a48202682fdfd3</vt:lpwstr>
  </property>
</Properties>
</file>