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Supplementary Information</w:t>
      </w:r>
    </w:p>
    <w:p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Endogenous cell membrane interactome mapping for GLP-1 receptor </w:t>
      </w:r>
      <w:r>
        <w:rPr>
          <w:rFonts w:ascii="Arial" w:hAnsi="Arial" w:cs="Arial"/>
          <w:b/>
          <w:i/>
          <w:sz w:val="22"/>
          <w:szCs w:val="22"/>
        </w:rPr>
        <w:t>via</w:t>
      </w:r>
      <w:r>
        <w:rPr>
          <w:rFonts w:ascii="Arial" w:hAnsi="Arial" w:cs="Arial"/>
          <w:b/>
          <w:sz w:val="22"/>
          <w:szCs w:val="22"/>
        </w:rPr>
        <w:t xml:space="preserve"> ligand-based proximity labeling</w:t>
      </w:r>
    </w:p>
    <w:p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Ting Dang</w:t>
      </w:r>
      <w:r>
        <w:rPr>
          <w:rFonts w:ascii="Arial" w:hAnsi="Arial" w:cs="Arial"/>
          <w:sz w:val="22"/>
          <w:vertAlign w:val="superscript"/>
        </w:rPr>
        <w:t>1,2,3‡</w:t>
      </w:r>
      <w:r>
        <w:rPr>
          <w:rFonts w:ascii="Arial" w:hAnsi="Arial" w:cs="Arial"/>
          <w:sz w:val="22"/>
        </w:rPr>
        <w:t>, Jie Yu</w:t>
      </w:r>
      <w:r>
        <w:rPr>
          <w:rFonts w:ascii="Arial" w:hAnsi="Arial" w:cs="Arial"/>
          <w:sz w:val="22"/>
          <w:vertAlign w:val="superscript"/>
        </w:rPr>
        <w:t>1,2,3‡</w:t>
      </w:r>
      <w:r>
        <w:rPr>
          <w:rFonts w:ascii="Arial" w:hAnsi="Arial" w:cs="Arial"/>
          <w:sz w:val="22"/>
        </w:rPr>
        <w:t>, Zhihe Cao</w:t>
      </w:r>
      <w:r>
        <w:rPr>
          <w:rFonts w:ascii="Arial" w:hAnsi="Arial" w:cs="Arial"/>
          <w:sz w:val="22"/>
          <w:vertAlign w:val="superscript"/>
        </w:rPr>
        <w:t>2,3‡</w:t>
      </w:r>
      <w:r>
        <w:rPr>
          <w:rFonts w:ascii="Arial" w:hAnsi="Arial" w:cs="Arial"/>
          <w:sz w:val="22"/>
        </w:rPr>
        <w:t>, Bingjie Zhang</w:t>
      </w:r>
      <w:r>
        <w:rPr>
          <w:rFonts w:ascii="Arial" w:hAnsi="Arial" w:cs="Arial"/>
          <w:sz w:val="22"/>
          <w:vertAlign w:val="superscript"/>
        </w:rPr>
        <w:t>1</w:t>
      </w:r>
      <w:r>
        <w:rPr>
          <w:rFonts w:ascii="Arial" w:hAnsi="Arial" w:cs="Arial"/>
          <w:sz w:val="22"/>
        </w:rPr>
        <w:t>, Shanshan Li</w:t>
      </w:r>
      <w:r>
        <w:rPr>
          <w:rFonts w:ascii="Arial" w:hAnsi="Arial" w:cs="Arial"/>
          <w:sz w:val="22"/>
          <w:vertAlign w:val="superscript"/>
        </w:rPr>
        <w:t>1</w:t>
      </w:r>
      <w:r>
        <w:rPr>
          <w:rFonts w:ascii="Arial" w:hAnsi="Arial" w:cs="Arial"/>
          <w:sz w:val="22"/>
        </w:rPr>
        <w:t>, Ye Xin</w:t>
      </w:r>
      <w:r>
        <w:rPr>
          <w:rFonts w:ascii="Arial" w:hAnsi="Arial" w:cs="Arial"/>
          <w:sz w:val="22"/>
          <w:vertAlign w:val="superscript"/>
        </w:rPr>
        <w:t>1,2,3</w:t>
      </w:r>
      <w:r>
        <w:rPr>
          <w:rFonts w:ascii="Arial" w:hAnsi="Arial" w:cs="Arial"/>
          <w:sz w:val="22"/>
        </w:rPr>
        <w:t>, Lingyun Yang</w:t>
      </w:r>
      <w:r>
        <w:rPr>
          <w:rFonts w:ascii="Arial" w:hAnsi="Arial" w:cs="Arial"/>
          <w:sz w:val="22"/>
          <w:vertAlign w:val="superscript"/>
        </w:rPr>
        <w:t>1,2,3</w:t>
      </w:r>
      <w:r>
        <w:rPr>
          <w:rFonts w:ascii="Arial" w:hAnsi="Arial" w:cs="Arial"/>
          <w:sz w:val="22"/>
        </w:rPr>
        <w:t>, Ronghui Lou</w:t>
      </w:r>
      <w:r>
        <w:rPr>
          <w:rFonts w:ascii="Arial" w:hAnsi="Arial" w:cs="Arial"/>
          <w:sz w:val="22"/>
          <w:vertAlign w:val="superscript"/>
        </w:rPr>
        <w:t>1,2,3</w:t>
      </w:r>
      <w:r>
        <w:rPr>
          <w:rFonts w:ascii="Arial" w:hAnsi="Arial" w:cs="Arial"/>
          <w:sz w:val="22"/>
        </w:rPr>
        <w:t>, Min Zhuang</w:t>
      </w:r>
      <w:r>
        <w:rPr>
          <w:rFonts w:ascii="Arial" w:hAnsi="Arial" w:cs="Arial"/>
          <w:sz w:val="22"/>
          <w:vertAlign w:val="superscript"/>
        </w:rPr>
        <w:t>2</w:t>
      </w:r>
      <w:r>
        <w:rPr>
          <w:rFonts w:ascii="Arial" w:hAnsi="Arial" w:cs="Arial"/>
          <w:sz w:val="22"/>
        </w:rPr>
        <w:t>*, Wenqing Shui</w:t>
      </w:r>
      <w:r>
        <w:rPr>
          <w:rFonts w:ascii="Arial" w:hAnsi="Arial" w:cs="Arial"/>
          <w:sz w:val="22"/>
          <w:vertAlign w:val="superscript"/>
        </w:rPr>
        <w:t>1,2</w:t>
      </w:r>
      <w:r>
        <w:rPr>
          <w:rFonts w:ascii="Arial" w:hAnsi="Arial" w:cs="Arial"/>
          <w:sz w:val="22"/>
        </w:rPr>
        <w:t>*</w:t>
      </w:r>
    </w:p>
    <w:p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  <w:vertAlign w:val="superscript"/>
        </w:rPr>
        <w:t>1</w:t>
      </w:r>
      <w:r>
        <w:rPr>
          <w:rFonts w:ascii="Arial" w:hAnsi="Arial" w:cs="Arial"/>
          <w:sz w:val="22"/>
        </w:rPr>
        <w:t>iHuman Institute, ShanghaiTech University, Shanghai 201</w:t>
      </w:r>
      <w:r>
        <w:rPr>
          <w:rFonts w:hint="eastAsia" w:ascii="Arial" w:hAnsi="Arial" w:cs="Arial"/>
          <w:sz w:val="22"/>
          <w:lang w:val="en-US" w:eastAsia="zh-CN"/>
        </w:rPr>
        <w:t>2</w:t>
      </w:r>
      <w:r>
        <w:rPr>
          <w:rFonts w:ascii="Arial" w:hAnsi="Arial" w:cs="Arial"/>
          <w:sz w:val="22"/>
        </w:rPr>
        <w:t>10, China</w:t>
      </w:r>
    </w:p>
    <w:p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  <w:vertAlign w:val="superscript"/>
        </w:rPr>
        <w:t>2</w:t>
      </w:r>
      <w:r>
        <w:rPr>
          <w:rFonts w:ascii="Arial" w:hAnsi="Arial" w:cs="Arial"/>
          <w:sz w:val="22"/>
        </w:rPr>
        <w:t>School of Life Science and Technology, ShanghaiTech University, Shanghai 201210, China</w:t>
      </w:r>
    </w:p>
    <w:p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  <w:vertAlign w:val="superscript"/>
        </w:rPr>
        <w:t>3</w:t>
      </w:r>
      <w:r>
        <w:rPr>
          <w:rFonts w:ascii="Arial" w:hAnsi="Arial" w:cs="Arial"/>
          <w:sz w:val="22"/>
        </w:rPr>
        <w:t>University of Chinese Academy of Sciences, Beijing 100049, China</w:t>
      </w:r>
    </w:p>
    <w:p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  <w:vertAlign w:val="superscript"/>
        </w:rPr>
        <w:t>‡</w:t>
      </w:r>
      <w:r>
        <w:rPr>
          <w:rFonts w:ascii="Arial" w:hAnsi="Arial" w:cs="Arial"/>
          <w:sz w:val="22"/>
        </w:rPr>
        <w:t>Equal contribution</w:t>
      </w:r>
    </w:p>
    <w:p>
      <w:pPr>
        <w:spacing w:line="360" w:lineRule="auto"/>
        <w:rPr>
          <w:rFonts w:ascii="Arial" w:hAnsi="Arial" w:cs="Arial"/>
          <w:sz w:val="22"/>
        </w:rPr>
      </w:pPr>
    </w:p>
    <w:p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*To whom correspondence should be addressed:</w:t>
      </w:r>
    </w:p>
    <w:p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Min Zhuang Email: zhuangmin@shanghaitech.edu.cn</w:t>
      </w:r>
    </w:p>
    <w:p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Wenqing Shui Email: shuiwq@shanghaitech.edu.cn</w:t>
      </w:r>
    </w:p>
    <w:p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br w:type="page"/>
      </w:r>
    </w:p>
    <w:sdt>
      <w:sdtPr>
        <w:rPr>
          <w:rFonts w:ascii="Arial" w:hAnsi="Arial" w:eastAsia="宋体" w:cs="Arial"/>
        </w:rPr>
        <w:id w:val="147463171"/>
        <w15:color w:val="DBDBDB"/>
        <w:docPartObj>
          <w:docPartGallery w:val="Table of Contents"/>
          <w:docPartUnique/>
        </w:docPartObj>
      </w:sdtPr>
      <w:sdtEndPr>
        <w:rPr>
          <w:rFonts w:ascii="Arial" w:hAnsi="Arial" w:eastAsia="宋体" w:cs="Arial"/>
          <w:i/>
        </w:rPr>
      </w:sdtEndPr>
      <w:sdtContent>
        <w:p>
          <w:pPr>
            <w:jc w:val="center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eastAsia="宋体" w:cs="Arial"/>
              <w:b/>
              <w:bCs/>
            </w:rPr>
            <w:t>Content</w:t>
          </w:r>
        </w:p>
        <w:p>
          <w:pPr>
            <w:pStyle w:val="5"/>
            <w:tabs>
              <w:tab w:val="right" w:leader="dot" w:pos="8306"/>
            </w:tabs>
            <w:rPr>
              <w:rFonts w:ascii="Arial" w:hAnsi="Arial" w:cs="Arial"/>
            </w:rPr>
          </w:pPr>
          <w:r>
            <w:rPr>
              <w:rFonts w:ascii="Arial" w:hAnsi="Arial" w:cs="Arial"/>
            </w:rPr>
            <w:fldChar w:fldCharType="begin"/>
          </w:r>
          <w:r>
            <w:rPr>
              <w:rFonts w:ascii="Arial" w:hAnsi="Arial" w:cs="Arial"/>
            </w:rPr>
            <w:instrText xml:space="preserve">TOC \o "1-1" \h \u </w:instrText>
          </w:r>
          <w:r>
            <w:rPr>
              <w:rFonts w:ascii="Arial" w:hAnsi="Arial" w:cs="Arial"/>
            </w:rPr>
            <w:fldChar w:fldCharType="separate"/>
          </w:r>
          <w:r>
            <w:fldChar w:fldCharType="begin"/>
          </w:r>
          <w:r>
            <w:instrText xml:space="preserve"> HYPERLINK \l "_Toc18133" </w:instrText>
          </w:r>
          <w:r>
            <w:fldChar w:fldCharType="separate"/>
          </w:r>
          <w:r>
            <w:rPr>
              <w:rFonts w:ascii="Arial" w:hAnsi="Arial" w:cs="Arial"/>
              <w:b/>
            </w:rPr>
            <w:t>Supplementary Figure S1.</w:t>
          </w:r>
          <w:r>
            <w:rPr>
              <w:rFonts w:ascii="Arial" w:hAnsi="Arial" w:cs="Arial"/>
              <w:bCs/>
            </w:rPr>
            <w:t xml:space="preserve"> Purification of GLP-1-APEX2 and characterization of two GLP-1-PEX probes</w:t>
          </w:r>
          <w:r>
            <w:rPr>
              <w:rFonts w:ascii="Arial" w:hAnsi="Arial" w:cs="Arial"/>
            </w:rPr>
            <w:tab/>
          </w:r>
          <w:r>
            <w:rPr>
              <w:rFonts w:ascii="Arial" w:hAnsi="Arial" w:cs="Arial"/>
            </w:rPr>
            <w:fldChar w:fldCharType="begin"/>
          </w:r>
          <w:r>
            <w:rPr>
              <w:rFonts w:ascii="Arial" w:hAnsi="Arial" w:cs="Arial"/>
            </w:rPr>
            <w:instrText xml:space="preserve"> PAGEREF _Toc18133 \h </w:instrText>
          </w:r>
          <w:r>
            <w:rPr>
              <w:rFonts w:ascii="Arial" w:hAnsi="Arial" w:cs="Arial"/>
            </w:rPr>
            <w:fldChar w:fldCharType="separate"/>
          </w:r>
          <w:r>
            <w:rPr>
              <w:rFonts w:ascii="Arial" w:hAnsi="Arial" w:cs="Arial"/>
            </w:rPr>
            <w:t>3</w:t>
          </w:r>
          <w:r>
            <w:rPr>
              <w:rFonts w:ascii="Arial" w:hAnsi="Arial" w:cs="Arial"/>
            </w:rPr>
            <w:fldChar w:fldCharType="end"/>
          </w:r>
          <w:r>
            <w:rPr>
              <w:rFonts w:ascii="Arial" w:hAnsi="Arial" w:cs="Arial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  <w:rPr>
              <w:rFonts w:ascii="Arial" w:hAnsi="Arial" w:cs="Arial"/>
            </w:rPr>
          </w:pPr>
          <w:r>
            <w:fldChar w:fldCharType="begin"/>
          </w:r>
          <w:r>
            <w:instrText xml:space="preserve"> HYPERLINK \l "_Toc4187" </w:instrText>
          </w:r>
          <w:r>
            <w:fldChar w:fldCharType="separate"/>
          </w:r>
          <w:r>
            <w:rPr>
              <w:rFonts w:ascii="Arial" w:hAnsi="Arial" w:cs="Arial"/>
              <w:b/>
            </w:rPr>
            <w:t>Supplementary Figure S2.</w:t>
          </w:r>
          <w:r>
            <w:rPr>
              <w:rFonts w:ascii="Arial" w:hAnsi="Arial" w:cs="Arial"/>
              <w:bCs/>
            </w:rPr>
            <w:t xml:space="preserve"> Whole-cell immunostaining in HEK293 cells labeled with two GLP-1-PEX probes</w:t>
          </w:r>
          <w:r>
            <w:rPr>
              <w:rFonts w:ascii="Arial" w:hAnsi="Arial" w:cs="Arial"/>
            </w:rPr>
            <w:tab/>
          </w:r>
          <w:r>
            <w:rPr>
              <w:rFonts w:ascii="Arial" w:hAnsi="Arial" w:cs="Arial"/>
            </w:rPr>
            <w:fldChar w:fldCharType="begin"/>
          </w:r>
          <w:r>
            <w:rPr>
              <w:rFonts w:ascii="Arial" w:hAnsi="Arial" w:cs="Arial"/>
            </w:rPr>
            <w:instrText xml:space="preserve"> PAGEREF _Toc4187 \h </w:instrText>
          </w:r>
          <w:r>
            <w:rPr>
              <w:rFonts w:ascii="Arial" w:hAnsi="Arial" w:cs="Arial"/>
            </w:rPr>
            <w:fldChar w:fldCharType="separate"/>
          </w:r>
          <w:r>
            <w:rPr>
              <w:rFonts w:ascii="Arial" w:hAnsi="Arial" w:cs="Arial"/>
            </w:rPr>
            <w:t>4</w:t>
          </w:r>
          <w:r>
            <w:rPr>
              <w:rFonts w:ascii="Arial" w:hAnsi="Arial" w:cs="Arial"/>
            </w:rPr>
            <w:fldChar w:fldCharType="end"/>
          </w:r>
          <w:r>
            <w:rPr>
              <w:rFonts w:ascii="Arial" w:hAnsi="Arial" w:cs="Arial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  <w:rPr>
              <w:rFonts w:ascii="Arial" w:hAnsi="Arial" w:cs="Arial"/>
            </w:rPr>
          </w:pPr>
          <w:r>
            <w:fldChar w:fldCharType="begin"/>
          </w:r>
          <w:r>
            <w:instrText xml:space="preserve"> HYPERLINK \l "_Toc5990" </w:instrText>
          </w:r>
          <w:r>
            <w:fldChar w:fldCharType="separate"/>
          </w:r>
          <w:r>
            <w:rPr>
              <w:rFonts w:ascii="Arial" w:hAnsi="Arial" w:cs="Arial"/>
              <w:b/>
            </w:rPr>
            <w:t xml:space="preserve">Supplementary Figure S3. </w:t>
          </w:r>
          <w:r>
            <w:rPr>
              <w:rFonts w:ascii="Arial" w:hAnsi="Arial" w:cs="Arial"/>
              <w:bCs/>
            </w:rPr>
            <w:t>Validation of endogenous expression of the GLP-1 receptor and assessment of the two GLP-1-PEX probes for proximity labeling in INS-1E and SK-N-SH cells</w:t>
          </w:r>
          <w:r>
            <w:rPr>
              <w:rFonts w:ascii="Arial" w:hAnsi="Arial" w:cs="Arial"/>
            </w:rPr>
            <w:tab/>
          </w:r>
          <w:r>
            <w:rPr>
              <w:rFonts w:ascii="Arial" w:hAnsi="Arial" w:cs="Arial"/>
            </w:rPr>
            <w:fldChar w:fldCharType="begin"/>
          </w:r>
          <w:r>
            <w:rPr>
              <w:rFonts w:ascii="Arial" w:hAnsi="Arial" w:cs="Arial"/>
            </w:rPr>
            <w:instrText xml:space="preserve"> PAGEREF _Toc5990 \h </w:instrText>
          </w:r>
          <w:r>
            <w:rPr>
              <w:rFonts w:ascii="Arial" w:hAnsi="Arial" w:cs="Arial"/>
            </w:rPr>
            <w:fldChar w:fldCharType="separate"/>
          </w:r>
          <w:r>
            <w:rPr>
              <w:rFonts w:ascii="Arial" w:hAnsi="Arial" w:cs="Arial"/>
            </w:rPr>
            <w:t>5</w:t>
          </w:r>
          <w:r>
            <w:rPr>
              <w:rFonts w:ascii="Arial" w:hAnsi="Arial" w:cs="Arial"/>
            </w:rPr>
            <w:fldChar w:fldCharType="end"/>
          </w:r>
          <w:r>
            <w:rPr>
              <w:rFonts w:ascii="Arial" w:hAnsi="Arial" w:cs="Arial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  <w:rPr>
              <w:rFonts w:ascii="Arial" w:hAnsi="Arial" w:cs="Arial"/>
            </w:rPr>
          </w:pPr>
          <w:r>
            <w:fldChar w:fldCharType="begin"/>
          </w:r>
          <w:r>
            <w:instrText xml:space="preserve"> HYPERLINK \l "_Toc24990" </w:instrText>
          </w:r>
          <w:r>
            <w:fldChar w:fldCharType="separate"/>
          </w:r>
          <w:r>
            <w:rPr>
              <w:rFonts w:ascii="Arial" w:hAnsi="Arial" w:cs="Arial"/>
              <w:b/>
            </w:rPr>
            <w:t>Supplementary Figure S4.</w:t>
          </w:r>
          <w:r>
            <w:rPr>
              <w:rFonts w:ascii="Arial" w:hAnsi="Arial" w:cs="Arial"/>
              <w:bCs/>
            </w:rPr>
            <w:t xml:space="preserve"> Optimization of the proximity labeling condition and sliver staining of eluted biotinylated proteins in INS-1E and SK-N-SH cells</w:t>
          </w:r>
          <w:r>
            <w:rPr>
              <w:rFonts w:ascii="Arial" w:hAnsi="Arial" w:cs="Arial"/>
            </w:rPr>
            <w:tab/>
          </w:r>
          <w:r>
            <w:rPr>
              <w:rFonts w:ascii="Arial" w:hAnsi="Arial" w:cs="Arial"/>
            </w:rPr>
            <w:fldChar w:fldCharType="begin"/>
          </w:r>
          <w:r>
            <w:rPr>
              <w:rFonts w:ascii="Arial" w:hAnsi="Arial" w:cs="Arial"/>
            </w:rPr>
            <w:instrText xml:space="preserve"> PAGEREF _Toc24990 \h </w:instrText>
          </w:r>
          <w:r>
            <w:rPr>
              <w:rFonts w:ascii="Arial" w:hAnsi="Arial" w:cs="Arial"/>
            </w:rPr>
            <w:fldChar w:fldCharType="separate"/>
          </w:r>
          <w:r>
            <w:rPr>
              <w:rFonts w:ascii="Arial" w:hAnsi="Arial" w:cs="Arial"/>
            </w:rPr>
            <w:t>7</w:t>
          </w:r>
          <w:r>
            <w:rPr>
              <w:rFonts w:ascii="Arial" w:hAnsi="Arial" w:cs="Arial"/>
            </w:rPr>
            <w:fldChar w:fldCharType="end"/>
          </w:r>
          <w:r>
            <w:rPr>
              <w:rFonts w:ascii="Arial" w:hAnsi="Arial" w:cs="Arial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  <w:rPr>
              <w:rFonts w:ascii="Arial" w:hAnsi="Arial" w:cs="Arial"/>
            </w:rPr>
          </w:pPr>
          <w:r>
            <w:fldChar w:fldCharType="begin"/>
          </w:r>
          <w:r>
            <w:instrText xml:space="preserve"> HYPERLINK \l "_Toc1627" </w:instrText>
          </w:r>
          <w:r>
            <w:fldChar w:fldCharType="separate"/>
          </w:r>
          <w:r>
            <w:rPr>
              <w:rFonts w:ascii="Arial" w:hAnsi="Arial" w:cs="Arial"/>
              <w:b/>
            </w:rPr>
            <w:t xml:space="preserve">Supplementary Figure S5. </w:t>
          </w:r>
          <w:r>
            <w:rPr>
              <w:rFonts w:ascii="Arial" w:hAnsi="Arial" w:cs="Arial"/>
            </w:rPr>
            <w:t>Pearson correlation plot of protein intensities between biological replicates of each condition in INS-1E and SK-N-SH cells.</w:t>
          </w:r>
          <w:r>
            <w:rPr>
              <w:rFonts w:ascii="Arial" w:hAnsi="Arial" w:cs="Arial"/>
            </w:rPr>
            <w:tab/>
          </w:r>
          <w:r>
            <w:rPr>
              <w:rFonts w:ascii="Arial" w:hAnsi="Arial" w:cs="Arial"/>
            </w:rPr>
            <w:fldChar w:fldCharType="begin"/>
          </w:r>
          <w:r>
            <w:rPr>
              <w:rFonts w:ascii="Arial" w:hAnsi="Arial" w:cs="Arial"/>
            </w:rPr>
            <w:instrText xml:space="preserve"> PAGEREF _Toc1627 \h </w:instrText>
          </w:r>
          <w:r>
            <w:rPr>
              <w:rFonts w:ascii="Arial" w:hAnsi="Arial" w:cs="Arial"/>
            </w:rPr>
            <w:fldChar w:fldCharType="separate"/>
          </w:r>
          <w:r>
            <w:rPr>
              <w:rFonts w:ascii="Arial" w:hAnsi="Arial" w:cs="Arial"/>
            </w:rPr>
            <w:t>8</w:t>
          </w:r>
          <w:r>
            <w:rPr>
              <w:rFonts w:ascii="Arial" w:hAnsi="Arial" w:cs="Arial"/>
            </w:rPr>
            <w:fldChar w:fldCharType="end"/>
          </w:r>
          <w:r>
            <w:rPr>
              <w:rFonts w:ascii="Arial" w:hAnsi="Arial" w:cs="Arial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  <w:rPr>
              <w:rFonts w:ascii="Arial" w:hAnsi="Arial" w:cs="Arial"/>
            </w:rPr>
          </w:pPr>
          <w:r>
            <w:fldChar w:fldCharType="begin"/>
          </w:r>
          <w:r>
            <w:instrText xml:space="preserve"> HYPERLINK \l "_Toc27050" </w:instrText>
          </w:r>
          <w:r>
            <w:fldChar w:fldCharType="separate"/>
          </w:r>
          <w:r>
            <w:rPr>
              <w:rFonts w:ascii="Arial" w:hAnsi="Arial" w:cs="Arial"/>
              <w:b/>
            </w:rPr>
            <w:t xml:space="preserve">Supplementary Figure S6. </w:t>
          </w:r>
          <w:r>
            <w:rPr>
              <w:rFonts w:ascii="Arial" w:hAnsi="Arial" w:cs="Arial"/>
              <w:bCs/>
            </w:rPr>
            <w:t>Validation of selected GLP-1 receptor-interacting proteins discovered in INS-1E and SK-N-SH cells</w:t>
          </w:r>
          <w:r>
            <w:rPr>
              <w:rFonts w:ascii="Arial" w:hAnsi="Arial" w:cs="Arial"/>
            </w:rPr>
            <w:tab/>
          </w:r>
          <w:r>
            <w:rPr>
              <w:rFonts w:ascii="Arial" w:hAnsi="Arial" w:cs="Arial"/>
            </w:rPr>
            <w:fldChar w:fldCharType="begin"/>
          </w:r>
          <w:r>
            <w:rPr>
              <w:rFonts w:ascii="Arial" w:hAnsi="Arial" w:cs="Arial"/>
            </w:rPr>
            <w:instrText xml:space="preserve"> PAGEREF _Toc27050 \h </w:instrText>
          </w:r>
          <w:r>
            <w:rPr>
              <w:rFonts w:ascii="Arial" w:hAnsi="Arial" w:cs="Arial"/>
            </w:rPr>
            <w:fldChar w:fldCharType="separate"/>
          </w:r>
          <w:r>
            <w:rPr>
              <w:rFonts w:ascii="Arial" w:hAnsi="Arial" w:cs="Arial"/>
            </w:rPr>
            <w:t>9</w:t>
          </w:r>
          <w:r>
            <w:rPr>
              <w:rFonts w:ascii="Arial" w:hAnsi="Arial" w:cs="Arial"/>
            </w:rPr>
            <w:fldChar w:fldCharType="end"/>
          </w:r>
          <w:r>
            <w:rPr>
              <w:rFonts w:ascii="Arial" w:hAnsi="Arial" w:cs="Arial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  <w:rPr>
              <w:rFonts w:ascii="Arial" w:hAnsi="Arial" w:cs="Arial"/>
            </w:rPr>
          </w:pPr>
          <w:r>
            <w:fldChar w:fldCharType="begin"/>
          </w:r>
          <w:r>
            <w:instrText xml:space="preserve"> HYPERLINK \l "_Toc30747" </w:instrText>
          </w:r>
          <w:r>
            <w:fldChar w:fldCharType="separate"/>
          </w:r>
          <w:r>
            <w:rPr>
              <w:rFonts w:ascii="Arial" w:hAnsi="Arial" w:cs="Arial"/>
              <w:b/>
            </w:rPr>
            <w:t xml:space="preserve">Supplementary Figure S7. </w:t>
          </w:r>
          <w:r>
            <w:rPr>
              <w:rFonts w:ascii="Arial" w:hAnsi="Arial" w:cs="Arial"/>
              <w:bCs/>
            </w:rPr>
            <w:t>Knockdown of selected interactors and related Glp-1r cell surface expression in INS-1E cells as well as signaling assays in HEK293 cells</w:t>
          </w:r>
          <w:r>
            <w:rPr>
              <w:rFonts w:ascii="Arial" w:hAnsi="Arial" w:cs="Arial"/>
            </w:rPr>
            <w:tab/>
          </w:r>
          <w:r>
            <w:rPr>
              <w:rFonts w:ascii="Arial" w:hAnsi="Arial" w:cs="Arial"/>
            </w:rPr>
            <w:fldChar w:fldCharType="begin"/>
          </w:r>
          <w:r>
            <w:rPr>
              <w:rFonts w:ascii="Arial" w:hAnsi="Arial" w:cs="Arial"/>
            </w:rPr>
            <w:instrText xml:space="preserve"> PAGEREF _Toc30747 \h </w:instrText>
          </w:r>
          <w:r>
            <w:rPr>
              <w:rFonts w:ascii="Arial" w:hAnsi="Arial" w:cs="Arial"/>
            </w:rPr>
            <w:fldChar w:fldCharType="separate"/>
          </w:r>
          <w:r>
            <w:rPr>
              <w:rFonts w:ascii="Arial" w:hAnsi="Arial" w:cs="Arial"/>
            </w:rPr>
            <w:t>10</w:t>
          </w:r>
          <w:r>
            <w:rPr>
              <w:rFonts w:ascii="Arial" w:hAnsi="Arial" w:cs="Arial"/>
            </w:rPr>
            <w:fldChar w:fldCharType="end"/>
          </w:r>
          <w:r>
            <w:rPr>
              <w:rFonts w:ascii="Arial" w:hAnsi="Arial" w:cs="Arial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  <w:rPr>
              <w:rFonts w:ascii="Arial" w:hAnsi="Arial" w:cs="Arial"/>
            </w:rPr>
          </w:pPr>
          <w:r>
            <w:fldChar w:fldCharType="begin"/>
          </w:r>
          <w:r>
            <w:instrText xml:space="preserve"> HYPERLINK \l "_Toc23778" </w:instrText>
          </w:r>
          <w:r>
            <w:fldChar w:fldCharType="separate"/>
          </w:r>
          <w:r>
            <w:rPr>
              <w:rFonts w:ascii="Arial" w:hAnsi="Arial" w:cs="Arial"/>
              <w:b/>
            </w:rPr>
            <w:t xml:space="preserve">Supplementary Figure S8. </w:t>
          </w:r>
          <w:r>
            <w:rPr>
              <w:rFonts w:ascii="Arial" w:hAnsi="Arial" w:cs="Arial"/>
            </w:rPr>
            <w:t>Pearson correlation plot of protein intensities between biological replicates of each time point in INS-1E cells</w:t>
          </w:r>
          <w:r>
            <w:rPr>
              <w:rFonts w:ascii="Arial" w:hAnsi="Arial" w:cs="Arial"/>
            </w:rPr>
            <w:tab/>
          </w:r>
          <w:r>
            <w:rPr>
              <w:rFonts w:ascii="Arial" w:hAnsi="Arial" w:cs="Arial"/>
            </w:rPr>
            <w:fldChar w:fldCharType="begin"/>
          </w:r>
          <w:r>
            <w:rPr>
              <w:rFonts w:ascii="Arial" w:hAnsi="Arial" w:cs="Arial"/>
            </w:rPr>
            <w:instrText xml:space="preserve"> PAGEREF _Toc23778 \h </w:instrText>
          </w:r>
          <w:r>
            <w:rPr>
              <w:rFonts w:ascii="Arial" w:hAnsi="Arial" w:cs="Arial"/>
            </w:rPr>
            <w:fldChar w:fldCharType="separate"/>
          </w:r>
          <w:r>
            <w:rPr>
              <w:rFonts w:ascii="Arial" w:hAnsi="Arial" w:cs="Arial"/>
            </w:rPr>
            <w:t>11</w:t>
          </w:r>
          <w:r>
            <w:rPr>
              <w:rFonts w:ascii="Arial" w:hAnsi="Arial" w:cs="Arial"/>
            </w:rPr>
            <w:fldChar w:fldCharType="end"/>
          </w:r>
          <w:r>
            <w:rPr>
              <w:rFonts w:ascii="Arial" w:hAnsi="Arial" w:cs="Arial"/>
            </w:rPr>
            <w:fldChar w:fldCharType="end"/>
          </w:r>
        </w:p>
        <w:p/>
        <w:p>
          <w:pPr>
            <w:widowControl/>
            <w:jc w:val="left"/>
            <w:rPr>
              <w:rFonts w:ascii="Arial" w:hAnsi="Arial" w:cs="Arial"/>
            </w:rPr>
          </w:pPr>
          <w:r>
            <w:rPr>
              <w:rFonts w:ascii="Arial" w:hAnsi="Arial" w:cs="Arial"/>
            </w:rPr>
            <w:t xml:space="preserve">Supplementary Table 1. Identification and quantification of cell membrane proteins in two cell </w:t>
          </w:r>
          <w:r>
            <w:rPr>
              <w:rFonts w:hint="eastAsia" w:ascii="Arial" w:hAnsi="Arial" w:cs="Arial"/>
            </w:rPr>
            <w:t>type</w:t>
          </w:r>
          <w:r>
            <w:rPr>
              <w:rFonts w:ascii="Arial" w:hAnsi="Arial" w:cs="Arial"/>
            </w:rPr>
            <w:t xml:space="preserve">s </w:t>
          </w:r>
        </w:p>
        <w:p>
          <w:pPr>
            <w:widowControl/>
            <w:jc w:val="left"/>
            <w:rPr>
              <w:rFonts w:ascii="Arial" w:hAnsi="Arial" w:cs="Arial"/>
            </w:rPr>
          </w:pPr>
          <w:r>
            <w:rPr>
              <w:rFonts w:ascii="Arial" w:hAnsi="Arial" w:cs="Arial"/>
            </w:rPr>
            <w:t xml:space="preserve">Supplementary Table 2. </w:t>
          </w:r>
          <w:r>
            <w:rPr>
              <w:rFonts w:hint="eastAsia" w:ascii="Arial" w:hAnsi="Arial" w:cs="Arial"/>
            </w:rPr>
            <w:t>P</w:t>
          </w:r>
          <w:r>
            <w:rPr>
              <w:rFonts w:ascii="Arial" w:hAnsi="Arial" w:cs="Arial"/>
            </w:rPr>
            <w:t>utative cell membrane interactors for the G</w:t>
          </w:r>
          <w:r>
            <w:rPr>
              <w:rFonts w:hint="eastAsia" w:ascii="Arial" w:hAnsi="Arial" w:cs="Arial"/>
            </w:rPr>
            <w:t>LP-1</w:t>
          </w:r>
          <w:r>
            <w:rPr>
              <w:rFonts w:ascii="Arial" w:hAnsi="Arial" w:cs="Arial"/>
            </w:rPr>
            <w:t xml:space="preserve"> receptor in two cell </w:t>
          </w:r>
          <w:r>
            <w:rPr>
              <w:rFonts w:hint="eastAsia" w:ascii="Arial" w:hAnsi="Arial" w:cs="Arial"/>
            </w:rPr>
            <w:t>type</w:t>
          </w:r>
          <w:r>
            <w:rPr>
              <w:rFonts w:ascii="Arial" w:hAnsi="Arial" w:cs="Arial"/>
            </w:rPr>
            <w:t>s</w:t>
          </w:r>
        </w:p>
        <w:p>
          <w:pPr>
            <w:widowControl/>
            <w:jc w:val="left"/>
            <w:rPr>
              <w:rFonts w:ascii="Arial" w:hAnsi="Arial" w:cs="Arial"/>
            </w:rPr>
          </w:pPr>
          <w:r>
            <w:rPr>
              <w:rFonts w:ascii="Arial" w:hAnsi="Arial" w:cs="Arial"/>
            </w:rPr>
            <w:t>Supplementary Table 3. Identification and quantification of cell membrane proteins</w:t>
          </w:r>
          <w:r>
            <w:rPr>
              <w:rFonts w:hint="eastAsia" w:ascii="Arial" w:hAnsi="Arial" w:cs="Arial"/>
            </w:rPr>
            <w:t xml:space="preserve"> in </w:t>
          </w:r>
          <w:r>
            <w:rPr>
              <w:rFonts w:ascii="Arial" w:hAnsi="Arial" w:cs="Arial"/>
            </w:rPr>
            <w:t>the time-resolved experiment</w:t>
          </w:r>
        </w:p>
        <w:p>
          <w:pPr>
            <w:widowControl/>
            <w:jc w:val="left"/>
            <w:rPr>
              <w:rFonts w:ascii="Arial" w:hAnsi="Arial" w:cs="Arial"/>
            </w:rPr>
          </w:pPr>
          <w:r>
            <w:rPr>
              <w:rFonts w:ascii="Arial" w:hAnsi="Arial" w:cs="Arial"/>
            </w:rPr>
            <w:t>Supplementary Table 4.</w:t>
          </w:r>
          <w:r>
            <w:rPr>
              <w:rFonts w:hint="eastAsia" w:ascii="Arial" w:hAnsi="Arial" w:cs="Arial"/>
            </w:rPr>
            <w:t xml:space="preserve"> </w:t>
          </w:r>
          <w:bookmarkStart w:id="0" w:name="OLE_LINK4"/>
          <w:r>
            <w:rPr>
              <w:rFonts w:ascii="Arial" w:hAnsi="Arial" w:cs="Arial"/>
            </w:rPr>
            <w:t>Kinetic profiles of</w:t>
          </w:r>
          <w:r>
            <w:rPr>
              <w:rFonts w:hint="eastAsia" w:ascii="Arial" w:hAnsi="Arial" w:cs="Arial"/>
            </w:rPr>
            <w:t xml:space="preserve"> </w:t>
          </w:r>
          <w:r>
            <w:rPr>
              <w:rFonts w:ascii="Arial" w:hAnsi="Arial" w:cs="Arial"/>
            </w:rPr>
            <w:t xml:space="preserve">the enrichment intensity for </w:t>
          </w:r>
          <w:r>
            <w:rPr>
              <w:rFonts w:hint="eastAsia" w:ascii="Arial" w:hAnsi="Arial" w:cs="Arial"/>
            </w:rPr>
            <w:t>p</w:t>
          </w:r>
          <w:r>
            <w:rPr>
              <w:rFonts w:ascii="Arial" w:hAnsi="Arial" w:cs="Arial"/>
            </w:rPr>
            <w:t>utative G</w:t>
          </w:r>
          <w:r>
            <w:rPr>
              <w:rFonts w:hint="eastAsia" w:ascii="Arial" w:hAnsi="Arial" w:cs="Arial"/>
            </w:rPr>
            <w:t xml:space="preserve">lp-1r </w:t>
          </w:r>
          <w:r>
            <w:rPr>
              <w:rFonts w:ascii="Arial" w:hAnsi="Arial" w:cs="Arial"/>
            </w:rPr>
            <w:t>cell membrane interactors</w:t>
          </w:r>
          <w:bookmarkEnd w:id="0"/>
        </w:p>
        <w:p>
          <w:pPr>
            <w:widowControl/>
            <w:jc w:val="left"/>
            <w:rPr>
              <w:rFonts w:ascii="Arial" w:hAnsi="Arial" w:cs="Arial"/>
            </w:rPr>
          </w:pPr>
          <w:r>
            <w:rPr>
              <w:rFonts w:ascii="Arial" w:hAnsi="Arial" w:cs="Arial"/>
            </w:rPr>
            <w:t xml:space="preserve">Supplementary Table 5. </w:t>
          </w:r>
          <w:bookmarkStart w:id="1" w:name="OLE_LINK5"/>
          <w:r>
            <w:rPr>
              <w:rFonts w:ascii="Arial" w:hAnsi="Arial" w:cs="Arial"/>
            </w:rPr>
            <w:t>Lists of plasmid primer,</w:t>
          </w:r>
          <w:r>
            <w:rPr>
              <w:rFonts w:hint="eastAsia" w:ascii="Arial" w:hAnsi="Arial" w:cs="Arial"/>
            </w:rPr>
            <w:t xml:space="preserve"> </w:t>
          </w:r>
          <w:r>
            <w:rPr>
              <w:rFonts w:ascii="Arial" w:hAnsi="Arial" w:cs="Arial"/>
            </w:rPr>
            <w:t>qPCR primer</w:t>
          </w:r>
          <w:r>
            <w:rPr>
              <w:rFonts w:hint="eastAsia" w:ascii="Arial" w:hAnsi="Arial" w:cs="Arial"/>
            </w:rPr>
            <w:t xml:space="preserve"> </w:t>
          </w:r>
          <w:r>
            <w:rPr>
              <w:rFonts w:ascii="Arial" w:hAnsi="Arial" w:cs="Arial"/>
            </w:rPr>
            <w:t>and</w:t>
          </w:r>
          <w:r>
            <w:rPr>
              <w:rFonts w:hint="eastAsia" w:ascii="Arial" w:hAnsi="Arial" w:cs="Arial"/>
            </w:rPr>
            <w:t xml:space="preserve"> </w:t>
          </w:r>
          <w:r>
            <w:rPr>
              <w:rFonts w:ascii="Arial" w:hAnsi="Arial" w:cs="Arial"/>
            </w:rPr>
            <w:t>siRNA sequences</w:t>
          </w:r>
          <w:bookmarkEnd w:id="1"/>
        </w:p>
        <w:p/>
        <w:p>
          <w:pPr>
            <w:rPr>
              <w:rFonts w:ascii="Arial" w:hAnsi="Arial" w:cs="Arial"/>
              <w:i/>
            </w:rPr>
          </w:pPr>
          <w:r>
            <w:rPr>
              <w:rFonts w:ascii="Arial" w:hAnsi="Arial" w:cs="Arial"/>
            </w:rPr>
            <w:fldChar w:fldCharType="end"/>
          </w:r>
          <w:r>
            <w:rPr>
              <w:rFonts w:ascii="Arial" w:hAnsi="Arial" w:cs="Arial"/>
              <w:i/>
            </w:rPr>
            <w:t>Supplementary Tables are provided as separate Excel sheets.</w:t>
          </w:r>
        </w:p>
      </w:sdtContent>
    </w:sdt>
    <w:p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>
      <w:pPr>
        <w:rPr>
          <w:rFonts w:ascii="Arial" w:hAnsi="Arial" w:cs="Arial"/>
        </w:rPr>
      </w:pPr>
      <w:r>
        <w:rPr>
          <w:rFonts w:ascii="Arial" w:hAnsi="Arial" w:cs="Arial"/>
        </w:rPr>
        <w:drawing>
          <wp:inline distT="0" distB="0" distL="114300" distR="114300">
            <wp:extent cx="5271135" cy="6078220"/>
            <wp:effectExtent l="0" t="0" r="0" b="0"/>
            <wp:docPr id="1" name="图片 1" descr="SI-v6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I-v6_画板 1"/>
                    <pic:cNvPicPr>
                      <a:picLocks noChangeAspect="1"/>
                    </pic:cNvPicPr>
                  </pic:nvPicPr>
                  <pic:blipFill>
                    <a:blip r:embed="rId5"/>
                    <a:srcRect t="3952" b="1915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07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outlineLvl w:val="0"/>
        <w:rPr>
          <w:rFonts w:ascii="Arial" w:hAnsi="Arial" w:cs="Arial"/>
          <w:b/>
          <w:bCs/>
        </w:rPr>
      </w:pPr>
      <w:bookmarkStart w:id="2" w:name="_Toc18133"/>
      <w:r>
        <w:rPr>
          <w:rFonts w:ascii="Arial" w:hAnsi="Arial" w:cs="Arial"/>
          <w:b/>
          <w:bCs/>
        </w:rPr>
        <w:t>Supplementary Figure S1. Purification of GLP-1-APEX2 and characterization of two GLP-1-PEX probes</w:t>
      </w:r>
      <w:bookmarkEnd w:id="2"/>
    </w:p>
    <w:p>
      <w:pPr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Size-exclusion chromatography (SEC) analysis of GLP-1-APEX2 in the heme-bound and heme-unbound forms (left) and Coomassie staining of the purified GLP-1-APEX2 fusion protein (right). A405 represents the heme absorption peak. Fractions containing GLP-1-APEX2 bound to heme (B3 and B4) were utilized in the proximity labeling experiment. </w:t>
      </w:r>
    </w:p>
    <w:p>
      <w:pPr>
        <w:rPr>
          <w:rFonts w:ascii="Arial" w:hAnsi="Arial" w:cs="Arial"/>
        </w:rPr>
      </w:pPr>
      <w:r>
        <w:rPr>
          <w:rFonts w:ascii="Arial" w:hAnsi="Arial" w:cs="Arial"/>
        </w:rPr>
        <w:t>(B, C) Immunofluorescence imaging of GLP-1-biotin (B) and GLP-1-APEX2 (C) induced GLP-1R internalization at different time points in GLP-1R-expressing HEK293 cells. Representative images from 3 independent experiments are shown. Scale bars, 10 μM.</w:t>
      </w:r>
    </w:p>
    <w:p>
      <w:pPr>
        <w:rPr>
          <w:rFonts w:ascii="Arial" w:hAnsi="Arial" w:cs="Arial"/>
        </w:rPr>
      </w:pPr>
      <w:r>
        <w:rPr>
          <w:rFonts w:ascii="Arial" w:hAnsi="Arial" w:cs="Arial"/>
        </w:rPr>
        <w:t>(D) EC</w:t>
      </w:r>
      <w:r>
        <w:rPr>
          <w:rFonts w:ascii="Arial" w:hAnsi="Arial" w:cs="Arial"/>
          <w:vertAlign w:val="subscript"/>
        </w:rPr>
        <w:t>50</w:t>
      </w:r>
      <w:r>
        <w:rPr>
          <w:rFonts w:ascii="Arial" w:hAnsi="Arial" w:cs="Arial"/>
        </w:rPr>
        <w:t xml:space="preserve"> measurement for cAMP accumulation assays in Fig. 1D. </w:t>
      </w:r>
      <w:r>
        <w:rPr>
          <w:rFonts w:ascii="Arial" w:hAnsi="Arial" w:cs="Arial"/>
          <w:sz w:val="22"/>
        </w:rPr>
        <w:t>Data are shown as means ± SEM</w:t>
      </w:r>
      <w:r>
        <w:rPr>
          <w:rFonts w:ascii="Arial" w:hAnsi="Arial" w:cs="Arial"/>
          <w:color w:val="0000FF"/>
          <w:sz w:val="22"/>
        </w:rPr>
        <w:t xml:space="preserve"> </w:t>
      </w:r>
      <w:r>
        <w:rPr>
          <w:rFonts w:ascii="Arial" w:hAnsi="Arial" w:cs="Arial"/>
          <w:sz w:val="22"/>
        </w:rPr>
        <w:t>in two independent experiments.</w:t>
      </w:r>
    </w:p>
    <w:p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>
      <w:pPr>
        <w:rPr>
          <w:rFonts w:ascii="Arial" w:hAnsi="Arial" w:cs="Arial"/>
        </w:rPr>
      </w:pPr>
      <w:r>
        <w:rPr>
          <w:rFonts w:ascii="Arial" w:hAnsi="Arial" w:cs="Arial"/>
        </w:rPr>
        <w:drawing>
          <wp:inline distT="0" distB="0" distL="114300" distR="114300">
            <wp:extent cx="5271135" cy="6428105"/>
            <wp:effectExtent l="0" t="0" r="0" b="0"/>
            <wp:docPr id="2" name="图片 2" descr="SI-v6-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I-v6-02"/>
                    <pic:cNvPicPr>
                      <a:picLocks noChangeAspect="1"/>
                    </pic:cNvPicPr>
                  </pic:nvPicPr>
                  <pic:blipFill>
                    <a:blip r:embed="rId6"/>
                    <a:srcRect t="2530" b="1615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428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outlineLvl w:val="0"/>
        <w:rPr>
          <w:rFonts w:ascii="Arial" w:hAnsi="Arial" w:cs="Arial"/>
          <w:b/>
          <w:bCs/>
        </w:rPr>
      </w:pPr>
      <w:bookmarkStart w:id="3" w:name="_Toc4187"/>
      <w:r>
        <w:rPr>
          <w:rFonts w:ascii="Arial" w:hAnsi="Arial" w:cs="Arial"/>
          <w:b/>
          <w:bCs/>
        </w:rPr>
        <w:t>Supplementary Figure S2. Whole-cell immunostaining in HEK293 cells labeled with two GLP-1-PEX probes</w:t>
      </w:r>
      <w:bookmarkEnd w:id="3"/>
    </w:p>
    <w:p>
      <w:pPr>
        <w:rPr>
          <w:rFonts w:ascii="Arial" w:hAnsi="Arial" w:cs="Arial"/>
        </w:rPr>
      </w:pPr>
      <w:bookmarkStart w:id="4" w:name="OLE_LINK1"/>
      <w:r>
        <w:rPr>
          <w:rFonts w:ascii="Arial" w:hAnsi="Arial" w:cs="Arial"/>
        </w:rPr>
        <w:t>(A, B) Immunofluorescence imaging of whole-cell staining in GLP-1R-expressing HEK293 cells labeled with probe GLP-1-HRP (A) or GLP-1-APEX2 (B) both at 1 µM for 1 min. Cells were permeabilized with Triton X-100 before anti-FLAG or streptavidin-fluorophore incubation. GLP-1-HRP (-*) denotes the treatment of streptavidin-HRP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Cs w:val="21"/>
        </w:rPr>
        <w:t>at 1 µM</w:t>
      </w:r>
      <w:r>
        <w:rPr>
          <w:rFonts w:ascii="Arial" w:hAnsi="Arial" w:cs="Arial"/>
        </w:rPr>
        <w:t>. Scale bars, 10 µm.</w:t>
      </w:r>
    </w:p>
    <w:p>
      <w:pPr>
        <w:rPr>
          <w:rFonts w:ascii="Arial" w:hAnsi="Arial" w:cs="Arial"/>
        </w:rPr>
      </w:pPr>
      <w:r>
        <w:rPr>
          <w:rFonts w:ascii="Arial" w:hAnsi="Arial" w:cs="Arial"/>
        </w:rPr>
        <w:t>(C, D) Corresponding silver staining images for the streptavidin blots in Fig. 2C and Fig. 2D.</w:t>
      </w:r>
    </w:p>
    <w:bookmarkEnd w:id="4"/>
    <w:p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>
      <w:pPr>
        <w:rPr>
          <w:rFonts w:hint="eastAsia" w:ascii="Arial" w:hAnsi="Arial" w:cs="Arial" w:eastAsiaTheme="minorEastAsia"/>
          <w:lang w:eastAsia="zh-CN"/>
        </w:rPr>
      </w:pPr>
      <w:r>
        <w:rPr>
          <w:rFonts w:hint="eastAsia" w:ascii="Arial" w:hAnsi="Arial" w:cs="Arial" w:eastAsiaTheme="minorEastAsia"/>
          <w:lang w:eastAsia="zh-CN"/>
        </w:rPr>
        <w:drawing>
          <wp:inline distT="0" distB="0" distL="114300" distR="114300">
            <wp:extent cx="5271135" cy="7905115"/>
            <wp:effectExtent l="0" t="0" r="5715" b="635"/>
            <wp:docPr id="3" name="图片 3" descr="SI-v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I-v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905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outlineLvl w:val="0"/>
        <w:rPr>
          <w:rFonts w:ascii="Arial" w:hAnsi="Arial" w:cs="Arial"/>
          <w:b/>
          <w:bCs/>
        </w:rPr>
      </w:pPr>
      <w:bookmarkStart w:id="5" w:name="_Toc5990"/>
      <w:r>
        <w:rPr>
          <w:rFonts w:ascii="Arial" w:hAnsi="Arial" w:cs="Arial"/>
          <w:b/>
          <w:bCs/>
        </w:rPr>
        <w:t>Supplementary Figure S3. Validation of endogenous expression of the GLP-1 receptor and assessment of the two GLP-1-PEX probes for proximity labeling in INS-1E and SK-N-SH cells</w:t>
      </w:r>
      <w:bookmarkEnd w:id="5"/>
    </w:p>
    <w:p>
      <w:pPr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Immunofluorescence imaging validating the specificity of the GLP-1R antibody in Glp-1r (rat GLP-1R)-expressing HEK293 cells. Scale bars, 10 µm. </w:t>
      </w:r>
    </w:p>
    <w:p>
      <w:pPr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Immunofluorescence images of endogenously expressed receptor in INS-1E and SK-N-SH cells using the GLP-1R antibody. Scale bars, 10 µm.</w:t>
      </w:r>
    </w:p>
    <w:p>
      <w:pPr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Western blot of endogenously expressed receptor in INS-1E and SK-N-SH cells using the GLP-1R antibody.</w:t>
      </w:r>
    </w:p>
    <w:p>
      <w:pPr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Corresponding silver staining images of the streptavidin blots in Fig. 3C.</w:t>
      </w:r>
    </w:p>
    <w:p>
      <w:pPr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Streptavidin blotting and silver staining of whole-cell lysates from INS-1E cells labeled with GLP-1-HRP (left) or GLP-1-APEX2 (right) both at 1 µM for 1 min in the absence or presence of 100 µM GLP-1. </w:t>
      </w:r>
    </w:p>
    <w:p>
      <w:pPr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EC</w:t>
      </w:r>
      <w:r>
        <w:rPr>
          <w:rFonts w:ascii="Arial" w:hAnsi="Arial" w:cs="Arial"/>
          <w:vertAlign w:val="subscript"/>
        </w:rPr>
        <w:t>50</w:t>
      </w:r>
      <w:r>
        <w:rPr>
          <w:rFonts w:ascii="Arial" w:hAnsi="Arial" w:cs="Arial"/>
        </w:rPr>
        <w:t xml:space="preserve"> measurement for cAMP accumulation assays in Fig. 3D.</w:t>
      </w:r>
      <w:r>
        <w:rPr>
          <w:rFonts w:ascii="Arial" w:hAnsi="Arial" w:cs="Arial"/>
          <w:sz w:val="22"/>
        </w:rPr>
        <w:t xml:space="preserve"> Data are shown as means ± SEM in three independent experiments.</w:t>
      </w:r>
    </w:p>
    <w:p>
      <w:pPr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Corresponding silver staining images of the streptavidin blots in Fig. 3F.</w:t>
      </w:r>
    </w:p>
    <w:p>
      <w:pPr>
        <w:jc w:val="left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>
      <w:pPr>
        <w:rPr>
          <w:rFonts w:hint="eastAsia" w:ascii="Arial" w:hAnsi="Arial" w:cs="Arial" w:eastAsiaTheme="minorEastAsia"/>
          <w:lang w:eastAsia="zh-CN"/>
        </w:rPr>
      </w:pPr>
      <w:r>
        <w:rPr>
          <w:rFonts w:hint="eastAsia" w:ascii="Arial" w:hAnsi="Arial" w:cs="Arial" w:eastAsiaTheme="minorEastAsia"/>
          <w:lang w:eastAsia="zh-CN"/>
        </w:rPr>
        <w:drawing>
          <wp:inline distT="0" distB="0" distL="114300" distR="114300">
            <wp:extent cx="5271135" cy="6100445"/>
            <wp:effectExtent l="0" t="0" r="0" b="0"/>
            <wp:docPr id="4" name="图片 4" descr="SI-v7-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I-v7-04"/>
                    <pic:cNvPicPr>
                      <a:picLocks noChangeAspect="1"/>
                    </pic:cNvPicPr>
                  </pic:nvPicPr>
                  <pic:blipFill>
                    <a:blip r:embed="rId8"/>
                    <a:srcRect t="2996" b="1983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100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outlineLvl w:val="0"/>
        <w:rPr>
          <w:rFonts w:ascii="Arial" w:hAnsi="Arial" w:cs="Arial"/>
          <w:b/>
          <w:bCs/>
        </w:rPr>
      </w:pPr>
      <w:bookmarkStart w:id="6" w:name="_Toc24990"/>
      <w:r>
        <w:rPr>
          <w:rFonts w:ascii="Arial" w:hAnsi="Arial" w:cs="Arial"/>
          <w:b/>
          <w:bCs/>
        </w:rPr>
        <w:t>Supplementary Figure S4. Optimization of the proximity labeling condition and sliver staining of eluted biotinylated proteins in INS-1E and SK-N-SH cells</w:t>
      </w:r>
      <w:bookmarkEnd w:id="6"/>
      <w:r>
        <w:rPr>
          <w:rFonts w:ascii="Arial" w:hAnsi="Arial" w:cs="Arial"/>
          <w:b/>
          <w:bCs/>
        </w:rPr>
        <w:t xml:space="preserve"> </w:t>
      </w:r>
    </w:p>
    <w:p>
      <w:pPr>
        <w:rPr>
          <w:rFonts w:ascii="Arial" w:hAnsi="Arial" w:cs="Arial"/>
        </w:rPr>
      </w:pPr>
      <w:r>
        <w:rPr>
          <w:rFonts w:ascii="Arial" w:hAnsi="Arial" w:cs="Arial"/>
        </w:rPr>
        <w:t>(A, B) Streptavidin blotting and silver staining images for the optimization of proximity labeling with probe GLP-1-APEX2 (GA) in INS-1E (A) and SK-N-SH (B) cells.</w:t>
      </w:r>
    </w:p>
    <w:p>
      <w:pPr>
        <w:rPr>
          <w:rFonts w:ascii="Arial" w:hAnsi="Arial" w:cs="Arial"/>
        </w:rPr>
      </w:pPr>
      <w:r>
        <w:rPr>
          <w:rFonts w:ascii="Arial" w:hAnsi="Arial" w:cs="Arial"/>
        </w:rPr>
        <w:t>(C, D) Corresponding silver staining images of the streptavidin blots in Fig. 4B and Fig. 4C.</w:t>
      </w:r>
    </w:p>
    <w:p>
      <w:pPr>
        <w:numPr>
          <w:numId w:val="0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(E, F) Silver staining images of the biotinylated proteins eluted from neutravidin beads in INS-1E (E) and SK-N-SH (F) cells labeled with GLP-1-APEX2 (GA) in the absence or presence of GLP-1 in large excess. </w:t>
      </w:r>
    </w:p>
    <w:p>
      <w:pPr>
        <w:rPr>
          <w:rFonts w:ascii="Arial" w:hAnsi="Arial" w:cs="Arial"/>
        </w:rPr>
      </w:pPr>
      <w:r>
        <w:rPr>
          <w:rFonts w:ascii="Arial" w:hAnsi="Arial" w:cs="Arial"/>
        </w:rPr>
        <w:t>.</w:t>
      </w: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>
      <w:pPr>
        <w:rPr>
          <w:rFonts w:hint="eastAsia" w:ascii="Arial" w:hAnsi="Arial" w:cs="Arial" w:eastAsiaTheme="minorEastAsia"/>
          <w:lang w:eastAsia="zh-CN"/>
        </w:rPr>
      </w:pPr>
      <w:r>
        <w:rPr>
          <w:rFonts w:hint="eastAsia" w:ascii="Arial" w:hAnsi="Arial" w:cs="Arial" w:eastAsiaTheme="minorEastAsia"/>
          <w:lang w:eastAsia="zh-CN"/>
        </w:rPr>
        <w:drawing>
          <wp:inline distT="0" distB="0" distL="114300" distR="114300">
            <wp:extent cx="5271135" cy="2439035"/>
            <wp:effectExtent l="0" t="0" r="0" b="0"/>
            <wp:docPr id="5" name="图片 5" descr="SI-v7-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I-v7-05"/>
                    <pic:cNvPicPr>
                      <a:picLocks noChangeAspect="1"/>
                    </pic:cNvPicPr>
                  </pic:nvPicPr>
                  <pic:blipFill>
                    <a:blip r:embed="rId9"/>
                    <a:srcRect t="2892" b="6625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3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outlineLvl w:val="0"/>
        <w:rPr>
          <w:rFonts w:ascii="Arial" w:hAnsi="Arial" w:cs="Arial"/>
        </w:rPr>
      </w:pPr>
      <w:bookmarkStart w:id="7" w:name="_Toc1627"/>
      <w:r>
        <w:rPr>
          <w:rFonts w:ascii="Arial" w:hAnsi="Arial" w:cs="Arial"/>
          <w:b/>
          <w:bCs/>
        </w:rPr>
        <w:t xml:space="preserve">Supplementary Figure S5. </w:t>
      </w:r>
      <w:r>
        <w:rPr>
          <w:rFonts w:ascii="Arial" w:hAnsi="Arial" w:cs="Arial"/>
          <w:b/>
        </w:rPr>
        <w:t xml:space="preserve">Pearson correlation plot of protein intensities between biological replicates of each condition in INS-1E (A) and SK-N-SH (B) cells indicating sufficient quantitative consistency </w:t>
      </w:r>
      <w:r>
        <w:rPr>
          <w:rFonts w:ascii="Arial" w:hAnsi="Arial" w:cs="Arial"/>
        </w:rPr>
        <w:t>GA group, labeling with probe GLP-1-APEX2 at 1 µM. PBS group, a probe-free control to replace the probe by PBS in labeling. GA+GLP-1 group, a probe-competition control to add both the probe and GLP-1 in large excess (100 µM).</w:t>
      </w:r>
      <w:bookmarkEnd w:id="7"/>
    </w:p>
    <w:p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>
      <w:pPr>
        <w:rPr>
          <w:rFonts w:hint="eastAsia" w:ascii="Arial" w:hAnsi="Arial" w:cs="Arial" w:eastAsiaTheme="minorEastAsia"/>
          <w:lang w:eastAsia="zh-CN"/>
        </w:rPr>
      </w:pPr>
      <w:r>
        <w:rPr>
          <w:rFonts w:hint="eastAsia" w:ascii="Arial" w:hAnsi="Arial" w:cs="Arial" w:eastAsiaTheme="minorEastAsia"/>
          <w:lang w:eastAsia="zh-CN"/>
        </w:rPr>
        <w:drawing>
          <wp:inline distT="0" distB="0" distL="114300" distR="114300">
            <wp:extent cx="5271135" cy="5604510"/>
            <wp:effectExtent l="0" t="0" r="0" b="0"/>
            <wp:docPr id="6" name="图片 6" descr="SI-v7-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I-v7-06"/>
                    <pic:cNvPicPr>
                      <a:picLocks noChangeAspect="1"/>
                    </pic:cNvPicPr>
                  </pic:nvPicPr>
                  <pic:blipFill>
                    <a:blip r:embed="rId10"/>
                    <a:srcRect t="4065" b="2503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60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outlineLvl w:val="0"/>
        <w:rPr>
          <w:rFonts w:ascii="Arial" w:hAnsi="Arial" w:cs="Arial"/>
          <w:b/>
          <w:bCs/>
        </w:rPr>
      </w:pPr>
      <w:bookmarkStart w:id="8" w:name="_Toc27050"/>
      <w:r>
        <w:rPr>
          <w:rFonts w:ascii="Arial" w:hAnsi="Arial" w:cs="Arial"/>
          <w:b/>
          <w:bCs/>
        </w:rPr>
        <w:t>Supplementary Figure S6. Validation of selected GLP-1 receptor-interacting proteins discovered in INS-1E and SK-N-SH cells</w:t>
      </w:r>
      <w:bookmarkEnd w:id="8"/>
    </w:p>
    <w:p>
      <w:pPr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Pearson correlation coefficient indicating the degree of co-localization of five selected Glp-1r-interacting cell membrane proteins (identified in INS-1E cells) with the receptor when co-expressed in HEK293 cells treated by GLP-1 (1 µM) for 5 min, corresponding to Fig. 5B. Data are presented as mean values ± SEM (n=10 cells).</w:t>
      </w:r>
    </w:p>
    <w:p>
      <w:pPr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Co-immunoprecipitation of four selected interactors (identified in INS-1E cells) with the receptor when co-expressed in HEK293 cells treated with or without GLP-1 (1 µM) for 5 min.</w:t>
      </w:r>
    </w:p>
    <w:p>
      <w:pPr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Co-immunoprecipitation of three selected interactors (identified in SK-N-SH cells) with the receptor when co-expressed in HEK293 cells treated by GLP-1 (1 µM) for 5 min.</w:t>
      </w:r>
    </w:p>
    <w:p>
      <w:pPr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Confocal images showing co-localization of one selected interacting cell membrane protein (identified in SK-N-SH cells) with the receptor when co-expressed in HEK293 cells treated by GLP-1 (1 µM) for 5 min. Scale bar, 10 μM.</w:t>
      </w:r>
    </w:p>
    <w:p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>
      <w:pPr>
        <w:rPr>
          <w:rFonts w:hint="eastAsia" w:ascii="Arial" w:hAnsi="Arial" w:cs="Arial" w:eastAsiaTheme="minorEastAsia"/>
          <w:lang w:eastAsia="zh-CN"/>
        </w:rPr>
      </w:pPr>
      <w:r>
        <w:rPr>
          <w:rFonts w:hint="eastAsia" w:ascii="Arial" w:hAnsi="Arial" w:cs="Arial" w:eastAsiaTheme="minorEastAsia"/>
          <w:lang w:eastAsia="zh-CN"/>
        </w:rPr>
        <w:drawing>
          <wp:inline distT="0" distB="0" distL="114300" distR="114300">
            <wp:extent cx="5271135" cy="3274060"/>
            <wp:effectExtent l="0" t="0" r="0" b="0"/>
            <wp:docPr id="7" name="图片 7" descr="SI-v7-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I-v7-07"/>
                    <pic:cNvPicPr>
                      <a:picLocks noChangeAspect="1"/>
                    </pic:cNvPicPr>
                  </pic:nvPicPr>
                  <pic:blipFill>
                    <a:blip r:embed="rId11"/>
                    <a:srcRect t="4314" b="5426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274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outlineLvl w:val="0"/>
        <w:rPr>
          <w:rFonts w:ascii="Arial" w:hAnsi="Arial" w:cs="Arial"/>
          <w:b/>
          <w:bCs/>
        </w:rPr>
      </w:pPr>
      <w:bookmarkStart w:id="9" w:name="OLE_LINK3"/>
      <w:bookmarkStart w:id="10" w:name="_Toc30747"/>
      <w:r>
        <w:rPr>
          <w:rFonts w:ascii="Arial" w:hAnsi="Arial" w:cs="Arial"/>
          <w:b/>
          <w:bCs/>
        </w:rPr>
        <w:t xml:space="preserve">Supplementary Figure S7. </w:t>
      </w:r>
      <w:bookmarkEnd w:id="9"/>
      <w:r>
        <w:rPr>
          <w:rFonts w:ascii="Arial" w:hAnsi="Arial" w:cs="Arial"/>
          <w:b/>
          <w:bCs/>
        </w:rPr>
        <w:t>Knockdown of selected interactors and related Glp-1r cell surface expression in INS-1E cells as well as signaling assays in HEK293 cells</w:t>
      </w:r>
      <w:bookmarkEnd w:id="10"/>
    </w:p>
    <w:p>
      <w:pPr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qPCR results demonstrating the effectiveness of siRNAs targeting selected interactors for knockdown in INS-1E cells. Data are presented as mean values ± SEM (n=3).</w:t>
      </w:r>
      <w:bookmarkStart w:id="13" w:name="_GoBack"/>
      <w:bookmarkEnd w:id="13"/>
    </w:p>
    <w:p>
      <w:pPr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Relative cell surface expression of FLAG-Glp-1r in HEK293 cells co-transfected with rat Glp-1r and selected interactors.</w:t>
      </w:r>
      <w:bookmarkStart w:id="11" w:name="OLE_LINK2"/>
      <w:r>
        <w:rPr>
          <w:rFonts w:ascii="Arial" w:hAnsi="Arial" w:cs="Arial"/>
        </w:rPr>
        <w:t xml:space="preserve"> Data are presented as mean values ± SEM (n=2).</w:t>
      </w:r>
      <w:bookmarkEnd w:id="11"/>
    </w:p>
    <w:p>
      <w:pPr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EC</w:t>
      </w:r>
      <w:r>
        <w:rPr>
          <w:rFonts w:ascii="Arial" w:hAnsi="Arial" w:cs="Arial"/>
          <w:vertAlign w:val="subscript"/>
        </w:rPr>
        <w:t>50</w:t>
      </w:r>
      <w:r>
        <w:rPr>
          <w:rFonts w:ascii="Arial" w:hAnsi="Arial" w:cs="Arial"/>
        </w:rPr>
        <w:t xml:space="preserve"> measurement for cAMP accumulation assays in HEK293 cells co-transfected with rat Glp-1r and selected interactors, corresponding to Fig. 5G.</w:t>
      </w:r>
    </w:p>
    <w:p>
      <w:pPr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EC</w:t>
      </w:r>
      <w:r>
        <w:rPr>
          <w:rFonts w:ascii="Arial" w:hAnsi="Arial" w:cs="Arial"/>
          <w:vertAlign w:val="subscript"/>
        </w:rPr>
        <w:t>50</w:t>
      </w:r>
      <w:r>
        <w:rPr>
          <w:rFonts w:ascii="Arial" w:hAnsi="Arial" w:cs="Arial"/>
        </w:rPr>
        <w:t xml:space="preserve"> and E</w:t>
      </w:r>
      <w:r>
        <w:rPr>
          <w:rFonts w:ascii="Arial" w:hAnsi="Arial" w:cs="Arial"/>
          <w:vertAlign w:val="subscript"/>
        </w:rPr>
        <w:t>max</w:t>
      </w:r>
      <w:r>
        <w:rPr>
          <w:rFonts w:ascii="Arial" w:hAnsi="Arial" w:cs="Arial"/>
        </w:rPr>
        <w:t xml:space="preserve"> measurement for calcium mobilization assay in HEK293 cells co-transfected with rat Glp-1r and selected interactors, corresponding to Fig. 5G.</w:t>
      </w:r>
    </w:p>
    <w:p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drawing>
          <wp:inline distT="0" distB="0" distL="114300" distR="114300">
            <wp:extent cx="5271135" cy="2032635"/>
            <wp:effectExtent l="0" t="0" r="0" b="0"/>
            <wp:docPr id="9" name="图片 9" descr="SI-v6-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SI-v6-08"/>
                    <pic:cNvPicPr>
                      <a:picLocks noChangeAspect="1"/>
                    </pic:cNvPicPr>
                  </pic:nvPicPr>
                  <pic:blipFill>
                    <a:blip r:embed="rId12"/>
                    <a:srcRect t="7920" b="6636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03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outlineLvl w:val="0"/>
        <w:rPr>
          <w:rFonts w:ascii="Arial" w:hAnsi="Arial" w:cs="Arial"/>
          <w:b/>
        </w:rPr>
      </w:pPr>
      <w:bookmarkStart w:id="12" w:name="_Toc23778"/>
      <w:r>
        <w:rPr>
          <w:rFonts w:ascii="Arial" w:hAnsi="Arial" w:cs="Arial"/>
          <w:b/>
          <w:bCs/>
        </w:rPr>
        <w:t xml:space="preserve">Supplementary Figure S8. </w:t>
      </w:r>
      <w:r>
        <w:rPr>
          <w:rFonts w:ascii="Arial" w:hAnsi="Arial" w:cs="Arial"/>
          <w:b/>
        </w:rPr>
        <w:t>Pearson correlation plot of protein intensities between biological replicates of each time point in INS-1E cells indicating sufficient quantitative consistency</w:t>
      </w:r>
      <w:bookmarkEnd w:id="12"/>
    </w:p>
    <w:p>
      <w:pPr>
        <w:rPr>
          <w:rFonts w:ascii="Arial" w:hAnsi="Arial" w:cs="Arial"/>
          <w:b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fldChar w:fldCharType="begin"/>
                          </w:r>
                          <w:r>
                            <w:rPr>
                              <w:rFonts w:ascii="Arial" w:hAnsi="Arial" w:cs="Arial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Arial" w:hAnsi="Arial" w:cs="Arial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cs="Arial"/>
                            </w:rPr>
                            <w:t>1</w:t>
                          </w:r>
                          <w:r>
                            <w:rPr>
                              <w:rFonts w:ascii="Arial" w:hAnsi="Arial"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rd1wwqAgAAVw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QFOgGSaKZQ8cv3b5cf&#10;vy4/vxKcQaDG+jnidhaRoX1rWgQP5x6HkXdbOhW/YETgB9b5Kq9oA+Hx0mw6m43h4vANG+Bnj9et&#10;8+GdMIpEI6cO9UuystPWhy50CInZtNnUUqYaSk2anN68fjNOF64egEuNHJFE99hohXbf9sz2pjiD&#10;mDNdb3jLNzWSb5kPD8yhGfBgjEu4x1JKgySmtyipjPvyr/MYjxrBS0mD5sqpxixRIt9r1A6AYTDc&#10;YOwHQx/VnUG3TjCGlicTF1yQg1k6oz5jhlYxB1xMc2TKaRjMu9A1OGaQi9UqBaHbLAtbvbM8Qkfx&#10;vF0dAwRMukZROiV6rdBvqTL9bMSG/nOfoh7/B8v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Mrd1wwqAgAAVw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</w:rPr>
                      <w:fldChar w:fldCharType="begin"/>
                    </w:r>
                    <w:r>
                      <w:rPr>
                        <w:rFonts w:ascii="Arial" w:hAnsi="Arial" w:cs="Arial"/>
                      </w:rPr>
                      <w:instrText xml:space="preserve"> PAGE  \* MERGEFORMAT </w:instrText>
                    </w:r>
                    <w:r>
                      <w:rPr>
                        <w:rFonts w:ascii="Arial" w:hAnsi="Arial" w:cs="Arial"/>
                      </w:rPr>
                      <w:fldChar w:fldCharType="separate"/>
                    </w:r>
                    <w:r>
                      <w:rPr>
                        <w:rFonts w:ascii="Arial" w:hAnsi="Arial" w:cs="Arial"/>
                      </w:rPr>
                      <w:t>1</w:t>
                    </w:r>
                    <w:r>
                      <w:rPr>
                        <w:rFonts w:ascii="Arial" w:hAnsi="Arial" w:cs="Arial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BC390F"/>
    <w:multiLevelType w:val="singleLevel"/>
    <w:tmpl w:val="9DBC390F"/>
    <w:lvl w:ilvl="0" w:tentative="0">
      <w:start w:val="1"/>
      <w:numFmt w:val="upperLetter"/>
      <w:suff w:val="space"/>
      <w:lvlText w:val="(%1)"/>
      <w:lvlJc w:val="left"/>
      <w:rPr>
        <w:rFonts w:hint="default" w:ascii="Arial" w:hAnsi="Arial" w:cs="Arial"/>
      </w:rPr>
    </w:lvl>
  </w:abstractNum>
  <w:abstractNum w:abstractNumId="1">
    <w:nsid w:val="CE6405C5"/>
    <w:multiLevelType w:val="singleLevel"/>
    <w:tmpl w:val="CE6405C5"/>
    <w:lvl w:ilvl="0" w:tentative="0">
      <w:start w:val="1"/>
      <w:numFmt w:val="upperLetter"/>
      <w:suff w:val="space"/>
      <w:lvlText w:val="(%1)"/>
      <w:lvlJc w:val="left"/>
      <w:rPr>
        <w:rFonts w:hint="default" w:ascii="Arial" w:hAnsi="Arial" w:cs="Arial"/>
      </w:rPr>
    </w:lvl>
  </w:abstractNum>
  <w:abstractNum w:abstractNumId="2">
    <w:nsid w:val="E1455A5A"/>
    <w:multiLevelType w:val="singleLevel"/>
    <w:tmpl w:val="E1455A5A"/>
    <w:lvl w:ilvl="0" w:tentative="0">
      <w:start w:val="1"/>
      <w:numFmt w:val="upperLetter"/>
      <w:suff w:val="space"/>
      <w:lvlText w:val="(%1)"/>
      <w:lvlJc w:val="left"/>
    </w:lvl>
  </w:abstractNum>
  <w:abstractNum w:abstractNumId="3">
    <w:nsid w:val="748B2D87"/>
    <w:multiLevelType w:val="singleLevel"/>
    <w:tmpl w:val="748B2D87"/>
    <w:lvl w:ilvl="0" w:tentative="0">
      <w:start w:val="1"/>
      <w:numFmt w:val="upperLetter"/>
      <w:suff w:val="space"/>
      <w:lvlText w:val="(%1)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1YWNmNmM2YjVjNzFiZWY0Y2E3YTQxMzM3NTdmYjIifQ=="/>
  </w:docVars>
  <w:rsids>
    <w:rsidRoot w:val="002C5339"/>
    <w:rsid w:val="0000051F"/>
    <w:rsid w:val="00043427"/>
    <w:rsid w:val="000602CD"/>
    <w:rsid w:val="00060C6A"/>
    <w:rsid w:val="000630F4"/>
    <w:rsid w:val="000969AD"/>
    <w:rsid w:val="0011423E"/>
    <w:rsid w:val="002051E0"/>
    <w:rsid w:val="00270BE1"/>
    <w:rsid w:val="002B247F"/>
    <w:rsid w:val="002C5339"/>
    <w:rsid w:val="003E6D39"/>
    <w:rsid w:val="004479E5"/>
    <w:rsid w:val="00495C7B"/>
    <w:rsid w:val="004D6899"/>
    <w:rsid w:val="00506505"/>
    <w:rsid w:val="005319D6"/>
    <w:rsid w:val="00531AB3"/>
    <w:rsid w:val="005539A0"/>
    <w:rsid w:val="00586FEC"/>
    <w:rsid w:val="005904A3"/>
    <w:rsid w:val="005A4375"/>
    <w:rsid w:val="005F41BF"/>
    <w:rsid w:val="00606CE2"/>
    <w:rsid w:val="006422AF"/>
    <w:rsid w:val="00651635"/>
    <w:rsid w:val="006775A5"/>
    <w:rsid w:val="006872D5"/>
    <w:rsid w:val="006B421D"/>
    <w:rsid w:val="007A1658"/>
    <w:rsid w:val="007A4907"/>
    <w:rsid w:val="007E7736"/>
    <w:rsid w:val="007F4C37"/>
    <w:rsid w:val="00835B2F"/>
    <w:rsid w:val="009A6005"/>
    <w:rsid w:val="00A06A47"/>
    <w:rsid w:val="00A37B77"/>
    <w:rsid w:val="00A6242A"/>
    <w:rsid w:val="00AD7EE6"/>
    <w:rsid w:val="00B4704E"/>
    <w:rsid w:val="00B63118"/>
    <w:rsid w:val="00C528D4"/>
    <w:rsid w:val="00C95B54"/>
    <w:rsid w:val="00CB5A10"/>
    <w:rsid w:val="00D40D69"/>
    <w:rsid w:val="00D72607"/>
    <w:rsid w:val="00DC7C1D"/>
    <w:rsid w:val="00E60105"/>
    <w:rsid w:val="00E84318"/>
    <w:rsid w:val="00ED5986"/>
    <w:rsid w:val="00FB62F5"/>
    <w:rsid w:val="01113D6B"/>
    <w:rsid w:val="011F0AC5"/>
    <w:rsid w:val="012375FA"/>
    <w:rsid w:val="012F5F9F"/>
    <w:rsid w:val="01390BCC"/>
    <w:rsid w:val="01485EFA"/>
    <w:rsid w:val="014D51EB"/>
    <w:rsid w:val="016C0FA1"/>
    <w:rsid w:val="018E7169"/>
    <w:rsid w:val="019329D2"/>
    <w:rsid w:val="01A87AFF"/>
    <w:rsid w:val="01C901A1"/>
    <w:rsid w:val="01D408F4"/>
    <w:rsid w:val="020B6A0C"/>
    <w:rsid w:val="021A27AB"/>
    <w:rsid w:val="02247ACE"/>
    <w:rsid w:val="022D740A"/>
    <w:rsid w:val="02313F99"/>
    <w:rsid w:val="023B0973"/>
    <w:rsid w:val="023D293E"/>
    <w:rsid w:val="024C2B81"/>
    <w:rsid w:val="025A529E"/>
    <w:rsid w:val="025E1AFD"/>
    <w:rsid w:val="02693733"/>
    <w:rsid w:val="027A5940"/>
    <w:rsid w:val="027B1B81"/>
    <w:rsid w:val="02924A37"/>
    <w:rsid w:val="029A7D90"/>
    <w:rsid w:val="029C58B6"/>
    <w:rsid w:val="02C05084"/>
    <w:rsid w:val="03165668"/>
    <w:rsid w:val="0334789D"/>
    <w:rsid w:val="03353615"/>
    <w:rsid w:val="03463A74"/>
    <w:rsid w:val="036B7036"/>
    <w:rsid w:val="037203C5"/>
    <w:rsid w:val="03735C68"/>
    <w:rsid w:val="038C4DC5"/>
    <w:rsid w:val="039C5442"/>
    <w:rsid w:val="03BB1D6C"/>
    <w:rsid w:val="03BE408A"/>
    <w:rsid w:val="03E07A24"/>
    <w:rsid w:val="03EC63C9"/>
    <w:rsid w:val="03FA6D38"/>
    <w:rsid w:val="040354C1"/>
    <w:rsid w:val="0404728D"/>
    <w:rsid w:val="042913CB"/>
    <w:rsid w:val="04410970"/>
    <w:rsid w:val="044C6D6D"/>
    <w:rsid w:val="04510922"/>
    <w:rsid w:val="04631990"/>
    <w:rsid w:val="04781A0B"/>
    <w:rsid w:val="047E28B6"/>
    <w:rsid w:val="04927276"/>
    <w:rsid w:val="049C1B9D"/>
    <w:rsid w:val="04A40A52"/>
    <w:rsid w:val="04E946B7"/>
    <w:rsid w:val="052D72C8"/>
    <w:rsid w:val="052F2A11"/>
    <w:rsid w:val="05393890"/>
    <w:rsid w:val="05900FD6"/>
    <w:rsid w:val="05CB200E"/>
    <w:rsid w:val="05D13AC9"/>
    <w:rsid w:val="05F6263F"/>
    <w:rsid w:val="060914B4"/>
    <w:rsid w:val="06270343"/>
    <w:rsid w:val="064C13A1"/>
    <w:rsid w:val="06862B05"/>
    <w:rsid w:val="069B5E85"/>
    <w:rsid w:val="06D80E87"/>
    <w:rsid w:val="06E0285D"/>
    <w:rsid w:val="070B125C"/>
    <w:rsid w:val="0737795B"/>
    <w:rsid w:val="073F2CB4"/>
    <w:rsid w:val="0744651C"/>
    <w:rsid w:val="074A2961"/>
    <w:rsid w:val="07632E46"/>
    <w:rsid w:val="07846919"/>
    <w:rsid w:val="07C80EFB"/>
    <w:rsid w:val="07CD206E"/>
    <w:rsid w:val="07D77390"/>
    <w:rsid w:val="07E61381"/>
    <w:rsid w:val="07E86EA8"/>
    <w:rsid w:val="07EA0CB4"/>
    <w:rsid w:val="07EA0E72"/>
    <w:rsid w:val="08362309"/>
    <w:rsid w:val="083668D1"/>
    <w:rsid w:val="08601134"/>
    <w:rsid w:val="087C2375"/>
    <w:rsid w:val="08A5267F"/>
    <w:rsid w:val="08D35DAA"/>
    <w:rsid w:val="090146C5"/>
    <w:rsid w:val="092C7268"/>
    <w:rsid w:val="09363590"/>
    <w:rsid w:val="0978425B"/>
    <w:rsid w:val="09842C00"/>
    <w:rsid w:val="09864BCA"/>
    <w:rsid w:val="09970B85"/>
    <w:rsid w:val="09A432A2"/>
    <w:rsid w:val="09B07E99"/>
    <w:rsid w:val="09B94F9F"/>
    <w:rsid w:val="09D26061"/>
    <w:rsid w:val="09DA6CC4"/>
    <w:rsid w:val="09FC6C3A"/>
    <w:rsid w:val="0A447D37"/>
    <w:rsid w:val="0A4E393A"/>
    <w:rsid w:val="0A59408D"/>
    <w:rsid w:val="0A6B3F53"/>
    <w:rsid w:val="0A73514E"/>
    <w:rsid w:val="0B0F299D"/>
    <w:rsid w:val="0B226CB1"/>
    <w:rsid w:val="0B246449"/>
    <w:rsid w:val="0B582596"/>
    <w:rsid w:val="0B5A630E"/>
    <w:rsid w:val="0B691AD2"/>
    <w:rsid w:val="0B6C7DF0"/>
    <w:rsid w:val="0B800B6C"/>
    <w:rsid w:val="0B835865"/>
    <w:rsid w:val="0BA278D3"/>
    <w:rsid w:val="0BD804C2"/>
    <w:rsid w:val="0BED15C5"/>
    <w:rsid w:val="0BF24799"/>
    <w:rsid w:val="0C0A1AE2"/>
    <w:rsid w:val="0C1110C3"/>
    <w:rsid w:val="0C170DFC"/>
    <w:rsid w:val="0C1E558E"/>
    <w:rsid w:val="0C2030B4"/>
    <w:rsid w:val="0C3E353A"/>
    <w:rsid w:val="0C3E79DE"/>
    <w:rsid w:val="0C5114BF"/>
    <w:rsid w:val="0C6311F3"/>
    <w:rsid w:val="0C6A2581"/>
    <w:rsid w:val="0C722FDE"/>
    <w:rsid w:val="0C9B6BDE"/>
    <w:rsid w:val="0C9C64B3"/>
    <w:rsid w:val="0CC31C91"/>
    <w:rsid w:val="0D136775"/>
    <w:rsid w:val="0D156991"/>
    <w:rsid w:val="0D1D2F6F"/>
    <w:rsid w:val="0D314E4D"/>
    <w:rsid w:val="0D9D0734"/>
    <w:rsid w:val="0DBA7618"/>
    <w:rsid w:val="0DCD2DC7"/>
    <w:rsid w:val="0DE50832"/>
    <w:rsid w:val="0DFA16E3"/>
    <w:rsid w:val="0E1D7FF6"/>
    <w:rsid w:val="0E1E1875"/>
    <w:rsid w:val="0E230C39"/>
    <w:rsid w:val="0E440BB0"/>
    <w:rsid w:val="0E715E49"/>
    <w:rsid w:val="0E7F3276"/>
    <w:rsid w:val="0E8536A2"/>
    <w:rsid w:val="0E924011"/>
    <w:rsid w:val="0EC0292C"/>
    <w:rsid w:val="0ED63EFE"/>
    <w:rsid w:val="0EE7435D"/>
    <w:rsid w:val="0EE859DF"/>
    <w:rsid w:val="0F2A24A8"/>
    <w:rsid w:val="0F2D7E01"/>
    <w:rsid w:val="0F3330FE"/>
    <w:rsid w:val="0F403A6D"/>
    <w:rsid w:val="0F5B7DD4"/>
    <w:rsid w:val="0F7D3787"/>
    <w:rsid w:val="0F851480"/>
    <w:rsid w:val="0F8B4CE8"/>
    <w:rsid w:val="0F987405"/>
    <w:rsid w:val="0FBD50BE"/>
    <w:rsid w:val="0FED3F88"/>
    <w:rsid w:val="0FFE370C"/>
    <w:rsid w:val="1025513D"/>
    <w:rsid w:val="103D3040"/>
    <w:rsid w:val="1045133B"/>
    <w:rsid w:val="104D01F0"/>
    <w:rsid w:val="106122C9"/>
    <w:rsid w:val="1081433D"/>
    <w:rsid w:val="10861954"/>
    <w:rsid w:val="10881228"/>
    <w:rsid w:val="10914580"/>
    <w:rsid w:val="10963C3E"/>
    <w:rsid w:val="10E87F18"/>
    <w:rsid w:val="11292A0B"/>
    <w:rsid w:val="115A05BF"/>
    <w:rsid w:val="115D6B49"/>
    <w:rsid w:val="119B31DD"/>
    <w:rsid w:val="11CB3AC2"/>
    <w:rsid w:val="11DF30C9"/>
    <w:rsid w:val="122B27B2"/>
    <w:rsid w:val="122D02D9"/>
    <w:rsid w:val="12977E48"/>
    <w:rsid w:val="12A7355D"/>
    <w:rsid w:val="12CF2DAE"/>
    <w:rsid w:val="12D22C2E"/>
    <w:rsid w:val="12D76496"/>
    <w:rsid w:val="12F40DF6"/>
    <w:rsid w:val="13053004"/>
    <w:rsid w:val="1319260B"/>
    <w:rsid w:val="131B45D5"/>
    <w:rsid w:val="131B6383"/>
    <w:rsid w:val="13712447"/>
    <w:rsid w:val="13870C25"/>
    <w:rsid w:val="13946135"/>
    <w:rsid w:val="13BF7656"/>
    <w:rsid w:val="13DC1FB6"/>
    <w:rsid w:val="13EB21F9"/>
    <w:rsid w:val="13F54E26"/>
    <w:rsid w:val="140E413A"/>
    <w:rsid w:val="14425D3E"/>
    <w:rsid w:val="144933C4"/>
    <w:rsid w:val="14553B17"/>
    <w:rsid w:val="14661880"/>
    <w:rsid w:val="147A17CF"/>
    <w:rsid w:val="147E306D"/>
    <w:rsid w:val="14922675"/>
    <w:rsid w:val="149C1746"/>
    <w:rsid w:val="14AF237B"/>
    <w:rsid w:val="14CF38C9"/>
    <w:rsid w:val="14E3609A"/>
    <w:rsid w:val="15015A4D"/>
    <w:rsid w:val="150A2B53"/>
    <w:rsid w:val="151E03AD"/>
    <w:rsid w:val="1528122B"/>
    <w:rsid w:val="153100E0"/>
    <w:rsid w:val="15453B8B"/>
    <w:rsid w:val="154C7F64"/>
    <w:rsid w:val="155362A8"/>
    <w:rsid w:val="1571672E"/>
    <w:rsid w:val="15787ABD"/>
    <w:rsid w:val="15897F1C"/>
    <w:rsid w:val="158C5316"/>
    <w:rsid w:val="15B825AF"/>
    <w:rsid w:val="15D43759"/>
    <w:rsid w:val="15F108DE"/>
    <w:rsid w:val="16051153"/>
    <w:rsid w:val="161812A0"/>
    <w:rsid w:val="161A3E25"/>
    <w:rsid w:val="161F7DE1"/>
    <w:rsid w:val="16210154"/>
    <w:rsid w:val="163065E9"/>
    <w:rsid w:val="16351E52"/>
    <w:rsid w:val="1663076D"/>
    <w:rsid w:val="167A1613"/>
    <w:rsid w:val="16816FD1"/>
    <w:rsid w:val="16A448E1"/>
    <w:rsid w:val="16AD3796"/>
    <w:rsid w:val="16AD7C3A"/>
    <w:rsid w:val="16CF6E9C"/>
    <w:rsid w:val="16DB47A7"/>
    <w:rsid w:val="16E55626"/>
    <w:rsid w:val="17125CEF"/>
    <w:rsid w:val="172B6DB1"/>
    <w:rsid w:val="17312619"/>
    <w:rsid w:val="173739A8"/>
    <w:rsid w:val="174B7366"/>
    <w:rsid w:val="178C3CF3"/>
    <w:rsid w:val="17A27073"/>
    <w:rsid w:val="17AA5F28"/>
    <w:rsid w:val="17C214C3"/>
    <w:rsid w:val="17CA481C"/>
    <w:rsid w:val="17E14C59"/>
    <w:rsid w:val="17EB6C6C"/>
    <w:rsid w:val="17FB49D5"/>
    <w:rsid w:val="18003D99"/>
    <w:rsid w:val="18253800"/>
    <w:rsid w:val="183D6D9C"/>
    <w:rsid w:val="184A3267"/>
    <w:rsid w:val="184B4C79"/>
    <w:rsid w:val="18552337"/>
    <w:rsid w:val="18694035"/>
    <w:rsid w:val="188350F6"/>
    <w:rsid w:val="18950986"/>
    <w:rsid w:val="189A205E"/>
    <w:rsid w:val="189A5F9C"/>
    <w:rsid w:val="18A8690B"/>
    <w:rsid w:val="18C748B7"/>
    <w:rsid w:val="18ED07C2"/>
    <w:rsid w:val="191C0907"/>
    <w:rsid w:val="19466124"/>
    <w:rsid w:val="195720DF"/>
    <w:rsid w:val="195B1BCF"/>
    <w:rsid w:val="19632832"/>
    <w:rsid w:val="196F7429"/>
    <w:rsid w:val="197607B7"/>
    <w:rsid w:val="19841C91"/>
    <w:rsid w:val="19883090"/>
    <w:rsid w:val="19EA1203"/>
    <w:rsid w:val="19F45B80"/>
    <w:rsid w:val="19F85670"/>
    <w:rsid w:val="1A027F67"/>
    <w:rsid w:val="1A073B05"/>
    <w:rsid w:val="1A1E3BB7"/>
    <w:rsid w:val="1A2521DD"/>
    <w:rsid w:val="1A3A7A37"/>
    <w:rsid w:val="1A443933"/>
    <w:rsid w:val="1A497C7A"/>
    <w:rsid w:val="1A7D7923"/>
    <w:rsid w:val="1AC27A2C"/>
    <w:rsid w:val="1ADC6D40"/>
    <w:rsid w:val="1ADD03C2"/>
    <w:rsid w:val="1AE300CE"/>
    <w:rsid w:val="1B1A1616"/>
    <w:rsid w:val="1B4548E5"/>
    <w:rsid w:val="1B4A1A0D"/>
    <w:rsid w:val="1B586137"/>
    <w:rsid w:val="1B612DA1"/>
    <w:rsid w:val="1B7D5156"/>
    <w:rsid w:val="1B8C2745"/>
    <w:rsid w:val="1BD82F58"/>
    <w:rsid w:val="1BEA0FE8"/>
    <w:rsid w:val="1BEA548C"/>
    <w:rsid w:val="1BF105C9"/>
    <w:rsid w:val="1BF81957"/>
    <w:rsid w:val="1BF9784E"/>
    <w:rsid w:val="1BFB31F6"/>
    <w:rsid w:val="1C1B432C"/>
    <w:rsid w:val="1C33298F"/>
    <w:rsid w:val="1C403288"/>
    <w:rsid w:val="1C413FE1"/>
    <w:rsid w:val="1C5020B1"/>
    <w:rsid w:val="1C545F51"/>
    <w:rsid w:val="1C7B4336"/>
    <w:rsid w:val="1C875263"/>
    <w:rsid w:val="1C940F54"/>
    <w:rsid w:val="1CA13D9D"/>
    <w:rsid w:val="1CA339FE"/>
    <w:rsid w:val="1CA94A00"/>
    <w:rsid w:val="1CAE2016"/>
    <w:rsid w:val="1CE974F2"/>
    <w:rsid w:val="1D046632"/>
    <w:rsid w:val="1D383FD6"/>
    <w:rsid w:val="1D3E783E"/>
    <w:rsid w:val="1D4E33DF"/>
    <w:rsid w:val="1D6B7F07"/>
    <w:rsid w:val="1D7C3EC2"/>
    <w:rsid w:val="1D8164D4"/>
    <w:rsid w:val="1D81772B"/>
    <w:rsid w:val="1D880AB9"/>
    <w:rsid w:val="1DD54E00"/>
    <w:rsid w:val="1E0068A1"/>
    <w:rsid w:val="1E29229C"/>
    <w:rsid w:val="1E57097B"/>
    <w:rsid w:val="1E5D1F46"/>
    <w:rsid w:val="1E776D73"/>
    <w:rsid w:val="1E876FC3"/>
    <w:rsid w:val="1E890F8D"/>
    <w:rsid w:val="1EA77665"/>
    <w:rsid w:val="1ECC0E79"/>
    <w:rsid w:val="1ED55F80"/>
    <w:rsid w:val="1EFA59E6"/>
    <w:rsid w:val="1EFF4DAB"/>
    <w:rsid w:val="1F204D21"/>
    <w:rsid w:val="1F2A24E0"/>
    <w:rsid w:val="1F675C88"/>
    <w:rsid w:val="1F6B68E4"/>
    <w:rsid w:val="1F8B663F"/>
    <w:rsid w:val="1F8D685B"/>
    <w:rsid w:val="1FB57B5F"/>
    <w:rsid w:val="1FBE07C2"/>
    <w:rsid w:val="1FC3402A"/>
    <w:rsid w:val="1FD75D28"/>
    <w:rsid w:val="1FDA1374"/>
    <w:rsid w:val="1FDF698A"/>
    <w:rsid w:val="1FE10954"/>
    <w:rsid w:val="20142AD8"/>
    <w:rsid w:val="2017622D"/>
    <w:rsid w:val="20362A4E"/>
    <w:rsid w:val="20394C8B"/>
    <w:rsid w:val="203C66A7"/>
    <w:rsid w:val="203E5DA7"/>
    <w:rsid w:val="20587456"/>
    <w:rsid w:val="208A4B48"/>
    <w:rsid w:val="209D57BC"/>
    <w:rsid w:val="20BB73F7"/>
    <w:rsid w:val="20CA763A"/>
    <w:rsid w:val="21182154"/>
    <w:rsid w:val="2144119B"/>
    <w:rsid w:val="2149055F"/>
    <w:rsid w:val="215533A8"/>
    <w:rsid w:val="217001E2"/>
    <w:rsid w:val="21A41C3A"/>
    <w:rsid w:val="21C67E02"/>
    <w:rsid w:val="21E32762"/>
    <w:rsid w:val="21E87D78"/>
    <w:rsid w:val="2239340C"/>
    <w:rsid w:val="223C00C4"/>
    <w:rsid w:val="224F1BA5"/>
    <w:rsid w:val="225C0F25"/>
    <w:rsid w:val="22883309"/>
    <w:rsid w:val="22B42350"/>
    <w:rsid w:val="22BD6838"/>
    <w:rsid w:val="22DF73CD"/>
    <w:rsid w:val="2307254B"/>
    <w:rsid w:val="230961F8"/>
    <w:rsid w:val="23166AD4"/>
    <w:rsid w:val="231D1CA3"/>
    <w:rsid w:val="23566F63"/>
    <w:rsid w:val="23694EE9"/>
    <w:rsid w:val="2372744F"/>
    <w:rsid w:val="23847F75"/>
    <w:rsid w:val="23A91789"/>
    <w:rsid w:val="23AE0B4E"/>
    <w:rsid w:val="23D83E1C"/>
    <w:rsid w:val="23E6478B"/>
    <w:rsid w:val="241C01AD"/>
    <w:rsid w:val="2426102C"/>
    <w:rsid w:val="2428111D"/>
    <w:rsid w:val="242B6642"/>
    <w:rsid w:val="242D23BA"/>
    <w:rsid w:val="243279D1"/>
    <w:rsid w:val="243E25F2"/>
    <w:rsid w:val="244F40DF"/>
    <w:rsid w:val="248F4E23"/>
    <w:rsid w:val="24AF7273"/>
    <w:rsid w:val="24CC3981"/>
    <w:rsid w:val="2504136D"/>
    <w:rsid w:val="250A6257"/>
    <w:rsid w:val="252512E3"/>
    <w:rsid w:val="25292B82"/>
    <w:rsid w:val="25446A6C"/>
    <w:rsid w:val="25641E0C"/>
    <w:rsid w:val="256911D0"/>
    <w:rsid w:val="257D2ECD"/>
    <w:rsid w:val="258204E4"/>
    <w:rsid w:val="25826736"/>
    <w:rsid w:val="25AB7A3A"/>
    <w:rsid w:val="25AF0888"/>
    <w:rsid w:val="25BD32CA"/>
    <w:rsid w:val="25C00A44"/>
    <w:rsid w:val="25DC7BF4"/>
    <w:rsid w:val="25F0544D"/>
    <w:rsid w:val="25FD563E"/>
    <w:rsid w:val="26025181"/>
    <w:rsid w:val="261D1FBA"/>
    <w:rsid w:val="2652435A"/>
    <w:rsid w:val="26751DF6"/>
    <w:rsid w:val="26797B39"/>
    <w:rsid w:val="267F67D1"/>
    <w:rsid w:val="268A58A2"/>
    <w:rsid w:val="268F4C66"/>
    <w:rsid w:val="26920BFA"/>
    <w:rsid w:val="26EC030B"/>
    <w:rsid w:val="27174E0F"/>
    <w:rsid w:val="271B299E"/>
    <w:rsid w:val="27343A60"/>
    <w:rsid w:val="2734580E"/>
    <w:rsid w:val="273532DE"/>
    <w:rsid w:val="275A34C6"/>
    <w:rsid w:val="27787DF0"/>
    <w:rsid w:val="27932534"/>
    <w:rsid w:val="27C76682"/>
    <w:rsid w:val="27D0102C"/>
    <w:rsid w:val="27DF1C1D"/>
    <w:rsid w:val="281F7CE6"/>
    <w:rsid w:val="28722A91"/>
    <w:rsid w:val="28814A83"/>
    <w:rsid w:val="28884063"/>
    <w:rsid w:val="28C11323"/>
    <w:rsid w:val="28D472A8"/>
    <w:rsid w:val="28F07FAC"/>
    <w:rsid w:val="29003BF9"/>
    <w:rsid w:val="291E6775"/>
    <w:rsid w:val="29455AB0"/>
    <w:rsid w:val="294A1318"/>
    <w:rsid w:val="295126A7"/>
    <w:rsid w:val="29824F56"/>
    <w:rsid w:val="299F3E67"/>
    <w:rsid w:val="29C235A5"/>
    <w:rsid w:val="29C70BBB"/>
    <w:rsid w:val="29DB4666"/>
    <w:rsid w:val="29FA0F90"/>
    <w:rsid w:val="2A2658E2"/>
    <w:rsid w:val="2A3C5957"/>
    <w:rsid w:val="2A500BB0"/>
    <w:rsid w:val="2A781EB5"/>
    <w:rsid w:val="2A9F7442"/>
    <w:rsid w:val="2AD6555A"/>
    <w:rsid w:val="2AE35581"/>
    <w:rsid w:val="2AE8703B"/>
    <w:rsid w:val="2B12230A"/>
    <w:rsid w:val="2B147E30"/>
    <w:rsid w:val="2B3109E2"/>
    <w:rsid w:val="2B393102"/>
    <w:rsid w:val="2B5966C2"/>
    <w:rsid w:val="2B710DDE"/>
    <w:rsid w:val="2B954B4C"/>
    <w:rsid w:val="2BA85813"/>
    <w:rsid w:val="2BB138D1"/>
    <w:rsid w:val="2BBD04C8"/>
    <w:rsid w:val="2BC03B14"/>
    <w:rsid w:val="2BE47802"/>
    <w:rsid w:val="2BFB4B4C"/>
    <w:rsid w:val="2C0B23D8"/>
    <w:rsid w:val="2C106849"/>
    <w:rsid w:val="2C3C763E"/>
    <w:rsid w:val="2C5A3F68"/>
    <w:rsid w:val="2C5A5D16"/>
    <w:rsid w:val="2C6B7F24"/>
    <w:rsid w:val="2C8D17AB"/>
    <w:rsid w:val="2C934D84"/>
    <w:rsid w:val="2C950AFD"/>
    <w:rsid w:val="2CB90C8F"/>
    <w:rsid w:val="2CBA0563"/>
    <w:rsid w:val="2CC31B0E"/>
    <w:rsid w:val="2CC501A5"/>
    <w:rsid w:val="2CCD4438"/>
    <w:rsid w:val="2CD970E7"/>
    <w:rsid w:val="2CEA52EC"/>
    <w:rsid w:val="2CFD2B2B"/>
    <w:rsid w:val="2D1063D5"/>
    <w:rsid w:val="2D1C4D7A"/>
    <w:rsid w:val="2D4246BC"/>
    <w:rsid w:val="2D654973"/>
    <w:rsid w:val="2D6D3827"/>
    <w:rsid w:val="2D870D8D"/>
    <w:rsid w:val="2D99461C"/>
    <w:rsid w:val="2DBA2F11"/>
    <w:rsid w:val="2DE03FF9"/>
    <w:rsid w:val="2DEC744F"/>
    <w:rsid w:val="2DF50CFF"/>
    <w:rsid w:val="2E0302A0"/>
    <w:rsid w:val="2E4647A4"/>
    <w:rsid w:val="2ED40002"/>
    <w:rsid w:val="2F195EB3"/>
    <w:rsid w:val="2F2F683F"/>
    <w:rsid w:val="2F324D29"/>
    <w:rsid w:val="2F3960B7"/>
    <w:rsid w:val="2F430CE4"/>
    <w:rsid w:val="2F5D4AD9"/>
    <w:rsid w:val="2F7470EF"/>
    <w:rsid w:val="2F8135BA"/>
    <w:rsid w:val="2F875074"/>
    <w:rsid w:val="2F9037FD"/>
    <w:rsid w:val="2F9C6646"/>
    <w:rsid w:val="2FCC0CD9"/>
    <w:rsid w:val="2FD44032"/>
    <w:rsid w:val="2FFB15BE"/>
    <w:rsid w:val="300761B5"/>
    <w:rsid w:val="300D7276"/>
    <w:rsid w:val="30212CE0"/>
    <w:rsid w:val="305331A8"/>
    <w:rsid w:val="307750E9"/>
    <w:rsid w:val="307E479B"/>
    <w:rsid w:val="30890978"/>
    <w:rsid w:val="30963095"/>
    <w:rsid w:val="309D61D2"/>
    <w:rsid w:val="30A4709B"/>
    <w:rsid w:val="30B60171"/>
    <w:rsid w:val="30C67425"/>
    <w:rsid w:val="30C85944"/>
    <w:rsid w:val="31A83FF1"/>
    <w:rsid w:val="31B61C41"/>
    <w:rsid w:val="31C86712"/>
    <w:rsid w:val="31F42769"/>
    <w:rsid w:val="320C1861"/>
    <w:rsid w:val="324D01C5"/>
    <w:rsid w:val="3289460C"/>
    <w:rsid w:val="32951856"/>
    <w:rsid w:val="329A50BF"/>
    <w:rsid w:val="32A83BE9"/>
    <w:rsid w:val="32AB53EA"/>
    <w:rsid w:val="32B75C71"/>
    <w:rsid w:val="32BA750F"/>
    <w:rsid w:val="32CC7242"/>
    <w:rsid w:val="32DD31FD"/>
    <w:rsid w:val="32F02F31"/>
    <w:rsid w:val="32F347CF"/>
    <w:rsid w:val="331210F9"/>
    <w:rsid w:val="33227B14"/>
    <w:rsid w:val="33386686"/>
    <w:rsid w:val="33770F47"/>
    <w:rsid w:val="338B0EAB"/>
    <w:rsid w:val="33AD0E22"/>
    <w:rsid w:val="33B73A4E"/>
    <w:rsid w:val="33FB1B8D"/>
    <w:rsid w:val="340F62DC"/>
    <w:rsid w:val="34264730"/>
    <w:rsid w:val="343230D5"/>
    <w:rsid w:val="34441786"/>
    <w:rsid w:val="344A6670"/>
    <w:rsid w:val="34806536"/>
    <w:rsid w:val="34CC3529"/>
    <w:rsid w:val="34D10B40"/>
    <w:rsid w:val="34DF325D"/>
    <w:rsid w:val="34DF40E1"/>
    <w:rsid w:val="34E07C80"/>
    <w:rsid w:val="34F34F5A"/>
    <w:rsid w:val="34FA1E45"/>
    <w:rsid w:val="351D5B33"/>
    <w:rsid w:val="351F3659"/>
    <w:rsid w:val="352E5F92"/>
    <w:rsid w:val="3537147A"/>
    <w:rsid w:val="355A0B35"/>
    <w:rsid w:val="356E2833"/>
    <w:rsid w:val="35727C2D"/>
    <w:rsid w:val="35794950"/>
    <w:rsid w:val="3579545F"/>
    <w:rsid w:val="35A61FCC"/>
    <w:rsid w:val="35AB75E3"/>
    <w:rsid w:val="35AF70D3"/>
    <w:rsid w:val="35B2271F"/>
    <w:rsid w:val="35CA5CBB"/>
    <w:rsid w:val="35D00DF7"/>
    <w:rsid w:val="35ED7BFB"/>
    <w:rsid w:val="36015455"/>
    <w:rsid w:val="36331342"/>
    <w:rsid w:val="36343134"/>
    <w:rsid w:val="36407D2B"/>
    <w:rsid w:val="3656754F"/>
    <w:rsid w:val="367E6AA5"/>
    <w:rsid w:val="36A209E6"/>
    <w:rsid w:val="36DB7A54"/>
    <w:rsid w:val="370C40B1"/>
    <w:rsid w:val="373D1D85"/>
    <w:rsid w:val="374A4272"/>
    <w:rsid w:val="374E0226"/>
    <w:rsid w:val="37517D16"/>
    <w:rsid w:val="375A6BCB"/>
    <w:rsid w:val="37971BCD"/>
    <w:rsid w:val="37976071"/>
    <w:rsid w:val="37A442EA"/>
    <w:rsid w:val="37AC319E"/>
    <w:rsid w:val="37BB580B"/>
    <w:rsid w:val="37C93D50"/>
    <w:rsid w:val="37DC1CD5"/>
    <w:rsid w:val="37E56DDC"/>
    <w:rsid w:val="37E62305"/>
    <w:rsid w:val="37E82428"/>
    <w:rsid w:val="37F039D3"/>
    <w:rsid w:val="380B25BB"/>
    <w:rsid w:val="38184E98"/>
    <w:rsid w:val="382974C8"/>
    <w:rsid w:val="384635F3"/>
    <w:rsid w:val="386B4E07"/>
    <w:rsid w:val="388C7258"/>
    <w:rsid w:val="38983E4E"/>
    <w:rsid w:val="38A071A7"/>
    <w:rsid w:val="38B16CBE"/>
    <w:rsid w:val="38B62526"/>
    <w:rsid w:val="38D97FC3"/>
    <w:rsid w:val="39072D82"/>
    <w:rsid w:val="393671C3"/>
    <w:rsid w:val="393A76FB"/>
    <w:rsid w:val="39677CC5"/>
    <w:rsid w:val="397321C6"/>
    <w:rsid w:val="39794940"/>
    <w:rsid w:val="39846181"/>
    <w:rsid w:val="39A35E40"/>
    <w:rsid w:val="39C173D5"/>
    <w:rsid w:val="39C26CA9"/>
    <w:rsid w:val="39C83FE4"/>
    <w:rsid w:val="39CB3DB0"/>
    <w:rsid w:val="39CE38A0"/>
    <w:rsid w:val="39D4535A"/>
    <w:rsid w:val="39DB57B5"/>
    <w:rsid w:val="39EE5CF0"/>
    <w:rsid w:val="39F72DF7"/>
    <w:rsid w:val="39FF1CAB"/>
    <w:rsid w:val="3A30455A"/>
    <w:rsid w:val="3A4F49E1"/>
    <w:rsid w:val="3A5B3385"/>
    <w:rsid w:val="3A614714"/>
    <w:rsid w:val="3A742699"/>
    <w:rsid w:val="3A7E52C6"/>
    <w:rsid w:val="3A973DAC"/>
    <w:rsid w:val="3AB17449"/>
    <w:rsid w:val="3AB72586"/>
    <w:rsid w:val="3ACF5B21"/>
    <w:rsid w:val="3AD60C5E"/>
    <w:rsid w:val="3AE710BD"/>
    <w:rsid w:val="3B133C60"/>
    <w:rsid w:val="3B183024"/>
    <w:rsid w:val="3B2D45F6"/>
    <w:rsid w:val="3B4846E0"/>
    <w:rsid w:val="3B497682"/>
    <w:rsid w:val="3B4C7172"/>
    <w:rsid w:val="3B602C1D"/>
    <w:rsid w:val="3B8D7165"/>
    <w:rsid w:val="3BA26D92"/>
    <w:rsid w:val="3BE92C13"/>
    <w:rsid w:val="3C025A83"/>
    <w:rsid w:val="3C277297"/>
    <w:rsid w:val="3C291261"/>
    <w:rsid w:val="3C2B4FD9"/>
    <w:rsid w:val="3C310CC0"/>
    <w:rsid w:val="3C37397E"/>
    <w:rsid w:val="3C3A6FCB"/>
    <w:rsid w:val="3C5F6A31"/>
    <w:rsid w:val="3C642299"/>
    <w:rsid w:val="3C6F136A"/>
    <w:rsid w:val="3CC97668"/>
    <w:rsid w:val="3CE04016"/>
    <w:rsid w:val="3CE358B4"/>
    <w:rsid w:val="3D1D51DD"/>
    <w:rsid w:val="3D2E524C"/>
    <w:rsid w:val="3D314871"/>
    <w:rsid w:val="3D6A38DF"/>
    <w:rsid w:val="3D8066C2"/>
    <w:rsid w:val="3DBA6615"/>
    <w:rsid w:val="3DE9514C"/>
    <w:rsid w:val="3E1A70B4"/>
    <w:rsid w:val="3E1E578A"/>
    <w:rsid w:val="3E375EB7"/>
    <w:rsid w:val="3E432AAE"/>
    <w:rsid w:val="3E6622F9"/>
    <w:rsid w:val="3E6B5B61"/>
    <w:rsid w:val="3E7569E0"/>
    <w:rsid w:val="3E95498C"/>
    <w:rsid w:val="3E9B4698"/>
    <w:rsid w:val="3EC22F0F"/>
    <w:rsid w:val="3EC62D97"/>
    <w:rsid w:val="3EC7548D"/>
    <w:rsid w:val="3EFB0C93"/>
    <w:rsid w:val="3F1C50AD"/>
    <w:rsid w:val="3F253F62"/>
    <w:rsid w:val="3F4343E8"/>
    <w:rsid w:val="3F593C0C"/>
    <w:rsid w:val="3F6251B6"/>
    <w:rsid w:val="3F744EE9"/>
    <w:rsid w:val="3FA1652D"/>
    <w:rsid w:val="401E1570"/>
    <w:rsid w:val="402E6E46"/>
    <w:rsid w:val="404D19C2"/>
    <w:rsid w:val="40517838"/>
    <w:rsid w:val="40580367"/>
    <w:rsid w:val="408D71EA"/>
    <w:rsid w:val="40A84A88"/>
    <w:rsid w:val="40D45C40"/>
    <w:rsid w:val="40D723A8"/>
    <w:rsid w:val="40D93256"/>
    <w:rsid w:val="410127AD"/>
    <w:rsid w:val="41032081"/>
    <w:rsid w:val="4127066A"/>
    <w:rsid w:val="413E755D"/>
    <w:rsid w:val="41673FEE"/>
    <w:rsid w:val="416B7C26"/>
    <w:rsid w:val="41A73354"/>
    <w:rsid w:val="41AF4E89"/>
    <w:rsid w:val="41B45A71"/>
    <w:rsid w:val="41C71300"/>
    <w:rsid w:val="41DA5394"/>
    <w:rsid w:val="41DF2AEE"/>
    <w:rsid w:val="41F145CF"/>
    <w:rsid w:val="41F769C1"/>
    <w:rsid w:val="423F17DF"/>
    <w:rsid w:val="42415557"/>
    <w:rsid w:val="424B1F31"/>
    <w:rsid w:val="4255690C"/>
    <w:rsid w:val="425F3C2F"/>
    <w:rsid w:val="4267663F"/>
    <w:rsid w:val="426D7F88"/>
    <w:rsid w:val="42927B60"/>
    <w:rsid w:val="42C43A92"/>
    <w:rsid w:val="42EC15BC"/>
    <w:rsid w:val="431C742A"/>
    <w:rsid w:val="4339622E"/>
    <w:rsid w:val="434D1CD9"/>
    <w:rsid w:val="435412BA"/>
    <w:rsid w:val="43652195"/>
    <w:rsid w:val="43882D11"/>
    <w:rsid w:val="43911BC6"/>
    <w:rsid w:val="43994E6F"/>
    <w:rsid w:val="43A044FF"/>
    <w:rsid w:val="43CF0940"/>
    <w:rsid w:val="43E066A9"/>
    <w:rsid w:val="43E632E0"/>
    <w:rsid w:val="43EA577A"/>
    <w:rsid w:val="43F32881"/>
    <w:rsid w:val="440F51E1"/>
    <w:rsid w:val="443F6F60"/>
    <w:rsid w:val="4476700E"/>
    <w:rsid w:val="447A08AC"/>
    <w:rsid w:val="44872FC9"/>
    <w:rsid w:val="44C10289"/>
    <w:rsid w:val="44FD328B"/>
    <w:rsid w:val="44FF0DB1"/>
    <w:rsid w:val="45027064"/>
    <w:rsid w:val="45036AF3"/>
    <w:rsid w:val="45126D36"/>
    <w:rsid w:val="4516350E"/>
    <w:rsid w:val="451D7728"/>
    <w:rsid w:val="45244CBC"/>
    <w:rsid w:val="45343151"/>
    <w:rsid w:val="454F7F8B"/>
    <w:rsid w:val="455235D7"/>
    <w:rsid w:val="45A51959"/>
    <w:rsid w:val="45AF4585"/>
    <w:rsid w:val="45DB537A"/>
    <w:rsid w:val="45E05087"/>
    <w:rsid w:val="45FB77CB"/>
    <w:rsid w:val="45FF375F"/>
    <w:rsid w:val="460A2104"/>
    <w:rsid w:val="46162856"/>
    <w:rsid w:val="461D4BCB"/>
    <w:rsid w:val="463A4797"/>
    <w:rsid w:val="463F1DAD"/>
    <w:rsid w:val="46577973"/>
    <w:rsid w:val="4663293A"/>
    <w:rsid w:val="46AC6D17"/>
    <w:rsid w:val="46B300A5"/>
    <w:rsid w:val="46C67DD9"/>
    <w:rsid w:val="46DD5122"/>
    <w:rsid w:val="46F26E20"/>
    <w:rsid w:val="47242D51"/>
    <w:rsid w:val="473531B0"/>
    <w:rsid w:val="47573126"/>
    <w:rsid w:val="475950F1"/>
    <w:rsid w:val="475A6773"/>
    <w:rsid w:val="47637D1D"/>
    <w:rsid w:val="476D46F8"/>
    <w:rsid w:val="4783216D"/>
    <w:rsid w:val="478C4766"/>
    <w:rsid w:val="478D6B48"/>
    <w:rsid w:val="47B209D5"/>
    <w:rsid w:val="47E524E0"/>
    <w:rsid w:val="47F70466"/>
    <w:rsid w:val="480037BE"/>
    <w:rsid w:val="480212E4"/>
    <w:rsid w:val="480E5EDB"/>
    <w:rsid w:val="483D056E"/>
    <w:rsid w:val="486C49B0"/>
    <w:rsid w:val="48CE7418"/>
    <w:rsid w:val="48D32C81"/>
    <w:rsid w:val="494D47E1"/>
    <w:rsid w:val="495530D2"/>
    <w:rsid w:val="49641B2B"/>
    <w:rsid w:val="49642A67"/>
    <w:rsid w:val="496658A3"/>
    <w:rsid w:val="496A4335"/>
    <w:rsid w:val="496E6505"/>
    <w:rsid w:val="498B2DA7"/>
    <w:rsid w:val="49A81A17"/>
    <w:rsid w:val="49BE5DB8"/>
    <w:rsid w:val="49D46CB0"/>
    <w:rsid w:val="49FA3B62"/>
    <w:rsid w:val="4A0550BC"/>
    <w:rsid w:val="4A113A61"/>
    <w:rsid w:val="4A1B4820"/>
    <w:rsid w:val="4A294B84"/>
    <w:rsid w:val="4A2A68D0"/>
    <w:rsid w:val="4A3634C7"/>
    <w:rsid w:val="4A407EA2"/>
    <w:rsid w:val="4A471230"/>
    <w:rsid w:val="4A49144C"/>
    <w:rsid w:val="4A62606A"/>
    <w:rsid w:val="4A830E92"/>
    <w:rsid w:val="4AD8457E"/>
    <w:rsid w:val="4AE616BF"/>
    <w:rsid w:val="4AF34F14"/>
    <w:rsid w:val="4AFD2237"/>
    <w:rsid w:val="4B0610EB"/>
    <w:rsid w:val="4B0709C0"/>
    <w:rsid w:val="4B1F03FF"/>
    <w:rsid w:val="4B1F5D09"/>
    <w:rsid w:val="4B425E9C"/>
    <w:rsid w:val="4B46773A"/>
    <w:rsid w:val="4B4D6D1A"/>
    <w:rsid w:val="4B553E21"/>
    <w:rsid w:val="4B7517C6"/>
    <w:rsid w:val="4BD905AE"/>
    <w:rsid w:val="4BE13907"/>
    <w:rsid w:val="4C341C88"/>
    <w:rsid w:val="4C48654F"/>
    <w:rsid w:val="4C4A296E"/>
    <w:rsid w:val="4C667968"/>
    <w:rsid w:val="4C7420FA"/>
    <w:rsid w:val="4C982217"/>
    <w:rsid w:val="4CD174D7"/>
    <w:rsid w:val="4D1473C4"/>
    <w:rsid w:val="4D151ABA"/>
    <w:rsid w:val="4D1A70D0"/>
    <w:rsid w:val="4D2955A4"/>
    <w:rsid w:val="4D3F2C7D"/>
    <w:rsid w:val="4D46762F"/>
    <w:rsid w:val="4D502AF2"/>
    <w:rsid w:val="4D84279B"/>
    <w:rsid w:val="4D8C33FE"/>
    <w:rsid w:val="4D9E1AAF"/>
    <w:rsid w:val="4DA33993"/>
    <w:rsid w:val="4DDD3C5A"/>
    <w:rsid w:val="4DEA4CF4"/>
    <w:rsid w:val="4DF47921"/>
    <w:rsid w:val="4E143B1F"/>
    <w:rsid w:val="4E1F47F5"/>
    <w:rsid w:val="4E226070"/>
    <w:rsid w:val="4E3E294A"/>
    <w:rsid w:val="4E4A12EF"/>
    <w:rsid w:val="4E4F2DA9"/>
    <w:rsid w:val="4E760336"/>
    <w:rsid w:val="4E9407BC"/>
    <w:rsid w:val="4E9E0B83"/>
    <w:rsid w:val="4EA07161"/>
    <w:rsid w:val="4EAF4F2E"/>
    <w:rsid w:val="4EDF237F"/>
    <w:rsid w:val="4EF92D15"/>
    <w:rsid w:val="4F0C2A48"/>
    <w:rsid w:val="4F18319B"/>
    <w:rsid w:val="4F195165"/>
    <w:rsid w:val="4F363F69"/>
    <w:rsid w:val="4F3B50DC"/>
    <w:rsid w:val="4F495A4B"/>
    <w:rsid w:val="4F697E9B"/>
    <w:rsid w:val="4F792F77"/>
    <w:rsid w:val="4F844CD5"/>
    <w:rsid w:val="4F98252E"/>
    <w:rsid w:val="4FB05ACA"/>
    <w:rsid w:val="4FE90FDC"/>
    <w:rsid w:val="50245B70"/>
    <w:rsid w:val="502D2C76"/>
    <w:rsid w:val="503D0B94"/>
    <w:rsid w:val="50493828"/>
    <w:rsid w:val="505C17AE"/>
    <w:rsid w:val="5076286F"/>
    <w:rsid w:val="508A44BD"/>
    <w:rsid w:val="50B45146"/>
    <w:rsid w:val="50CC248F"/>
    <w:rsid w:val="50EA6DB9"/>
    <w:rsid w:val="50F11EF6"/>
    <w:rsid w:val="50F934A0"/>
    <w:rsid w:val="51031C29"/>
    <w:rsid w:val="510C31D4"/>
    <w:rsid w:val="511E4CB5"/>
    <w:rsid w:val="51200A2D"/>
    <w:rsid w:val="515406D7"/>
    <w:rsid w:val="5156444F"/>
    <w:rsid w:val="517174DB"/>
    <w:rsid w:val="51A25554"/>
    <w:rsid w:val="51C61EF0"/>
    <w:rsid w:val="51DE4358"/>
    <w:rsid w:val="51EC631D"/>
    <w:rsid w:val="521045FE"/>
    <w:rsid w:val="521C7446"/>
    <w:rsid w:val="5268443A"/>
    <w:rsid w:val="52CF6267"/>
    <w:rsid w:val="52FC4B82"/>
    <w:rsid w:val="53081779"/>
    <w:rsid w:val="5322748C"/>
    <w:rsid w:val="53285977"/>
    <w:rsid w:val="53332C9A"/>
    <w:rsid w:val="533E519B"/>
    <w:rsid w:val="53621878"/>
    <w:rsid w:val="536E3CD2"/>
    <w:rsid w:val="538C23AA"/>
    <w:rsid w:val="539A4AC7"/>
    <w:rsid w:val="53A05E55"/>
    <w:rsid w:val="53AE0572"/>
    <w:rsid w:val="53BA6F17"/>
    <w:rsid w:val="53C140E5"/>
    <w:rsid w:val="53C25DCC"/>
    <w:rsid w:val="53D1282D"/>
    <w:rsid w:val="53E2646E"/>
    <w:rsid w:val="53F71F19"/>
    <w:rsid w:val="53FB356D"/>
    <w:rsid w:val="540B32CF"/>
    <w:rsid w:val="54136627"/>
    <w:rsid w:val="541C79E4"/>
    <w:rsid w:val="541F4FCC"/>
    <w:rsid w:val="548337AD"/>
    <w:rsid w:val="548E5CAE"/>
    <w:rsid w:val="54B24092"/>
    <w:rsid w:val="54B631A4"/>
    <w:rsid w:val="54DA0EF3"/>
    <w:rsid w:val="54EA7388"/>
    <w:rsid w:val="54EC7209"/>
    <w:rsid w:val="54F660D4"/>
    <w:rsid w:val="54FC70BB"/>
    <w:rsid w:val="55055F70"/>
    <w:rsid w:val="550B66FE"/>
    <w:rsid w:val="552D3719"/>
    <w:rsid w:val="55466638"/>
    <w:rsid w:val="55546EF7"/>
    <w:rsid w:val="556A671B"/>
    <w:rsid w:val="556E1725"/>
    <w:rsid w:val="55790164"/>
    <w:rsid w:val="55A21A11"/>
    <w:rsid w:val="55C030E5"/>
    <w:rsid w:val="55C37BD9"/>
    <w:rsid w:val="55D818D6"/>
    <w:rsid w:val="55DD6EED"/>
    <w:rsid w:val="55F45FE4"/>
    <w:rsid w:val="561F7505"/>
    <w:rsid w:val="562D3C74"/>
    <w:rsid w:val="56332FB1"/>
    <w:rsid w:val="564725B8"/>
    <w:rsid w:val="567F61F6"/>
    <w:rsid w:val="56821842"/>
    <w:rsid w:val="5683483E"/>
    <w:rsid w:val="569C6DA8"/>
    <w:rsid w:val="56A143BE"/>
    <w:rsid w:val="56A63220"/>
    <w:rsid w:val="56D27B00"/>
    <w:rsid w:val="56EB388B"/>
    <w:rsid w:val="57014E5D"/>
    <w:rsid w:val="571C1C97"/>
    <w:rsid w:val="5730129E"/>
    <w:rsid w:val="577B4C0F"/>
    <w:rsid w:val="57B36157"/>
    <w:rsid w:val="57B570EE"/>
    <w:rsid w:val="57BF2D4E"/>
    <w:rsid w:val="57CE11E3"/>
    <w:rsid w:val="57D85BBE"/>
    <w:rsid w:val="57FD5624"/>
    <w:rsid w:val="58095D77"/>
    <w:rsid w:val="581954A0"/>
    <w:rsid w:val="58207565"/>
    <w:rsid w:val="58443253"/>
    <w:rsid w:val="58445001"/>
    <w:rsid w:val="584C2108"/>
    <w:rsid w:val="58675193"/>
    <w:rsid w:val="5870229A"/>
    <w:rsid w:val="58782EFD"/>
    <w:rsid w:val="5886386C"/>
    <w:rsid w:val="58AE2DC2"/>
    <w:rsid w:val="58B57CAD"/>
    <w:rsid w:val="58C6010C"/>
    <w:rsid w:val="58FE1654"/>
    <w:rsid w:val="596B5F04"/>
    <w:rsid w:val="59AA358A"/>
    <w:rsid w:val="59B47F65"/>
    <w:rsid w:val="59C75EEA"/>
    <w:rsid w:val="59CA59DA"/>
    <w:rsid w:val="59CF119B"/>
    <w:rsid w:val="59DE4FE1"/>
    <w:rsid w:val="59E36A9C"/>
    <w:rsid w:val="59E77376"/>
    <w:rsid w:val="59EE5BB4"/>
    <w:rsid w:val="59F20A8D"/>
    <w:rsid w:val="5A0C7DA1"/>
    <w:rsid w:val="5A1A070F"/>
    <w:rsid w:val="5A3115B5"/>
    <w:rsid w:val="5A47527D"/>
    <w:rsid w:val="5A601347"/>
    <w:rsid w:val="5A6E45B7"/>
    <w:rsid w:val="5A9222D8"/>
    <w:rsid w:val="5ADF1011"/>
    <w:rsid w:val="5AF54EE4"/>
    <w:rsid w:val="5B0F5D9A"/>
    <w:rsid w:val="5B2A2BD4"/>
    <w:rsid w:val="5B2F358E"/>
    <w:rsid w:val="5B661732"/>
    <w:rsid w:val="5B8F0C89"/>
    <w:rsid w:val="5B962018"/>
    <w:rsid w:val="5B991B08"/>
    <w:rsid w:val="5BB95D06"/>
    <w:rsid w:val="5BEC1C38"/>
    <w:rsid w:val="5C0C4E98"/>
    <w:rsid w:val="5C3655A9"/>
    <w:rsid w:val="5C663DD6"/>
    <w:rsid w:val="5C8A1451"/>
    <w:rsid w:val="5CCD4AFD"/>
    <w:rsid w:val="5CDF179C"/>
    <w:rsid w:val="5CEE5E83"/>
    <w:rsid w:val="5CF35248"/>
    <w:rsid w:val="5CFB5EAA"/>
    <w:rsid w:val="5CFC234E"/>
    <w:rsid w:val="5D347D3A"/>
    <w:rsid w:val="5D487342"/>
    <w:rsid w:val="5D55380D"/>
    <w:rsid w:val="5D613110"/>
    <w:rsid w:val="5D7E05D6"/>
    <w:rsid w:val="5D8849DB"/>
    <w:rsid w:val="5DAE4240"/>
    <w:rsid w:val="5DB21CA2"/>
    <w:rsid w:val="5DC21AC7"/>
    <w:rsid w:val="5DD230AF"/>
    <w:rsid w:val="5E1436C8"/>
    <w:rsid w:val="5E1831B8"/>
    <w:rsid w:val="5E231B5D"/>
    <w:rsid w:val="5E39312E"/>
    <w:rsid w:val="5E5F0DE7"/>
    <w:rsid w:val="5EBA426F"/>
    <w:rsid w:val="5EBD3D5F"/>
    <w:rsid w:val="5EBD6B9E"/>
    <w:rsid w:val="5EE65064"/>
    <w:rsid w:val="5EF17565"/>
    <w:rsid w:val="5EFD23AE"/>
    <w:rsid w:val="5F1D035A"/>
    <w:rsid w:val="5F2913F5"/>
    <w:rsid w:val="5F313E05"/>
    <w:rsid w:val="5F3B570F"/>
    <w:rsid w:val="5F3B6A32"/>
    <w:rsid w:val="5F4B136B"/>
    <w:rsid w:val="5F681098"/>
    <w:rsid w:val="5F6E5059"/>
    <w:rsid w:val="5F904FD0"/>
    <w:rsid w:val="5FDA449D"/>
    <w:rsid w:val="5FFE63DD"/>
    <w:rsid w:val="60110769"/>
    <w:rsid w:val="60261490"/>
    <w:rsid w:val="60367925"/>
    <w:rsid w:val="603D6F06"/>
    <w:rsid w:val="60433DF0"/>
    <w:rsid w:val="60566219"/>
    <w:rsid w:val="60640573"/>
    <w:rsid w:val="60765F74"/>
    <w:rsid w:val="60874625"/>
    <w:rsid w:val="60D801D1"/>
    <w:rsid w:val="60FE63DF"/>
    <w:rsid w:val="61047A23"/>
    <w:rsid w:val="613D4B85"/>
    <w:rsid w:val="61581B1D"/>
    <w:rsid w:val="615838CB"/>
    <w:rsid w:val="615C33BC"/>
    <w:rsid w:val="61616C24"/>
    <w:rsid w:val="6162299C"/>
    <w:rsid w:val="61640F40"/>
    <w:rsid w:val="6170330B"/>
    <w:rsid w:val="6189617B"/>
    <w:rsid w:val="618D7A19"/>
    <w:rsid w:val="61A134C4"/>
    <w:rsid w:val="61B23B98"/>
    <w:rsid w:val="61D4389A"/>
    <w:rsid w:val="623E6F65"/>
    <w:rsid w:val="624125B1"/>
    <w:rsid w:val="62561697"/>
    <w:rsid w:val="625B737D"/>
    <w:rsid w:val="626A1B08"/>
    <w:rsid w:val="626C3AD2"/>
    <w:rsid w:val="62A274F4"/>
    <w:rsid w:val="62A3542F"/>
    <w:rsid w:val="62C0797A"/>
    <w:rsid w:val="62DB2A06"/>
    <w:rsid w:val="62EC076F"/>
    <w:rsid w:val="62FC1697"/>
    <w:rsid w:val="63362801"/>
    <w:rsid w:val="63437511"/>
    <w:rsid w:val="634C3904"/>
    <w:rsid w:val="635D7461"/>
    <w:rsid w:val="63B514A9"/>
    <w:rsid w:val="63B76FCF"/>
    <w:rsid w:val="63BC45E5"/>
    <w:rsid w:val="63C82F8A"/>
    <w:rsid w:val="63F518A5"/>
    <w:rsid w:val="63F975E8"/>
    <w:rsid w:val="64033FC2"/>
    <w:rsid w:val="641A6AC6"/>
    <w:rsid w:val="64331726"/>
    <w:rsid w:val="649746A3"/>
    <w:rsid w:val="64A31AB1"/>
    <w:rsid w:val="64CA0F84"/>
    <w:rsid w:val="653528A1"/>
    <w:rsid w:val="655D5954"/>
    <w:rsid w:val="65956E9C"/>
    <w:rsid w:val="65AE4402"/>
    <w:rsid w:val="65B1194B"/>
    <w:rsid w:val="65BF216B"/>
    <w:rsid w:val="65C14BBC"/>
    <w:rsid w:val="65D8147F"/>
    <w:rsid w:val="65DF0A5F"/>
    <w:rsid w:val="65E120E1"/>
    <w:rsid w:val="660E6C4E"/>
    <w:rsid w:val="667B6DE0"/>
    <w:rsid w:val="669058B5"/>
    <w:rsid w:val="66A31A8D"/>
    <w:rsid w:val="66B617C0"/>
    <w:rsid w:val="66BE2423"/>
    <w:rsid w:val="66C0263F"/>
    <w:rsid w:val="66DE4873"/>
    <w:rsid w:val="6707201B"/>
    <w:rsid w:val="670A1B0C"/>
    <w:rsid w:val="672E2F74"/>
    <w:rsid w:val="673B1B2B"/>
    <w:rsid w:val="675A65EF"/>
    <w:rsid w:val="675B3101"/>
    <w:rsid w:val="6764746E"/>
    <w:rsid w:val="676C00D0"/>
    <w:rsid w:val="67AE2497"/>
    <w:rsid w:val="67AE4FCE"/>
    <w:rsid w:val="67DF4D46"/>
    <w:rsid w:val="67E81E4D"/>
    <w:rsid w:val="67EC1211"/>
    <w:rsid w:val="67F703D2"/>
    <w:rsid w:val="67FC395A"/>
    <w:rsid w:val="68170135"/>
    <w:rsid w:val="681A18DB"/>
    <w:rsid w:val="681D13CB"/>
    <w:rsid w:val="6850354E"/>
    <w:rsid w:val="68534DEC"/>
    <w:rsid w:val="686808CF"/>
    <w:rsid w:val="686F5878"/>
    <w:rsid w:val="68925915"/>
    <w:rsid w:val="68AF64C7"/>
    <w:rsid w:val="68E65C61"/>
    <w:rsid w:val="68F03C22"/>
    <w:rsid w:val="68F22857"/>
    <w:rsid w:val="68F93BE6"/>
    <w:rsid w:val="6931512E"/>
    <w:rsid w:val="69877444"/>
    <w:rsid w:val="69E91EAC"/>
    <w:rsid w:val="69F148BD"/>
    <w:rsid w:val="6A0171F6"/>
    <w:rsid w:val="6A1011E7"/>
    <w:rsid w:val="6A3C6480"/>
    <w:rsid w:val="6A4175F2"/>
    <w:rsid w:val="6A4C1837"/>
    <w:rsid w:val="6A4C5F97"/>
    <w:rsid w:val="6A687275"/>
    <w:rsid w:val="6A6908F7"/>
    <w:rsid w:val="6A706DE0"/>
    <w:rsid w:val="6A7150BE"/>
    <w:rsid w:val="6A845731"/>
    <w:rsid w:val="6ABE6E95"/>
    <w:rsid w:val="6B1B4E08"/>
    <w:rsid w:val="6B422E38"/>
    <w:rsid w:val="6B60619E"/>
    <w:rsid w:val="6B67752D"/>
    <w:rsid w:val="6BAD2D8D"/>
    <w:rsid w:val="6BDF5315"/>
    <w:rsid w:val="6BF863D7"/>
    <w:rsid w:val="6C1F1BB5"/>
    <w:rsid w:val="6C276CBC"/>
    <w:rsid w:val="6C376EFF"/>
    <w:rsid w:val="6C423AF6"/>
    <w:rsid w:val="6C707ECB"/>
    <w:rsid w:val="6C77379F"/>
    <w:rsid w:val="6C904861"/>
    <w:rsid w:val="6C9A56E0"/>
    <w:rsid w:val="6CA9147F"/>
    <w:rsid w:val="6CB0280D"/>
    <w:rsid w:val="6CD61D47"/>
    <w:rsid w:val="6CD7423E"/>
    <w:rsid w:val="6CDC7AA6"/>
    <w:rsid w:val="6CE67AD3"/>
    <w:rsid w:val="6CFA617E"/>
    <w:rsid w:val="6D260D22"/>
    <w:rsid w:val="6D4228CF"/>
    <w:rsid w:val="6D4573FA"/>
    <w:rsid w:val="6D57692C"/>
    <w:rsid w:val="6D612F1C"/>
    <w:rsid w:val="6D785A21"/>
    <w:rsid w:val="6D877A12"/>
    <w:rsid w:val="6DD67370"/>
    <w:rsid w:val="6DD95D94"/>
    <w:rsid w:val="6DDB1B0C"/>
    <w:rsid w:val="6DF130DE"/>
    <w:rsid w:val="6DFF4911"/>
    <w:rsid w:val="6E035861"/>
    <w:rsid w:val="6E58315D"/>
    <w:rsid w:val="6E68124A"/>
    <w:rsid w:val="6E9A5523"/>
    <w:rsid w:val="6EB04D47"/>
    <w:rsid w:val="6ED00F45"/>
    <w:rsid w:val="6EF966EE"/>
    <w:rsid w:val="6EFC61DE"/>
    <w:rsid w:val="6F060E0B"/>
    <w:rsid w:val="6F0B4673"/>
    <w:rsid w:val="6F0E7CBF"/>
    <w:rsid w:val="6F174DC6"/>
    <w:rsid w:val="6F1B6513"/>
    <w:rsid w:val="6F3516F0"/>
    <w:rsid w:val="6F675D4D"/>
    <w:rsid w:val="6F6D0E8A"/>
    <w:rsid w:val="6F767D3E"/>
    <w:rsid w:val="6F9957DB"/>
    <w:rsid w:val="6FD20CED"/>
    <w:rsid w:val="6FF80A3A"/>
    <w:rsid w:val="70333E81"/>
    <w:rsid w:val="704716DB"/>
    <w:rsid w:val="704850BB"/>
    <w:rsid w:val="705362D1"/>
    <w:rsid w:val="705D0EFE"/>
    <w:rsid w:val="70814BED"/>
    <w:rsid w:val="70877D29"/>
    <w:rsid w:val="709C1A26"/>
    <w:rsid w:val="70A64653"/>
    <w:rsid w:val="70B2124A"/>
    <w:rsid w:val="70DA674F"/>
    <w:rsid w:val="70DD3DED"/>
    <w:rsid w:val="70E229F3"/>
    <w:rsid w:val="70FC0717"/>
    <w:rsid w:val="70FF1FB5"/>
    <w:rsid w:val="710475CC"/>
    <w:rsid w:val="710F37C4"/>
    <w:rsid w:val="711E068D"/>
    <w:rsid w:val="712D267F"/>
    <w:rsid w:val="715D7825"/>
    <w:rsid w:val="716B62DE"/>
    <w:rsid w:val="71775D29"/>
    <w:rsid w:val="717D3CD5"/>
    <w:rsid w:val="7189184A"/>
    <w:rsid w:val="719C5A56"/>
    <w:rsid w:val="719C7804"/>
    <w:rsid w:val="71D15700"/>
    <w:rsid w:val="71DC5E53"/>
    <w:rsid w:val="723E72D0"/>
    <w:rsid w:val="72477770"/>
    <w:rsid w:val="724A7260"/>
    <w:rsid w:val="724F04E1"/>
    <w:rsid w:val="72565C05"/>
    <w:rsid w:val="725B321B"/>
    <w:rsid w:val="729C3F60"/>
    <w:rsid w:val="72C9287B"/>
    <w:rsid w:val="72D07765"/>
    <w:rsid w:val="72EE22E1"/>
    <w:rsid w:val="72FD2525"/>
    <w:rsid w:val="731F249B"/>
    <w:rsid w:val="73353A6C"/>
    <w:rsid w:val="734B1B9C"/>
    <w:rsid w:val="736E51D0"/>
    <w:rsid w:val="73734595"/>
    <w:rsid w:val="737A6AC3"/>
    <w:rsid w:val="73813156"/>
    <w:rsid w:val="73852C46"/>
    <w:rsid w:val="73922C6D"/>
    <w:rsid w:val="73A66718"/>
    <w:rsid w:val="73D72D76"/>
    <w:rsid w:val="73FB138C"/>
    <w:rsid w:val="73FE105D"/>
    <w:rsid w:val="7431692A"/>
    <w:rsid w:val="744877CF"/>
    <w:rsid w:val="745D771F"/>
    <w:rsid w:val="74624D35"/>
    <w:rsid w:val="74634609"/>
    <w:rsid w:val="746A3BEA"/>
    <w:rsid w:val="747607E0"/>
    <w:rsid w:val="74806F69"/>
    <w:rsid w:val="748D069E"/>
    <w:rsid w:val="74A964C0"/>
    <w:rsid w:val="74CA6436"/>
    <w:rsid w:val="74E80174"/>
    <w:rsid w:val="755C3532"/>
    <w:rsid w:val="75A56114"/>
    <w:rsid w:val="75C33EB4"/>
    <w:rsid w:val="75F61BD9"/>
    <w:rsid w:val="75FE283B"/>
    <w:rsid w:val="76164029"/>
    <w:rsid w:val="76375D4D"/>
    <w:rsid w:val="76481D09"/>
    <w:rsid w:val="766D196F"/>
    <w:rsid w:val="767174B1"/>
    <w:rsid w:val="76854D0B"/>
    <w:rsid w:val="76A07D97"/>
    <w:rsid w:val="76A553AD"/>
    <w:rsid w:val="76B63116"/>
    <w:rsid w:val="77022531"/>
    <w:rsid w:val="77043E82"/>
    <w:rsid w:val="77324E93"/>
    <w:rsid w:val="773329B9"/>
    <w:rsid w:val="773576CE"/>
    <w:rsid w:val="778356EE"/>
    <w:rsid w:val="778D031B"/>
    <w:rsid w:val="77AD62C7"/>
    <w:rsid w:val="77B358A8"/>
    <w:rsid w:val="77D45F4A"/>
    <w:rsid w:val="77D73344"/>
    <w:rsid w:val="78482494"/>
    <w:rsid w:val="78650950"/>
    <w:rsid w:val="787B2E70"/>
    <w:rsid w:val="787E1A12"/>
    <w:rsid w:val="788F00C3"/>
    <w:rsid w:val="78926D33"/>
    <w:rsid w:val="78AA0A59"/>
    <w:rsid w:val="78B90C9C"/>
    <w:rsid w:val="78CC4E73"/>
    <w:rsid w:val="78D9133E"/>
    <w:rsid w:val="78E71CAD"/>
    <w:rsid w:val="78E977D3"/>
    <w:rsid w:val="790A7749"/>
    <w:rsid w:val="7931117A"/>
    <w:rsid w:val="7956298E"/>
    <w:rsid w:val="797177C8"/>
    <w:rsid w:val="797F0137"/>
    <w:rsid w:val="797F1EE5"/>
    <w:rsid w:val="79853BED"/>
    <w:rsid w:val="79975AC4"/>
    <w:rsid w:val="79BD656A"/>
    <w:rsid w:val="79C30024"/>
    <w:rsid w:val="79C8563A"/>
    <w:rsid w:val="79E419FF"/>
    <w:rsid w:val="79ED6E4F"/>
    <w:rsid w:val="79F91C98"/>
    <w:rsid w:val="7A2605B3"/>
    <w:rsid w:val="7A326F58"/>
    <w:rsid w:val="7A3E76AA"/>
    <w:rsid w:val="7A4F7B0A"/>
    <w:rsid w:val="7A61783D"/>
    <w:rsid w:val="7A6730A5"/>
    <w:rsid w:val="7A7C6425"/>
    <w:rsid w:val="7AD718AD"/>
    <w:rsid w:val="7AF83CFD"/>
    <w:rsid w:val="7B062394"/>
    <w:rsid w:val="7B073F40"/>
    <w:rsid w:val="7B152B01"/>
    <w:rsid w:val="7B2E3BC3"/>
    <w:rsid w:val="7B334D35"/>
    <w:rsid w:val="7B481EDC"/>
    <w:rsid w:val="7B4909FD"/>
    <w:rsid w:val="7B4A5EFC"/>
    <w:rsid w:val="7B5B603A"/>
    <w:rsid w:val="7B6E2211"/>
    <w:rsid w:val="7B7F3EFA"/>
    <w:rsid w:val="7B86755B"/>
    <w:rsid w:val="7B9A3006"/>
    <w:rsid w:val="7BA236CB"/>
    <w:rsid w:val="7BA45C33"/>
    <w:rsid w:val="7BBC16B4"/>
    <w:rsid w:val="7BBD07FA"/>
    <w:rsid w:val="7BDF4EBD"/>
    <w:rsid w:val="7BFD3595"/>
    <w:rsid w:val="7C06069C"/>
    <w:rsid w:val="7C703D67"/>
    <w:rsid w:val="7C8617DD"/>
    <w:rsid w:val="7CC06A9D"/>
    <w:rsid w:val="7D0A41BC"/>
    <w:rsid w:val="7D1312C2"/>
    <w:rsid w:val="7D1338F5"/>
    <w:rsid w:val="7D1C7A4B"/>
    <w:rsid w:val="7D254B52"/>
    <w:rsid w:val="7D44147C"/>
    <w:rsid w:val="7D641B1E"/>
    <w:rsid w:val="7D8C3F38"/>
    <w:rsid w:val="7D8C697F"/>
    <w:rsid w:val="7D9D6DDE"/>
    <w:rsid w:val="7DBC2D12"/>
    <w:rsid w:val="7DBD122E"/>
    <w:rsid w:val="7DC205F3"/>
    <w:rsid w:val="7DCC1471"/>
    <w:rsid w:val="7DDD71DA"/>
    <w:rsid w:val="7DF6029C"/>
    <w:rsid w:val="7E11492D"/>
    <w:rsid w:val="7E265025"/>
    <w:rsid w:val="7E3922FD"/>
    <w:rsid w:val="7E617D70"/>
    <w:rsid w:val="7E68119A"/>
    <w:rsid w:val="7E7062A0"/>
    <w:rsid w:val="7E775881"/>
    <w:rsid w:val="7EAA17B2"/>
    <w:rsid w:val="7EB63B18"/>
    <w:rsid w:val="7EC14D4E"/>
    <w:rsid w:val="7ECB34D7"/>
    <w:rsid w:val="7ED76320"/>
    <w:rsid w:val="7EDB5E10"/>
    <w:rsid w:val="7EF90044"/>
    <w:rsid w:val="7EFB3184"/>
    <w:rsid w:val="7EFB3DBC"/>
    <w:rsid w:val="7F061016"/>
    <w:rsid w:val="7F1C3D32"/>
    <w:rsid w:val="7F2D2412"/>
    <w:rsid w:val="7F5E1939"/>
    <w:rsid w:val="7F8A5140"/>
    <w:rsid w:val="7F930498"/>
    <w:rsid w:val="7FB1091F"/>
    <w:rsid w:val="7FBB354B"/>
    <w:rsid w:val="7FCB6370"/>
    <w:rsid w:val="7FD50AB1"/>
    <w:rsid w:val="7FD85EAB"/>
    <w:rsid w:val="7FF627D5"/>
    <w:rsid w:val="7FFD5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toc 1"/>
    <w:basedOn w:val="1"/>
    <w:next w:val="1"/>
    <w:qFormat/>
    <w:uiPriority w:val="0"/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tiff"/><Relationship Id="rId8" Type="http://schemas.openxmlformats.org/officeDocument/2006/relationships/image" Target="media/image4.tiff"/><Relationship Id="rId7" Type="http://schemas.openxmlformats.org/officeDocument/2006/relationships/image" Target="media/image3.tiff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8.tiff"/><Relationship Id="rId11" Type="http://schemas.openxmlformats.org/officeDocument/2006/relationships/image" Target="media/image7.tiff"/><Relationship Id="rId10" Type="http://schemas.openxmlformats.org/officeDocument/2006/relationships/image" Target="media/image6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1240</Words>
  <Characters>7070</Characters>
  <Lines>58</Lines>
  <Paragraphs>16</Paragraphs>
  <TotalTime>883</TotalTime>
  <ScaleCrop>false</ScaleCrop>
  <LinksUpToDate>false</LinksUpToDate>
  <CharactersWithSpaces>8294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2023-10-01T12:51:00Z</dcterms:created>
  <dc:creator>DELL</dc:creator>
  <cp:lastModifiedBy>DangTing</cp:lastModifiedBy>
  <dcterms:modified xsi:type="dcterms:W3CDTF">2023-10-15T09:44:53Z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40AA20D23CF444D490392A2190772EE5_12</vt:lpwstr>
  </property>
</Properties>
</file>