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B4B13" w14:textId="6FBC0DDF" w:rsidR="00E60933" w:rsidRPr="007362FB" w:rsidRDefault="00E60933">
      <w:pPr>
        <w:rPr>
          <w:rFonts w:ascii="Arial" w:hAnsi="Arial" w:cs="Arial"/>
          <w:sz w:val="20"/>
          <w:szCs w:val="20"/>
        </w:rPr>
      </w:pPr>
    </w:p>
    <w:p w14:paraId="7677F904" w14:textId="77777777" w:rsidR="00E60933" w:rsidRPr="007362FB" w:rsidRDefault="00E60933" w:rsidP="00E60933">
      <w:pPr>
        <w:rPr>
          <w:sz w:val="20"/>
          <w:szCs w:val="20"/>
        </w:rPr>
      </w:pPr>
      <w:r w:rsidRPr="007362FB">
        <w:rPr>
          <w:noProof/>
          <w:sz w:val="20"/>
          <w:szCs w:val="20"/>
        </w:rPr>
        <w:drawing>
          <wp:inline distT="0" distB="0" distL="0" distR="0" wp14:anchorId="5CF5313F" wp14:editId="63BB26D0">
            <wp:extent cx="6718852" cy="6621945"/>
            <wp:effectExtent l="0" t="0" r="6350" b="0"/>
            <wp:docPr id="1888459321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459321" name="Picture 1" descr="A screenshot of a video gam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92"/>
                    <a:stretch/>
                  </pic:blipFill>
                  <pic:spPr bwMode="auto">
                    <a:xfrm>
                      <a:off x="0" y="0"/>
                      <a:ext cx="6729594" cy="6632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FFB1A" w14:textId="25B86096" w:rsidR="00D72D7A" w:rsidRPr="007362FB" w:rsidRDefault="00E60933" w:rsidP="00D72D7A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  <w:r w:rsidRPr="007362FB">
        <w:rPr>
          <w:rFonts w:ascii="Arial" w:hAnsi="Arial" w:cs="Arial"/>
          <w:b/>
          <w:bCs/>
          <w:sz w:val="20"/>
          <w:szCs w:val="20"/>
        </w:rPr>
        <w:t xml:space="preserve">Extended Data Figure 1 (related to Figure 1).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A</w:t>
      </w:r>
      <w:r w:rsidRPr="007362FB">
        <w:rPr>
          <w:rFonts w:ascii="Arial" w:hAnsi="Arial" w:cs="Arial"/>
          <w:sz w:val="20"/>
          <w:szCs w:val="20"/>
        </w:rPr>
        <w:t>) NAFLD activity score; NCD (n = 8), Sham AL (n = 6), Sham PF (n = 4), VSG (n = 5)</w:t>
      </w:r>
      <w:r w:rsidR="00D72D7A" w:rsidRPr="007362FB">
        <w:rPr>
          <w:rFonts w:ascii="Arial" w:hAnsi="Arial" w:cs="Arial"/>
          <w:sz w:val="20"/>
          <w:szCs w:val="20"/>
        </w:rPr>
        <w:t xml:space="preserve">, and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B</w:t>
      </w:r>
      <w:r w:rsidRPr="007362FB">
        <w:rPr>
          <w:rFonts w:ascii="Arial" w:hAnsi="Arial" w:cs="Arial"/>
          <w:sz w:val="20"/>
          <w:szCs w:val="20"/>
        </w:rPr>
        <w:t>) Representative Picro Sirius red-stained liver sections</w:t>
      </w:r>
      <w:r w:rsidR="00D72D7A" w:rsidRPr="007362FB">
        <w:rPr>
          <w:rFonts w:ascii="Arial" w:hAnsi="Arial" w:cs="Arial"/>
          <w:sz w:val="20"/>
          <w:szCs w:val="20"/>
        </w:rPr>
        <w:t xml:space="preserve"> 5 weeks post surgeries</w:t>
      </w:r>
      <w:r w:rsidRPr="007362FB">
        <w:rPr>
          <w:rFonts w:ascii="Arial" w:hAnsi="Arial" w:cs="Arial"/>
          <w:sz w:val="20"/>
          <w:szCs w:val="20"/>
        </w:rPr>
        <w:t xml:space="preserve">. </w:t>
      </w:r>
      <w:r w:rsidR="00D72D7A" w:rsidRPr="007362FB">
        <w:rPr>
          <w:rFonts w:ascii="Arial" w:hAnsi="Arial" w:cs="Arial"/>
          <w:sz w:val="20"/>
          <w:szCs w:val="20"/>
        </w:rPr>
        <w:t>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C</w:t>
      </w:r>
      <w:r w:rsidR="00D72D7A" w:rsidRPr="007362FB">
        <w:rPr>
          <w:rFonts w:ascii="Arial" w:hAnsi="Arial" w:cs="Arial"/>
          <w:sz w:val="20"/>
          <w:szCs w:val="20"/>
        </w:rPr>
        <w:t>) Percentage change in body weight, 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D</w:t>
      </w:r>
      <w:r w:rsidR="00D72D7A" w:rsidRPr="007362FB">
        <w:rPr>
          <w:rFonts w:ascii="Arial" w:hAnsi="Arial" w:cs="Arial"/>
          <w:sz w:val="20"/>
          <w:szCs w:val="20"/>
        </w:rPr>
        <w:t>) Liver weight, 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E</w:t>
      </w:r>
      <w:r w:rsidR="00D72D7A" w:rsidRPr="007362FB">
        <w:rPr>
          <w:rFonts w:ascii="Arial" w:hAnsi="Arial" w:cs="Arial"/>
          <w:sz w:val="20"/>
          <w:szCs w:val="20"/>
        </w:rPr>
        <w:t>) Serum AST, 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F</w:t>
      </w:r>
      <w:r w:rsidR="00D72D7A" w:rsidRPr="007362FB">
        <w:rPr>
          <w:rFonts w:ascii="Arial" w:hAnsi="Arial" w:cs="Arial"/>
          <w:sz w:val="20"/>
          <w:szCs w:val="20"/>
        </w:rPr>
        <w:t>) Serum ALT, and 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G</w:t>
      </w:r>
      <w:r w:rsidR="00D72D7A" w:rsidRPr="007362FB">
        <w:rPr>
          <w:rFonts w:ascii="Arial" w:hAnsi="Arial" w:cs="Arial"/>
          <w:sz w:val="20"/>
          <w:szCs w:val="20"/>
        </w:rPr>
        <w:t>) Hepatic triglyceride content in C57BL6/J (WT) mice fed either an NCD (n = 8) for 22 weeks or an HFHC diet for 12 weeks, assigned to Sham AL (n = 6-7), Sham PF (n = 6), or VSG (n = 9)</w:t>
      </w:r>
      <w:r w:rsidR="007362FB">
        <w:rPr>
          <w:rFonts w:ascii="Arial" w:hAnsi="Arial" w:cs="Arial"/>
          <w:sz w:val="20"/>
          <w:szCs w:val="20"/>
        </w:rPr>
        <w:t xml:space="preserve"> </w:t>
      </w:r>
      <w:r w:rsidR="00D72D7A" w:rsidRPr="007362FB">
        <w:rPr>
          <w:rFonts w:ascii="Arial" w:hAnsi="Arial" w:cs="Arial"/>
          <w:sz w:val="20"/>
          <w:szCs w:val="20"/>
        </w:rPr>
        <w:t>surgeries, and maintained on the HFHC diet for 10 weeks post-surgery. (</w:t>
      </w:r>
      <w:r w:rsidR="00D72D7A" w:rsidRPr="007362FB">
        <w:rPr>
          <w:rFonts w:ascii="Arial" w:hAnsi="Arial" w:cs="Arial"/>
          <w:b/>
          <w:bCs/>
          <w:sz w:val="20"/>
          <w:szCs w:val="20"/>
        </w:rPr>
        <w:t>H</w:t>
      </w:r>
      <w:r w:rsidR="00D72D7A" w:rsidRPr="007362FB">
        <w:rPr>
          <w:rFonts w:ascii="Arial" w:hAnsi="Arial" w:cs="Arial"/>
          <w:sz w:val="20"/>
          <w:szCs w:val="20"/>
        </w:rPr>
        <w:t xml:space="preserve">) Concentration of portal vein bile acids 5 weeks post-surgery: cholic acid (CA), ursodeoxycholic acid (UDCA), chenodeoxycholic acid (CDCA), taurolithocholic acid (TLCA), lithocholic acid (LCA), taurochenodeoxycholic acid (TCDCA), hyodeoxycholic acid (HDCA), taurohyodeoxycholic acid (THDCA), tauroursodeoxycholic acid (TUDCA); NCD (n = 10), Sham AL (n = 6), Sham PF (n = 8), VSG (n = 12). Data were analyzed by one-way ANOVA with Holm-Šídák multiple comparison test. </w:t>
      </w:r>
      <w:r w:rsidR="00D72D7A" w:rsidRPr="007362FB">
        <w:rPr>
          <w:rFonts w:ascii="Arial" w:hAnsi="Arial" w:cs="Arial"/>
          <w:sz w:val="20"/>
          <w:szCs w:val="20"/>
          <w:shd w:val="clear" w:color="auto" w:fill="FFFFFF"/>
        </w:rPr>
        <w:t xml:space="preserve">Data are biological experimental units presented as mean ± SEM. </w:t>
      </w:r>
    </w:p>
    <w:p w14:paraId="226CD14E" w14:textId="1170DD5B" w:rsidR="00D72D7A" w:rsidRPr="007362FB" w:rsidRDefault="00D72D7A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</w:p>
    <w:p w14:paraId="5FCA3DF9" w14:textId="77777777" w:rsidR="00D72D7A" w:rsidRPr="007362FB" w:rsidRDefault="00D72D7A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</w:p>
    <w:p w14:paraId="530A86CF" w14:textId="77777777" w:rsidR="00E60933" w:rsidRPr="007362FB" w:rsidRDefault="00E60933" w:rsidP="00E60933">
      <w:pPr>
        <w:rPr>
          <w:sz w:val="20"/>
          <w:szCs w:val="20"/>
        </w:rPr>
      </w:pPr>
      <w:r w:rsidRPr="007362FB">
        <w:rPr>
          <w:sz w:val="20"/>
          <w:szCs w:val="20"/>
        </w:rPr>
        <w:br w:type="page"/>
      </w:r>
    </w:p>
    <w:p w14:paraId="7290E48A" w14:textId="77777777" w:rsidR="00E60933" w:rsidRPr="007362FB" w:rsidRDefault="00E60933" w:rsidP="00E60933">
      <w:pPr>
        <w:rPr>
          <w:sz w:val="20"/>
          <w:szCs w:val="20"/>
        </w:rPr>
      </w:pPr>
      <w:r w:rsidRPr="007362FB">
        <w:rPr>
          <w:noProof/>
          <w:sz w:val="20"/>
          <w:szCs w:val="20"/>
        </w:rPr>
        <w:lastRenderedPageBreak/>
        <w:drawing>
          <wp:inline distT="0" distB="0" distL="0" distR="0" wp14:anchorId="53555C13" wp14:editId="328B513D">
            <wp:extent cx="6311948" cy="8163048"/>
            <wp:effectExtent l="0" t="0" r="0" b="9525"/>
            <wp:docPr id="2004122990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122990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952" cy="818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C73CD" w14:textId="4546E1D3" w:rsidR="00E60933" w:rsidRPr="007362FB" w:rsidRDefault="00E60933" w:rsidP="00E60933">
      <w:pPr>
        <w:rPr>
          <w:sz w:val="20"/>
          <w:szCs w:val="20"/>
        </w:rPr>
      </w:pPr>
      <w:bookmarkStart w:id="0" w:name="_Hlk148026026"/>
      <w:r w:rsidRPr="007362FB">
        <w:rPr>
          <w:rFonts w:ascii="Arial" w:hAnsi="Arial" w:cs="Arial"/>
          <w:b/>
          <w:bCs/>
          <w:sz w:val="20"/>
          <w:szCs w:val="20"/>
        </w:rPr>
        <w:t xml:space="preserve">Extended Data Figure 2 (related to Figure 2).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A</w:t>
      </w:r>
      <w:r w:rsidRPr="007362FB">
        <w:rPr>
          <w:rFonts w:ascii="Arial" w:hAnsi="Arial" w:cs="Arial"/>
          <w:sz w:val="20"/>
          <w:szCs w:val="20"/>
        </w:rPr>
        <w:t>) Representative flow plots (left) and quantification of hepatic macrophage subsets per gram of liver (right) at 5 weeks (top) and 10 weeks post-</w:t>
      </w:r>
      <w:r w:rsidR="00D72D7A" w:rsidRPr="007362FB">
        <w:rPr>
          <w:rFonts w:ascii="Arial" w:hAnsi="Arial" w:cs="Arial"/>
          <w:sz w:val="20"/>
          <w:szCs w:val="20"/>
        </w:rPr>
        <w:t>surgery</w:t>
      </w:r>
      <w:r w:rsidRPr="007362FB">
        <w:rPr>
          <w:rFonts w:ascii="Arial" w:hAnsi="Arial" w:cs="Arial"/>
          <w:sz w:val="20"/>
          <w:szCs w:val="20"/>
        </w:rPr>
        <w:t xml:space="preserve"> (bottom); 5 week Sham AL (n = 4), 5 week VSG (n = 5</w:t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  <w:t>), 10 week Sham AL (n = 6) and 10 week VSG (n = 9). (</w:t>
      </w:r>
      <w:r w:rsidRPr="007362FB">
        <w:rPr>
          <w:rFonts w:ascii="Arial" w:hAnsi="Arial" w:cs="Arial"/>
          <w:b/>
          <w:bCs/>
          <w:sz w:val="20"/>
          <w:szCs w:val="20"/>
        </w:rPr>
        <w:t>B</w:t>
      </w:r>
      <w:r w:rsidRPr="007362FB">
        <w:rPr>
          <w:rFonts w:ascii="Arial" w:hAnsi="Arial" w:cs="Arial"/>
          <w:sz w:val="20"/>
          <w:szCs w:val="20"/>
        </w:rPr>
        <w:t>) Heat map of top genes for each cluster. (</w:t>
      </w:r>
      <w:r w:rsidRPr="007362FB">
        <w:rPr>
          <w:rFonts w:ascii="Arial" w:hAnsi="Arial" w:cs="Arial"/>
          <w:b/>
          <w:bCs/>
          <w:sz w:val="20"/>
          <w:szCs w:val="20"/>
        </w:rPr>
        <w:t>C</w:t>
      </w:r>
      <w:r w:rsidRPr="007362FB">
        <w:rPr>
          <w:rFonts w:ascii="Arial" w:hAnsi="Arial" w:cs="Arial"/>
          <w:sz w:val="20"/>
          <w:szCs w:val="20"/>
        </w:rPr>
        <w:t xml:space="preserve">) Gene expression over pseudotime for trajectories 1 (top left), 2 (top right) and 3 (bottom). </w:t>
      </w:r>
      <w:r w:rsidR="00893D1F" w:rsidRPr="007362FB">
        <w:rPr>
          <w:rFonts w:ascii="Arial" w:hAnsi="Arial" w:cs="Arial"/>
          <w:sz w:val="20"/>
          <w:szCs w:val="20"/>
        </w:rPr>
        <w:t>Data were analyzed by Mann Whitney tests. Data are biological experimental units presented as mean ± SEM.</w:t>
      </w:r>
    </w:p>
    <w:bookmarkEnd w:id="0"/>
    <w:p w14:paraId="7C134813" w14:textId="77777777" w:rsidR="00E60933" w:rsidRPr="007362FB" w:rsidRDefault="00E60933" w:rsidP="00E60933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7362FB">
        <w:rPr>
          <w:rFonts w:ascii="Arial" w:hAnsi="Arial" w:cs="Arial"/>
          <w:sz w:val="20"/>
          <w:szCs w:val="20"/>
          <w:shd w:val="clear" w:color="auto" w:fill="FFFFFF"/>
        </w:rPr>
        <w:br w:type="page"/>
      </w:r>
    </w:p>
    <w:p w14:paraId="46B46B87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362FB">
        <w:rPr>
          <w:rFonts w:ascii="Arial" w:hAnsi="Arial" w:cs="Arial"/>
          <w:noProof/>
          <w:sz w:val="20"/>
          <w:szCs w:val="20"/>
          <w:shd w:val="clear" w:color="auto" w:fill="FFFFFF"/>
        </w:rPr>
        <w:lastRenderedPageBreak/>
        <w:drawing>
          <wp:inline distT="0" distB="0" distL="0" distR="0" wp14:anchorId="5E732B94" wp14:editId="6F03CE04">
            <wp:extent cx="6750657" cy="6404469"/>
            <wp:effectExtent l="0" t="0" r="0" b="0"/>
            <wp:docPr id="1096858056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858056" name="Picture 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642"/>
                    <a:stretch/>
                  </pic:blipFill>
                  <pic:spPr bwMode="auto">
                    <a:xfrm>
                      <a:off x="0" y="0"/>
                      <a:ext cx="6759194" cy="6412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DEA25" w14:textId="77777777" w:rsidR="00E60933" w:rsidRPr="007362FB" w:rsidRDefault="00E60933" w:rsidP="00E60933">
      <w:pPr>
        <w:rPr>
          <w:rFonts w:ascii="Arial" w:hAnsi="Arial" w:cs="Arial"/>
          <w:sz w:val="20"/>
          <w:szCs w:val="20"/>
          <w:shd w:val="clear" w:color="auto" w:fill="FFFFFF"/>
        </w:rPr>
      </w:pPr>
      <w:bookmarkStart w:id="1" w:name="_Hlk148026219"/>
      <w:r w:rsidRPr="007362FB">
        <w:rPr>
          <w:rFonts w:ascii="Arial" w:hAnsi="Arial" w:cs="Arial"/>
          <w:b/>
          <w:bCs/>
          <w:sz w:val="20"/>
          <w:szCs w:val="20"/>
        </w:rPr>
        <w:t xml:space="preserve">Extended Data Figure 3 (related to Figure 3).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A</w:t>
      </w:r>
      <w:r w:rsidRPr="007362FB">
        <w:rPr>
          <w:rFonts w:ascii="Arial" w:hAnsi="Arial" w:cs="Arial"/>
          <w:sz w:val="20"/>
          <w:szCs w:val="20"/>
        </w:rPr>
        <w:t>) Heat maps of top DEGs between all groups at both time points for total macrophages. All data presented in this figure (n = 4).</w:t>
      </w:r>
    </w:p>
    <w:bookmarkEnd w:id="1"/>
    <w:p w14:paraId="695C4795" w14:textId="77777777" w:rsidR="00E60933" w:rsidRPr="007362FB" w:rsidRDefault="00E60933" w:rsidP="00E60933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7362FB">
        <w:rPr>
          <w:rFonts w:ascii="Arial" w:hAnsi="Arial" w:cs="Arial"/>
          <w:sz w:val="20"/>
          <w:szCs w:val="20"/>
          <w:shd w:val="clear" w:color="auto" w:fill="FFFFFF"/>
        </w:rPr>
        <w:br w:type="page"/>
      </w:r>
    </w:p>
    <w:p w14:paraId="0800D4A9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7362FB">
        <w:rPr>
          <w:rFonts w:ascii="Arial" w:hAnsi="Arial" w:cs="Arial"/>
          <w:noProof/>
          <w:sz w:val="20"/>
          <w:szCs w:val="20"/>
          <w:shd w:val="clear" w:color="auto" w:fill="FFFFFF"/>
        </w:rPr>
        <w:lastRenderedPageBreak/>
        <w:drawing>
          <wp:inline distT="0" distB="0" distL="0" distR="0" wp14:anchorId="6EFC2F81" wp14:editId="32A3FBD7">
            <wp:extent cx="6758608" cy="5902951"/>
            <wp:effectExtent l="0" t="0" r="4445" b="0"/>
            <wp:docPr id="1409017689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017689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466"/>
                    <a:stretch/>
                  </pic:blipFill>
                  <pic:spPr bwMode="auto">
                    <a:xfrm>
                      <a:off x="0" y="0"/>
                      <a:ext cx="6770484" cy="591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AFA3D" w14:textId="4B522994" w:rsidR="00E60933" w:rsidRPr="007362FB" w:rsidRDefault="00E60933" w:rsidP="00E60933">
      <w:pPr>
        <w:rPr>
          <w:rFonts w:ascii="Arial" w:hAnsi="Arial" w:cs="Arial"/>
          <w:sz w:val="20"/>
          <w:szCs w:val="20"/>
          <w:shd w:val="clear" w:color="auto" w:fill="FFFFFF"/>
        </w:rPr>
      </w:pPr>
      <w:bookmarkStart w:id="2" w:name="_Hlk148026294"/>
      <w:r w:rsidRPr="007362FB">
        <w:rPr>
          <w:rFonts w:ascii="Arial" w:hAnsi="Arial" w:cs="Arial"/>
          <w:b/>
          <w:bCs/>
          <w:sz w:val="20"/>
          <w:szCs w:val="20"/>
        </w:rPr>
        <w:t xml:space="preserve">Extended Data Figure 4 (related to Figure 4).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A</w:t>
      </w:r>
      <w:r w:rsidRPr="007362FB">
        <w:rPr>
          <w:rFonts w:ascii="Arial" w:hAnsi="Arial" w:cs="Arial"/>
          <w:sz w:val="20"/>
          <w:szCs w:val="20"/>
        </w:rPr>
        <w:t xml:space="preserve">) Relative expression </w:t>
      </w:r>
      <w:r w:rsidRPr="007362FB">
        <w:rPr>
          <w:rFonts w:ascii="Arial" w:hAnsi="Arial" w:cs="Arial"/>
          <w:i/>
          <w:iCs/>
          <w:sz w:val="20"/>
          <w:szCs w:val="20"/>
        </w:rPr>
        <w:t xml:space="preserve">Trem2 </w:t>
      </w:r>
      <w:r w:rsidRPr="007362FB">
        <w:rPr>
          <w:rFonts w:ascii="Arial" w:hAnsi="Arial" w:cs="Arial"/>
          <w:sz w:val="20"/>
          <w:szCs w:val="20"/>
        </w:rPr>
        <w:t>in WT and TREM2 KO BMDMs; WT (n = 3) and KO (n = 3). (</w:t>
      </w:r>
      <w:r w:rsidRPr="007362FB">
        <w:rPr>
          <w:rFonts w:ascii="Arial" w:hAnsi="Arial" w:cs="Arial"/>
          <w:b/>
          <w:bCs/>
          <w:sz w:val="20"/>
          <w:szCs w:val="20"/>
        </w:rPr>
        <w:t>B</w:t>
      </w:r>
      <w:r w:rsidRPr="007362FB">
        <w:rPr>
          <w:rFonts w:ascii="Arial" w:hAnsi="Arial" w:cs="Arial"/>
          <w:sz w:val="20"/>
          <w:szCs w:val="20"/>
        </w:rPr>
        <w:t>) Concentration of sTREM2 in the serum 5 weeks post-VSG; WT Sham (n = 8), WT VSG (n = 6), KO Sham (n = 8), and KO VSG (n = 8). (</w:t>
      </w:r>
      <w:r w:rsidRPr="007362FB">
        <w:rPr>
          <w:rFonts w:ascii="Arial" w:hAnsi="Arial" w:cs="Arial"/>
          <w:b/>
          <w:bCs/>
          <w:sz w:val="20"/>
          <w:szCs w:val="20"/>
        </w:rPr>
        <w:t>C</w:t>
      </w:r>
      <w:r w:rsidRPr="007362FB">
        <w:rPr>
          <w:rFonts w:ascii="Arial" w:hAnsi="Arial" w:cs="Arial"/>
          <w:sz w:val="20"/>
          <w:szCs w:val="20"/>
        </w:rPr>
        <w:t>) Representative flow plots (top) and quantification of hepatic macrophage subsets per gram of liver (bottom) after 12 weeks of HFHC feeding; WT (n = 15</w:t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</w:r>
      <w:r w:rsidRPr="007362FB">
        <w:rPr>
          <w:rFonts w:ascii="Arial" w:hAnsi="Arial" w:cs="Arial"/>
          <w:sz w:val="20"/>
          <w:szCs w:val="20"/>
        </w:rPr>
        <w:softHyphen/>
        <w:t>) and KO (n = 8). (</w:t>
      </w:r>
      <w:r w:rsidRPr="007362FB">
        <w:rPr>
          <w:rFonts w:ascii="Arial" w:hAnsi="Arial" w:cs="Arial"/>
          <w:b/>
          <w:bCs/>
          <w:sz w:val="20"/>
          <w:szCs w:val="20"/>
        </w:rPr>
        <w:t>D</w:t>
      </w:r>
      <w:r w:rsidRPr="007362FB">
        <w:rPr>
          <w:rFonts w:ascii="Arial" w:hAnsi="Arial" w:cs="Arial"/>
          <w:sz w:val="20"/>
          <w:szCs w:val="20"/>
        </w:rPr>
        <w:t>) Quantification of hepatic macrophage subsets per gram of liver 5 weeks post-VSG; WT (n = 5) and KO (n = 5). (</w:t>
      </w:r>
      <w:r w:rsidRPr="007362FB">
        <w:rPr>
          <w:rFonts w:ascii="Arial" w:hAnsi="Arial" w:cs="Arial"/>
          <w:b/>
          <w:bCs/>
          <w:sz w:val="20"/>
          <w:szCs w:val="20"/>
        </w:rPr>
        <w:t>E</w:t>
      </w:r>
      <w:r w:rsidRPr="007362FB">
        <w:rPr>
          <w:rFonts w:ascii="Arial" w:hAnsi="Arial" w:cs="Arial"/>
          <w:sz w:val="20"/>
          <w:szCs w:val="20"/>
        </w:rPr>
        <w:t>) Heat map of the top 500 most variable genes between WT Sham and WT VSG macrophages (left) and KO Sham and KO VSG macrophages (right). (</w:t>
      </w:r>
      <w:r w:rsidRPr="007362FB">
        <w:rPr>
          <w:rFonts w:ascii="Arial" w:hAnsi="Arial" w:cs="Arial"/>
          <w:b/>
          <w:bCs/>
          <w:sz w:val="20"/>
          <w:szCs w:val="20"/>
        </w:rPr>
        <w:t>F</w:t>
      </w:r>
      <w:r w:rsidRPr="007362FB">
        <w:rPr>
          <w:rFonts w:ascii="Arial" w:hAnsi="Arial" w:cs="Arial"/>
          <w:sz w:val="20"/>
          <w:szCs w:val="20"/>
        </w:rPr>
        <w:t xml:space="preserve">) Representative flow plots of AML12 cells that were either unstimulated or stimulated with PA. </w:t>
      </w:r>
      <w:r w:rsidR="00893D1F" w:rsidRPr="007362FB">
        <w:rPr>
          <w:rFonts w:ascii="Arial" w:hAnsi="Arial" w:cs="Arial"/>
          <w:sz w:val="20"/>
          <w:szCs w:val="20"/>
        </w:rPr>
        <w:t>Data were analyzed by Mann Whitney tests. Data are biological experimental units presented as mean ± SEM.</w:t>
      </w:r>
    </w:p>
    <w:bookmarkEnd w:id="2"/>
    <w:p w14:paraId="2B8EBB65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1DB7E53D" w14:textId="2A11E902" w:rsidR="00E60933" w:rsidRPr="007362FB" w:rsidRDefault="00E60933" w:rsidP="00E60933">
      <w:pPr>
        <w:rPr>
          <w:sz w:val="20"/>
          <w:szCs w:val="20"/>
        </w:rPr>
      </w:pPr>
      <w:r w:rsidRPr="007362FB">
        <w:rPr>
          <w:sz w:val="20"/>
          <w:szCs w:val="20"/>
        </w:rPr>
        <w:br w:type="page"/>
      </w:r>
    </w:p>
    <w:p w14:paraId="277D23D7" w14:textId="77777777" w:rsidR="00E60933" w:rsidRPr="007362FB" w:rsidRDefault="00E60933" w:rsidP="00E60933">
      <w:pPr>
        <w:rPr>
          <w:sz w:val="20"/>
          <w:szCs w:val="20"/>
        </w:rPr>
      </w:pPr>
      <w:r w:rsidRPr="007362FB">
        <w:rPr>
          <w:noProof/>
          <w:sz w:val="20"/>
          <w:szCs w:val="20"/>
        </w:rPr>
        <w:lastRenderedPageBreak/>
        <w:drawing>
          <wp:inline distT="0" distB="0" distL="0" distR="0" wp14:anchorId="2206F534" wp14:editId="61D5C44A">
            <wp:extent cx="6782462" cy="3347754"/>
            <wp:effectExtent l="0" t="0" r="0" b="0"/>
            <wp:docPr id="1604631428" name="Picture 5" descr="A black background with whit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631428" name="Picture 5" descr="A black background with white do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834"/>
                    <a:stretch/>
                  </pic:blipFill>
                  <pic:spPr bwMode="auto">
                    <a:xfrm>
                      <a:off x="0" y="0"/>
                      <a:ext cx="6816813" cy="336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D4C43A" w14:textId="77777777" w:rsidR="00E60933" w:rsidRPr="007362FB" w:rsidRDefault="00E60933" w:rsidP="00E60933">
      <w:pPr>
        <w:rPr>
          <w:sz w:val="20"/>
          <w:szCs w:val="20"/>
        </w:rPr>
      </w:pPr>
      <w:bookmarkStart w:id="3" w:name="_Hlk148010807"/>
      <w:bookmarkStart w:id="4" w:name="_Hlk148026366"/>
      <w:bookmarkStart w:id="5" w:name="_Hlk146905010"/>
      <w:r w:rsidRPr="007362FB">
        <w:rPr>
          <w:rFonts w:ascii="Arial" w:hAnsi="Arial" w:cs="Arial"/>
          <w:b/>
          <w:bCs/>
          <w:sz w:val="20"/>
          <w:szCs w:val="20"/>
        </w:rPr>
        <w:t>Extended Data Figure 5 (related to Figure 5)</w:t>
      </w:r>
      <w:bookmarkEnd w:id="3"/>
      <w:r w:rsidRPr="007362FB">
        <w:rPr>
          <w:rFonts w:ascii="Arial" w:hAnsi="Arial" w:cs="Arial"/>
          <w:b/>
          <w:bCs/>
          <w:sz w:val="20"/>
          <w:szCs w:val="20"/>
        </w:rPr>
        <w:t xml:space="preserve">. </w:t>
      </w:r>
      <w:r w:rsidRPr="007362FB">
        <w:rPr>
          <w:rFonts w:ascii="Arial" w:hAnsi="Arial" w:cs="Arial"/>
          <w:sz w:val="20"/>
          <w:szCs w:val="20"/>
        </w:rPr>
        <w:t>Table of top metabolites in hepatic macrophages 5 weeks post-VSG.</w:t>
      </w:r>
    </w:p>
    <w:bookmarkEnd w:id="4"/>
    <w:p w14:paraId="4E7AEDC5" w14:textId="1D931415" w:rsidR="00E60933" w:rsidRPr="007362FB" w:rsidRDefault="00E60933" w:rsidP="007362FB">
      <w:pPr>
        <w:rPr>
          <w:rFonts w:ascii="Arial" w:hAnsi="Arial" w:cs="Arial"/>
          <w:sz w:val="20"/>
          <w:szCs w:val="20"/>
        </w:rPr>
      </w:pPr>
      <w:r w:rsidRPr="007362FB">
        <w:rPr>
          <w:rFonts w:ascii="Arial" w:hAnsi="Arial" w:cs="Arial"/>
          <w:sz w:val="20"/>
          <w:szCs w:val="20"/>
        </w:rPr>
        <w:br w:type="page"/>
      </w:r>
    </w:p>
    <w:p w14:paraId="5D007B8D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  <w:r w:rsidRPr="007362FB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24D105B5" wp14:editId="1E872CC0">
            <wp:extent cx="6750657" cy="8730417"/>
            <wp:effectExtent l="0" t="0" r="0" b="0"/>
            <wp:docPr id="133918943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189436" name="Picture 6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936" cy="873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0BA05" w14:textId="77777777" w:rsidR="00E60933" w:rsidRPr="007362FB" w:rsidRDefault="00E60933" w:rsidP="00E60933">
      <w:pPr>
        <w:rPr>
          <w:rFonts w:ascii="Arial" w:hAnsi="Arial" w:cs="Arial"/>
          <w:sz w:val="20"/>
          <w:szCs w:val="20"/>
        </w:rPr>
      </w:pPr>
      <w:r w:rsidRPr="007362FB">
        <w:rPr>
          <w:rFonts w:ascii="Arial" w:hAnsi="Arial" w:cs="Arial"/>
          <w:sz w:val="20"/>
          <w:szCs w:val="20"/>
        </w:rPr>
        <w:br w:type="page"/>
      </w:r>
    </w:p>
    <w:p w14:paraId="293D3DF1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  <w:bookmarkStart w:id="6" w:name="_Hlk148010896"/>
      <w:bookmarkStart w:id="7" w:name="_Hlk146905039"/>
      <w:bookmarkStart w:id="8" w:name="_Hlk148026433"/>
      <w:r w:rsidRPr="007362FB">
        <w:rPr>
          <w:rFonts w:ascii="Arial" w:hAnsi="Arial" w:cs="Arial"/>
          <w:b/>
          <w:bCs/>
          <w:sz w:val="20"/>
          <w:szCs w:val="20"/>
        </w:rPr>
        <w:lastRenderedPageBreak/>
        <w:t>Extended Data Figure 6 (related to Figure 6)</w:t>
      </w:r>
      <w:bookmarkEnd w:id="6"/>
      <w:r w:rsidRPr="007362FB">
        <w:rPr>
          <w:rFonts w:ascii="Arial" w:hAnsi="Arial" w:cs="Arial"/>
          <w:b/>
          <w:bCs/>
          <w:sz w:val="20"/>
          <w:szCs w:val="20"/>
        </w:rPr>
        <w:t xml:space="preserve">. </w:t>
      </w:r>
      <w:r w:rsidRPr="007362FB">
        <w:rPr>
          <w:rFonts w:ascii="Arial" w:hAnsi="Arial" w:cs="Arial"/>
          <w:sz w:val="20"/>
          <w:szCs w:val="20"/>
        </w:rPr>
        <w:t>(</w:t>
      </w:r>
      <w:r w:rsidRPr="007362FB">
        <w:rPr>
          <w:rFonts w:ascii="Arial" w:hAnsi="Arial" w:cs="Arial"/>
          <w:b/>
          <w:bCs/>
          <w:sz w:val="20"/>
          <w:szCs w:val="20"/>
        </w:rPr>
        <w:t>B-F</w:t>
      </w:r>
      <w:r w:rsidRPr="007362FB">
        <w:rPr>
          <w:rFonts w:ascii="Arial" w:hAnsi="Arial" w:cs="Arial"/>
          <w:sz w:val="20"/>
          <w:szCs w:val="20"/>
        </w:rPr>
        <w:t>) Spatial sequencing of human liver samples pre-VSG and post-VSG. (</w:t>
      </w:r>
      <w:r w:rsidRPr="007362FB">
        <w:rPr>
          <w:rFonts w:ascii="Arial" w:hAnsi="Arial" w:cs="Arial"/>
          <w:b/>
          <w:bCs/>
          <w:sz w:val="20"/>
          <w:szCs w:val="20"/>
        </w:rPr>
        <w:t>A</w:t>
      </w:r>
      <w:r w:rsidRPr="007362FB">
        <w:rPr>
          <w:rFonts w:ascii="Arial" w:hAnsi="Arial" w:cs="Arial"/>
          <w:sz w:val="20"/>
          <w:szCs w:val="20"/>
        </w:rPr>
        <w:t>) Pathway coverage for mouse VSG GeoMx analysis. (</w:t>
      </w:r>
      <w:r w:rsidRPr="007362FB">
        <w:rPr>
          <w:rFonts w:ascii="Arial" w:hAnsi="Arial" w:cs="Arial"/>
          <w:b/>
          <w:bCs/>
          <w:sz w:val="20"/>
          <w:szCs w:val="20"/>
        </w:rPr>
        <w:t>B</w:t>
      </w:r>
      <w:r w:rsidRPr="007362FB">
        <w:rPr>
          <w:rFonts w:ascii="Arial" w:hAnsi="Arial" w:cs="Arial"/>
          <w:sz w:val="20"/>
          <w:szCs w:val="20"/>
        </w:rPr>
        <w:t>) Representative human liver sections used for GeoMx. (</w:t>
      </w:r>
      <w:r w:rsidRPr="007362FB">
        <w:rPr>
          <w:rFonts w:ascii="Arial" w:hAnsi="Arial" w:cs="Arial"/>
          <w:b/>
          <w:bCs/>
          <w:sz w:val="20"/>
          <w:szCs w:val="20"/>
        </w:rPr>
        <w:t>C</w:t>
      </w:r>
      <w:r w:rsidRPr="007362FB">
        <w:rPr>
          <w:rFonts w:ascii="Arial" w:hAnsi="Arial" w:cs="Arial"/>
          <w:sz w:val="20"/>
          <w:szCs w:val="20"/>
        </w:rPr>
        <w:t>) Representative human liver section used for GeoMx with liver zones indicated. (</w:t>
      </w:r>
      <w:r w:rsidRPr="007362FB">
        <w:rPr>
          <w:rFonts w:ascii="Arial" w:hAnsi="Arial" w:cs="Arial"/>
          <w:b/>
          <w:bCs/>
          <w:sz w:val="20"/>
          <w:szCs w:val="20"/>
        </w:rPr>
        <w:t>D</w:t>
      </w:r>
      <w:r w:rsidRPr="007362FB">
        <w:rPr>
          <w:rFonts w:ascii="Arial" w:hAnsi="Arial" w:cs="Arial"/>
          <w:sz w:val="20"/>
          <w:szCs w:val="20"/>
        </w:rPr>
        <w:t>) Unsupervised PCA of all human liver ROIs (n = 1). (</w:t>
      </w:r>
      <w:r w:rsidRPr="007362FB">
        <w:rPr>
          <w:rFonts w:ascii="Arial" w:hAnsi="Arial" w:cs="Arial"/>
          <w:b/>
          <w:bCs/>
          <w:sz w:val="20"/>
          <w:szCs w:val="20"/>
        </w:rPr>
        <w:t>E</w:t>
      </w:r>
      <w:r w:rsidRPr="007362FB">
        <w:rPr>
          <w:rFonts w:ascii="Arial" w:hAnsi="Arial" w:cs="Arial"/>
          <w:sz w:val="20"/>
          <w:szCs w:val="20"/>
        </w:rPr>
        <w:t>) Pathway analysis for Zone 1 PreVSG vs. Zone 1 PostVSG (top) and Zone 2 PreVSG vs. Zone 2 PostVSG (bottom). (</w:t>
      </w:r>
      <w:r w:rsidRPr="007362FB">
        <w:rPr>
          <w:rFonts w:ascii="Arial" w:hAnsi="Arial" w:cs="Arial"/>
          <w:b/>
          <w:bCs/>
          <w:sz w:val="20"/>
          <w:szCs w:val="20"/>
        </w:rPr>
        <w:t>F</w:t>
      </w:r>
      <w:r w:rsidRPr="007362FB">
        <w:rPr>
          <w:rFonts w:ascii="Arial" w:hAnsi="Arial" w:cs="Arial"/>
          <w:sz w:val="20"/>
          <w:szCs w:val="20"/>
        </w:rPr>
        <w:t>) Heatmap of LAM genes</w:t>
      </w:r>
      <w:bookmarkEnd w:id="7"/>
      <w:r w:rsidRPr="007362FB">
        <w:rPr>
          <w:rFonts w:ascii="Arial" w:hAnsi="Arial" w:cs="Arial"/>
          <w:sz w:val="20"/>
          <w:szCs w:val="20"/>
        </w:rPr>
        <w:t>.</w:t>
      </w:r>
    </w:p>
    <w:bookmarkEnd w:id="8"/>
    <w:p w14:paraId="2D7DFE39" w14:textId="77777777" w:rsidR="00E60933" w:rsidRPr="007362FB" w:rsidRDefault="00E60933" w:rsidP="00E60933">
      <w:pPr>
        <w:adjustRightInd w:val="0"/>
        <w:snapToGrid w:val="0"/>
        <w:contextualSpacing/>
        <w:jc w:val="both"/>
        <w:rPr>
          <w:rFonts w:ascii="Arial" w:hAnsi="Arial" w:cs="Arial"/>
          <w:sz w:val="20"/>
          <w:szCs w:val="20"/>
        </w:rPr>
      </w:pPr>
    </w:p>
    <w:bookmarkEnd w:id="5"/>
    <w:p w14:paraId="558EA8F9" w14:textId="77777777" w:rsidR="00E60933" w:rsidRPr="007362FB" w:rsidRDefault="00E60933" w:rsidP="00E60933">
      <w:pPr>
        <w:rPr>
          <w:sz w:val="20"/>
          <w:szCs w:val="20"/>
        </w:rPr>
      </w:pPr>
    </w:p>
    <w:p w14:paraId="61F88DF4" w14:textId="77777777" w:rsidR="00E60933" w:rsidRPr="007362FB" w:rsidRDefault="00E60933" w:rsidP="00F5756A">
      <w:pPr>
        <w:adjustRightInd w:val="0"/>
        <w:snapToGrid w:val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sectPr w:rsidR="00E60933" w:rsidRPr="007362FB" w:rsidSect="00F575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56A"/>
    <w:rsid w:val="00024760"/>
    <w:rsid w:val="000543E7"/>
    <w:rsid w:val="0005787F"/>
    <w:rsid w:val="00066A20"/>
    <w:rsid w:val="00071E40"/>
    <w:rsid w:val="0007379F"/>
    <w:rsid w:val="000950EE"/>
    <w:rsid w:val="000A09C0"/>
    <w:rsid w:val="000B712F"/>
    <w:rsid w:val="000B7383"/>
    <w:rsid w:val="000C5CB7"/>
    <w:rsid w:val="000D03D1"/>
    <w:rsid w:val="000D1A20"/>
    <w:rsid w:val="000F26DD"/>
    <w:rsid w:val="000F7F82"/>
    <w:rsid w:val="00103065"/>
    <w:rsid w:val="001059D7"/>
    <w:rsid w:val="00111485"/>
    <w:rsid w:val="00125541"/>
    <w:rsid w:val="00126757"/>
    <w:rsid w:val="00126DB9"/>
    <w:rsid w:val="00153BFE"/>
    <w:rsid w:val="00156D99"/>
    <w:rsid w:val="00162DC7"/>
    <w:rsid w:val="001630C7"/>
    <w:rsid w:val="001632D0"/>
    <w:rsid w:val="00176AFC"/>
    <w:rsid w:val="001915C6"/>
    <w:rsid w:val="00194911"/>
    <w:rsid w:val="001A0FD2"/>
    <w:rsid w:val="001A215B"/>
    <w:rsid w:val="001B3CB9"/>
    <w:rsid w:val="001B599C"/>
    <w:rsid w:val="001E277B"/>
    <w:rsid w:val="001E7453"/>
    <w:rsid w:val="001F5E1E"/>
    <w:rsid w:val="002269C7"/>
    <w:rsid w:val="002375F6"/>
    <w:rsid w:val="002646E5"/>
    <w:rsid w:val="0027288C"/>
    <w:rsid w:val="0027595F"/>
    <w:rsid w:val="0027671B"/>
    <w:rsid w:val="00277C59"/>
    <w:rsid w:val="00282E29"/>
    <w:rsid w:val="00283822"/>
    <w:rsid w:val="00293DDB"/>
    <w:rsid w:val="00296188"/>
    <w:rsid w:val="002B0391"/>
    <w:rsid w:val="002B7D8F"/>
    <w:rsid w:val="002C30DE"/>
    <w:rsid w:val="002C7DE2"/>
    <w:rsid w:val="002E43CD"/>
    <w:rsid w:val="0030294D"/>
    <w:rsid w:val="00313D15"/>
    <w:rsid w:val="003315D0"/>
    <w:rsid w:val="00341656"/>
    <w:rsid w:val="0035074B"/>
    <w:rsid w:val="00374493"/>
    <w:rsid w:val="00392F80"/>
    <w:rsid w:val="003A4C6A"/>
    <w:rsid w:val="003B27E2"/>
    <w:rsid w:val="003E7FA8"/>
    <w:rsid w:val="00400A5D"/>
    <w:rsid w:val="00401338"/>
    <w:rsid w:val="00402DF7"/>
    <w:rsid w:val="00412800"/>
    <w:rsid w:val="00427C17"/>
    <w:rsid w:val="00433189"/>
    <w:rsid w:val="0044702F"/>
    <w:rsid w:val="00450721"/>
    <w:rsid w:val="004530BD"/>
    <w:rsid w:val="00453BE0"/>
    <w:rsid w:val="004570CC"/>
    <w:rsid w:val="0048055A"/>
    <w:rsid w:val="004838EE"/>
    <w:rsid w:val="004A235D"/>
    <w:rsid w:val="004A50D9"/>
    <w:rsid w:val="004C7A7A"/>
    <w:rsid w:val="004D395E"/>
    <w:rsid w:val="004D5C6F"/>
    <w:rsid w:val="004E47B5"/>
    <w:rsid w:val="004F657B"/>
    <w:rsid w:val="00530418"/>
    <w:rsid w:val="00535A82"/>
    <w:rsid w:val="00537F87"/>
    <w:rsid w:val="00544E98"/>
    <w:rsid w:val="005708E9"/>
    <w:rsid w:val="00572868"/>
    <w:rsid w:val="00574A97"/>
    <w:rsid w:val="00575DE4"/>
    <w:rsid w:val="005852F5"/>
    <w:rsid w:val="0058655B"/>
    <w:rsid w:val="005A0855"/>
    <w:rsid w:val="005B491E"/>
    <w:rsid w:val="005B716F"/>
    <w:rsid w:val="005C5FA4"/>
    <w:rsid w:val="005D4076"/>
    <w:rsid w:val="005E25D6"/>
    <w:rsid w:val="005E58C4"/>
    <w:rsid w:val="00610FBA"/>
    <w:rsid w:val="006133F3"/>
    <w:rsid w:val="00631E53"/>
    <w:rsid w:val="00634390"/>
    <w:rsid w:val="00672979"/>
    <w:rsid w:val="00692AC9"/>
    <w:rsid w:val="00693B54"/>
    <w:rsid w:val="006948F1"/>
    <w:rsid w:val="006A53DC"/>
    <w:rsid w:val="006D5F96"/>
    <w:rsid w:val="006D646F"/>
    <w:rsid w:val="006D7FAF"/>
    <w:rsid w:val="006E5301"/>
    <w:rsid w:val="006F1F64"/>
    <w:rsid w:val="006F5173"/>
    <w:rsid w:val="00710E8F"/>
    <w:rsid w:val="00715072"/>
    <w:rsid w:val="00720BC4"/>
    <w:rsid w:val="007362FB"/>
    <w:rsid w:val="00765A78"/>
    <w:rsid w:val="00767BFA"/>
    <w:rsid w:val="0077434A"/>
    <w:rsid w:val="00792A8A"/>
    <w:rsid w:val="007B75E4"/>
    <w:rsid w:val="007C7893"/>
    <w:rsid w:val="007D1C17"/>
    <w:rsid w:val="007D5A78"/>
    <w:rsid w:val="007E2B09"/>
    <w:rsid w:val="008175FA"/>
    <w:rsid w:val="00830C30"/>
    <w:rsid w:val="00833471"/>
    <w:rsid w:val="00837E53"/>
    <w:rsid w:val="0085050A"/>
    <w:rsid w:val="00865DE0"/>
    <w:rsid w:val="00866BA9"/>
    <w:rsid w:val="00876CC9"/>
    <w:rsid w:val="0088151F"/>
    <w:rsid w:val="00885CD8"/>
    <w:rsid w:val="00886010"/>
    <w:rsid w:val="00893D1F"/>
    <w:rsid w:val="0089439A"/>
    <w:rsid w:val="008A5DAE"/>
    <w:rsid w:val="008B178A"/>
    <w:rsid w:val="008C24B8"/>
    <w:rsid w:val="008C45CC"/>
    <w:rsid w:val="008E388E"/>
    <w:rsid w:val="008F4968"/>
    <w:rsid w:val="008F52A9"/>
    <w:rsid w:val="00905115"/>
    <w:rsid w:val="00905E95"/>
    <w:rsid w:val="00922358"/>
    <w:rsid w:val="00923BCA"/>
    <w:rsid w:val="00925F24"/>
    <w:rsid w:val="0093180D"/>
    <w:rsid w:val="0093733C"/>
    <w:rsid w:val="009411B0"/>
    <w:rsid w:val="00952451"/>
    <w:rsid w:val="00973523"/>
    <w:rsid w:val="00985BEE"/>
    <w:rsid w:val="00992C57"/>
    <w:rsid w:val="00995D5A"/>
    <w:rsid w:val="009A2602"/>
    <w:rsid w:val="009C4A3B"/>
    <w:rsid w:val="009F4485"/>
    <w:rsid w:val="009F5752"/>
    <w:rsid w:val="00A22838"/>
    <w:rsid w:val="00A27148"/>
    <w:rsid w:val="00A37574"/>
    <w:rsid w:val="00A46A27"/>
    <w:rsid w:val="00A57031"/>
    <w:rsid w:val="00A8025F"/>
    <w:rsid w:val="00A96ED0"/>
    <w:rsid w:val="00AA227A"/>
    <w:rsid w:val="00AC45E8"/>
    <w:rsid w:val="00AD6312"/>
    <w:rsid w:val="00AE2CA8"/>
    <w:rsid w:val="00AE3D3D"/>
    <w:rsid w:val="00AE71A4"/>
    <w:rsid w:val="00AF7242"/>
    <w:rsid w:val="00B010C7"/>
    <w:rsid w:val="00B01DEB"/>
    <w:rsid w:val="00B045AC"/>
    <w:rsid w:val="00B26F1C"/>
    <w:rsid w:val="00B26F6A"/>
    <w:rsid w:val="00B302D5"/>
    <w:rsid w:val="00B31696"/>
    <w:rsid w:val="00B40096"/>
    <w:rsid w:val="00B55EA7"/>
    <w:rsid w:val="00B649D8"/>
    <w:rsid w:val="00B76610"/>
    <w:rsid w:val="00B81127"/>
    <w:rsid w:val="00B864E6"/>
    <w:rsid w:val="00BA4888"/>
    <w:rsid w:val="00BA50D9"/>
    <w:rsid w:val="00BC0652"/>
    <w:rsid w:val="00BC544C"/>
    <w:rsid w:val="00BE2EC9"/>
    <w:rsid w:val="00BE5908"/>
    <w:rsid w:val="00C07D17"/>
    <w:rsid w:val="00C356F8"/>
    <w:rsid w:val="00C50817"/>
    <w:rsid w:val="00C51E75"/>
    <w:rsid w:val="00C67920"/>
    <w:rsid w:val="00C70259"/>
    <w:rsid w:val="00C8040A"/>
    <w:rsid w:val="00C846BD"/>
    <w:rsid w:val="00C91BBC"/>
    <w:rsid w:val="00C9386F"/>
    <w:rsid w:val="00CA30E8"/>
    <w:rsid w:val="00CA6D6A"/>
    <w:rsid w:val="00CB72A0"/>
    <w:rsid w:val="00CC46C0"/>
    <w:rsid w:val="00CE0192"/>
    <w:rsid w:val="00CE26DA"/>
    <w:rsid w:val="00CF7350"/>
    <w:rsid w:val="00D308CA"/>
    <w:rsid w:val="00D60DA2"/>
    <w:rsid w:val="00D72D7A"/>
    <w:rsid w:val="00D827E1"/>
    <w:rsid w:val="00D92C5F"/>
    <w:rsid w:val="00DA390C"/>
    <w:rsid w:val="00DD4046"/>
    <w:rsid w:val="00DD4B71"/>
    <w:rsid w:val="00DE4873"/>
    <w:rsid w:val="00E0340E"/>
    <w:rsid w:val="00E1084F"/>
    <w:rsid w:val="00E32CE2"/>
    <w:rsid w:val="00E35510"/>
    <w:rsid w:val="00E42DC6"/>
    <w:rsid w:val="00E47F85"/>
    <w:rsid w:val="00E60933"/>
    <w:rsid w:val="00E86838"/>
    <w:rsid w:val="00E87D73"/>
    <w:rsid w:val="00EA098B"/>
    <w:rsid w:val="00EA3F1B"/>
    <w:rsid w:val="00EB5366"/>
    <w:rsid w:val="00EB5BF8"/>
    <w:rsid w:val="00EB6B6B"/>
    <w:rsid w:val="00EC26AB"/>
    <w:rsid w:val="00EC6AAB"/>
    <w:rsid w:val="00ED0294"/>
    <w:rsid w:val="00EF6F52"/>
    <w:rsid w:val="00F06379"/>
    <w:rsid w:val="00F20F34"/>
    <w:rsid w:val="00F2523A"/>
    <w:rsid w:val="00F26C7A"/>
    <w:rsid w:val="00F41E8D"/>
    <w:rsid w:val="00F47381"/>
    <w:rsid w:val="00F5756A"/>
    <w:rsid w:val="00F578CC"/>
    <w:rsid w:val="00F57E9C"/>
    <w:rsid w:val="00F61366"/>
    <w:rsid w:val="00F649D5"/>
    <w:rsid w:val="00F717C3"/>
    <w:rsid w:val="00F71EB0"/>
    <w:rsid w:val="00F76DE7"/>
    <w:rsid w:val="00F8137B"/>
    <w:rsid w:val="00FA7C45"/>
    <w:rsid w:val="00FB431C"/>
    <w:rsid w:val="00FD6974"/>
    <w:rsid w:val="00FE15DC"/>
    <w:rsid w:val="00FF0ABC"/>
    <w:rsid w:val="00FF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E4DC2"/>
  <w15:chartTrackingRefBased/>
  <w15:docId w15:val="{64D901C5-C593-774C-B852-94B22E6AB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7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Revelo</dc:creator>
  <cp:keywords/>
  <dc:description/>
  <cp:lastModifiedBy>Sachin Maharnur</cp:lastModifiedBy>
  <cp:revision>3</cp:revision>
  <cp:lastPrinted>2023-11-02T04:25:00Z</cp:lastPrinted>
  <dcterms:created xsi:type="dcterms:W3CDTF">2023-10-14T20:31:00Z</dcterms:created>
  <dcterms:modified xsi:type="dcterms:W3CDTF">2023-11-02T04:30:00Z</dcterms:modified>
</cp:coreProperties>
</file>