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2C6CB5" w14:textId="77777777" w:rsidR="00FB78BC" w:rsidRDefault="00FB78BC" w:rsidP="00FB78BC">
      <w:pPr>
        <w:spacing w:after="120" w:line="360" w:lineRule="auto"/>
        <w:ind w:firstLine="432"/>
        <w:rPr>
          <w:b/>
          <w:bCs/>
        </w:rPr>
      </w:pPr>
      <w:r>
        <w:rPr>
          <w:b/>
          <w:bCs/>
        </w:rPr>
        <w:t>Title: Self-reactive g</w:t>
      </w:r>
      <w:r w:rsidRPr="00F77800">
        <w:rPr>
          <w:b/>
          <w:bCs/>
        </w:rPr>
        <w:t xml:space="preserve">ermline-like TCR alpha </w:t>
      </w:r>
      <w:r>
        <w:rPr>
          <w:b/>
          <w:bCs/>
        </w:rPr>
        <w:t>chains shared between blood and pancreas</w:t>
      </w:r>
    </w:p>
    <w:p w14:paraId="15FC4A83" w14:textId="3FE63EA8" w:rsidR="00FF7767" w:rsidRDefault="00FF7767" w:rsidP="00FF7767">
      <w:pPr>
        <w:spacing w:after="120" w:line="360" w:lineRule="auto"/>
        <w:rPr>
          <w:b/>
          <w:bCs/>
        </w:rPr>
      </w:pPr>
      <w:r>
        <w:rPr>
          <w:b/>
          <w:bCs/>
        </w:rPr>
        <w:br w:type="column"/>
      </w:r>
    </w:p>
    <w:p w14:paraId="77617025" w14:textId="5DBC25A0" w:rsidR="00FF7767" w:rsidRDefault="00FF7767" w:rsidP="00FF7767">
      <w:pPr>
        <w:spacing w:after="120" w:line="360" w:lineRule="auto"/>
        <w:rPr>
          <w:b/>
          <w:bCs/>
        </w:rPr>
      </w:pPr>
      <w:r>
        <w:rPr>
          <w:b/>
          <w:bCs/>
        </w:rPr>
        <w:t>Supplemental Tables</w:t>
      </w:r>
    </w:p>
    <w:p w14:paraId="7018235D" w14:textId="7BE83854" w:rsidR="00FF7767" w:rsidRDefault="00FF7767" w:rsidP="00EB6D98">
      <w:pPr>
        <w:spacing w:line="480" w:lineRule="auto"/>
        <w:rPr>
          <w:b/>
          <w:bCs/>
        </w:rPr>
      </w:pPr>
      <w:r>
        <w:rPr>
          <w:b/>
          <w:bCs/>
        </w:rPr>
        <w:t xml:space="preserve">Table S1. </w:t>
      </w:r>
      <w:r w:rsidR="005C283E" w:rsidRPr="005C283E">
        <w:rPr>
          <w:b/>
          <w:bCs/>
        </w:rPr>
        <w:t>Characteristics</w:t>
      </w:r>
      <w:r w:rsidR="005C283E">
        <w:rPr>
          <w:b/>
          <w:bCs/>
        </w:rPr>
        <w:t xml:space="preserve"> </w:t>
      </w:r>
      <w:r w:rsidR="005C283E" w:rsidRPr="005C283E">
        <w:rPr>
          <w:b/>
          <w:bCs/>
        </w:rPr>
        <w:t>of</w:t>
      </w:r>
      <w:r w:rsidR="005C283E">
        <w:rPr>
          <w:b/>
          <w:bCs/>
        </w:rPr>
        <w:t xml:space="preserve"> </w:t>
      </w:r>
      <w:r w:rsidR="005C283E" w:rsidRPr="005C283E">
        <w:rPr>
          <w:b/>
          <w:bCs/>
        </w:rPr>
        <w:t>stud</w:t>
      </w:r>
      <w:r w:rsidR="005C283E">
        <w:rPr>
          <w:b/>
          <w:bCs/>
        </w:rPr>
        <w:t xml:space="preserve">y </w:t>
      </w:r>
      <w:r w:rsidR="005C283E" w:rsidRPr="005C283E">
        <w:rPr>
          <w:b/>
          <w:bCs/>
        </w:rPr>
        <w:t>participants</w:t>
      </w:r>
      <w:r w:rsidR="005C283E">
        <w:rPr>
          <w:b/>
          <w:bCs/>
        </w:rPr>
        <w:t xml:space="preserve">. </w:t>
      </w:r>
    </w:p>
    <w:p w14:paraId="1CF578F4" w14:textId="0B6B92FD" w:rsidR="005C283E" w:rsidRDefault="00FF7767" w:rsidP="00EB6D98">
      <w:pPr>
        <w:spacing w:line="480" w:lineRule="auto"/>
        <w:rPr>
          <w:b/>
          <w:bCs/>
        </w:rPr>
      </w:pPr>
      <w:r>
        <w:rPr>
          <w:b/>
          <w:bCs/>
        </w:rPr>
        <w:t xml:space="preserve">Table S2. </w:t>
      </w:r>
      <w:r w:rsidR="005C283E" w:rsidRPr="005C283E">
        <w:rPr>
          <w:b/>
          <w:bCs/>
        </w:rPr>
        <w:t>Compiled</w:t>
      </w:r>
      <w:r w:rsidR="005C283E">
        <w:rPr>
          <w:b/>
          <w:bCs/>
        </w:rPr>
        <w:t xml:space="preserve"> </w:t>
      </w:r>
      <w:r w:rsidR="005C283E" w:rsidRPr="005C283E">
        <w:rPr>
          <w:b/>
          <w:bCs/>
        </w:rPr>
        <w:t>and</w:t>
      </w:r>
      <w:r w:rsidR="005C283E">
        <w:rPr>
          <w:b/>
          <w:bCs/>
        </w:rPr>
        <w:t xml:space="preserve"> </w:t>
      </w:r>
      <w:r w:rsidR="005C283E" w:rsidRPr="005C283E">
        <w:rPr>
          <w:b/>
          <w:bCs/>
        </w:rPr>
        <w:t>filtered</w:t>
      </w:r>
      <w:r w:rsidR="005C283E">
        <w:rPr>
          <w:b/>
          <w:bCs/>
        </w:rPr>
        <w:t xml:space="preserve"> </w:t>
      </w:r>
      <w:r w:rsidR="005C283E" w:rsidRPr="005C283E">
        <w:rPr>
          <w:b/>
          <w:bCs/>
        </w:rPr>
        <w:t>TCR</w:t>
      </w:r>
      <w:r w:rsidR="005C283E">
        <w:rPr>
          <w:b/>
          <w:bCs/>
        </w:rPr>
        <w:t xml:space="preserve"> </w:t>
      </w:r>
      <w:r w:rsidR="005C283E" w:rsidRPr="005C283E">
        <w:rPr>
          <w:b/>
          <w:bCs/>
        </w:rPr>
        <w:t>sequences</w:t>
      </w:r>
      <w:r w:rsidR="005C283E">
        <w:rPr>
          <w:b/>
          <w:bCs/>
        </w:rPr>
        <w:t xml:space="preserve"> </w:t>
      </w:r>
      <w:r w:rsidR="005C283E" w:rsidRPr="005C283E">
        <w:rPr>
          <w:b/>
          <w:bCs/>
        </w:rPr>
        <w:t>used</w:t>
      </w:r>
      <w:r w:rsidR="005C283E">
        <w:rPr>
          <w:b/>
          <w:bCs/>
        </w:rPr>
        <w:t xml:space="preserve"> </w:t>
      </w:r>
      <w:r w:rsidR="005C283E" w:rsidRPr="005C283E">
        <w:rPr>
          <w:b/>
          <w:bCs/>
        </w:rPr>
        <w:t>in</w:t>
      </w:r>
      <w:r w:rsidR="005C283E">
        <w:rPr>
          <w:b/>
          <w:bCs/>
        </w:rPr>
        <w:t xml:space="preserve"> </w:t>
      </w:r>
      <w:r w:rsidR="005C283E" w:rsidRPr="005C283E">
        <w:rPr>
          <w:b/>
          <w:bCs/>
        </w:rPr>
        <w:t>this</w:t>
      </w:r>
      <w:r w:rsidR="005C283E">
        <w:rPr>
          <w:b/>
          <w:bCs/>
        </w:rPr>
        <w:t xml:space="preserve"> </w:t>
      </w:r>
      <w:r w:rsidR="005C283E" w:rsidRPr="005C283E">
        <w:rPr>
          <w:b/>
          <w:bCs/>
        </w:rPr>
        <w:t>study</w:t>
      </w:r>
      <w:r w:rsidR="005C283E">
        <w:rPr>
          <w:b/>
          <w:bCs/>
        </w:rPr>
        <w:t>.</w:t>
      </w:r>
    </w:p>
    <w:p w14:paraId="1A3F3276" w14:textId="77777777" w:rsidR="005C283E" w:rsidRDefault="005C283E" w:rsidP="005C283E">
      <w:pPr>
        <w:spacing w:line="480" w:lineRule="auto"/>
      </w:pPr>
      <w:r>
        <w:rPr>
          <w:b/>
          <w:bCs/>
        </w:rPr>
        <w:t xml:space="preserve">Table S3. </w:t>
      </w:r>
      <w:r w:rsidRPr="005C283E">
        <w:rPr>
          <w:b/>
          <w:bCs/>
        </w:rPr>
        <w:t>Peptide</w:t>
      </w:r>
      <w:r>
        <w:rPr>
          <w:b/>
          <w:bCs/>
        </w:rPr>
        <w:t xml:space="preserve"> </w:t>
      </w:r>
      <w:r w:rsidRPr="005C283E">
        <w:rPr>
          <w:b/>
          <w:bCs/>
        </w:rPr>
        <w:t>contacts</w:t>
      </w:r>
      <w:r>
        <w:rPr>
          <w:b/>
          <w:bCs/>
        </w:rPr>
        <w:t xml:space="preserve"> </w:t>
      </w:r>
      <w:r w:rsidRPr="005C283E">
        <w:rPr>
          <w:b/>
          <w:bCs/>
        </w:rPr>
        <w:t>with</w:t>
      </w:r>
      <w:r>
        <w:rPr>
          <w:b/>
          <w:bCs/>
        </w:rPr>
        <w:t xml:space="preserve"> </w:t>
      </w:r>
      <w:r w:rsidRPr="005C283E">
        <w:rPr>
          <w:b/>
          <w:bCs/>
        </w:rPr>
        <w:t>IAR</w:t>
      </w:r>
      <w:r>
        <w:rPr>
          <w:b/>
          <w:bCs/>
        </w:rPr>
        <w:t xml:space="preserve"> </w:t>
      </w:r>
      <w:r w:rsidRPr="005C283E">
        <w:rPr>
          <w:b/>
          <w:bCs/>
        </w:rPr>
        <w:t>TCR</w:t>
      </w:r>
      <w:r>
        <w:rPr>
          <w:b/>
          <w:bCs/>
        </w:rPr>
        <w:t xml:space="preserve"> </w:t>
      </w:r>
      <w:r w:rsidRPr="005C283E">
        <w:rPr>
          <w:b/>
          <w:bCs/>
        </w:rPr>
        <w:t>sequence</w:t>
      </w:r>
      <w:r>
        <w:rPr>
          <w:b/>
          <w:bCs/>
        </w:rPr>
        <w:t xml:space="preserve"> </w:t>
      </w:r>
      <w:r w:rsidRPr="005C283E">
        <w:rPr>
          <w:b/>
          <w:bCs/>
        </w:rPr>
        <w:t>features</w:t>
      </w:r>
      <w:r>
        <w:t>.</w:t>
      </w:r>
    </w:p>
    <w:p w14:paraId="1A4EB1CA" w14:textId="57F2D76C" w:rsidR="005C283E" w:rsidRDefault="005C283E" w:rsidP="00EB6D98">
      <w:pPr>
        <w:spacing w:line="480" w:lineRule="auto"/>
        <w:rPr>
          <w:b/>
          <w:bCs/>
        </w:rPr>
      </w:pPr>
      <w:r>
        <w:rPr>
          <w:b/>
          <w:bCs/>
        </w:rPr>
        <w:t xml:space="preserve">Table S4. </w:t>
      </w:r>
      <w:r w:rsidRPr="005C283E">
        <w:rPr>
          <w:b/>
          <w:bCs/>
        </w:rPr>
        <w:t>Flow cytometry antibodies</w:t>
      </w:r>
      <w:r>
        <w:rPr>
          <w:b/>
          <w:bCs/>
        </w:rPr>
        <w:t>.</w:t>
      </w:r>
    </w:p>
    <w:p w14:paraId="7C96C25D" w14:textId="5807567E" w:rsidR="00FF7767" w:rsidRDefault="00FF7767" w:rsidP="005C283E"/>
    <w:p w14:paraId="78330084" w14:textId="34979ADA" w:rsidR="00FF7767" w:rsidRDefault="002E699E" w:rsidP="00FF7767">
      <w:pPr>
        <w:spacing w:after="120" w:line="360" w:lineRule="auto"/>
      </w:pPr>
      <w:r>
        <w:rPr>
          <w:b/>
          <w:bCs/>
        </w:rPr>
        <w:br w:type="column"/>
      </w:r>
      <w:r w:rsidR="00FF7767">
        <w:rPr>
          <w:b/>
          <w:bCs/>
        </w:rPr>
        <w:lastRenderedPageBreak/>
        <w:t>Supplemental Figure</w:t>
      </w:r>
      <w:r w:rsidR="00FB78BC">
        <w:rPr>
          <w:b/>
          <w:bCs/>
        </w:rPr>
        <w:t>s</w:t>
      </w:r>
    </w:p>
    <w:p w14:paraId="22FE64FE" w14:textId="77777777" w:rsidR="00690B38" w:rsidRDefault="00690B38" w:rsidP="00FF7767">
      <w:pPr>
        <w:spacing w:after="120" w:line="360" w:lineRule="auto"/>
        <w:rPr>
          <w:b/>
          <w:bCs/>
        </w:rPr>
      </w:pPr>
      <w:r>
        <w:rPr>
          <w:b/>
          <w:bCs/>
          <w:noProof/>
          <w14:ligatures w14:val="standardContextual"/>
        </w:rPr>
        <w:drawing>
          <wp:inline distT="0" distB="0" distL="0" distR="0" wp14:anchorId="43D04DBD" wp14:editId="0FFFA84F">
            <wp:extent cx="4572000" cy="4114800"/>
            <wp:effectExtent l="0" t="0" r="0" b="0"/>
            <wp:docPr id="762809431" name="Picture 1" descr="A graph with blue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809431" name="Picture 1" descr="A graph with blue squares&#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4572000" cy="4114800"/>
                    </a:xfrm>
                    <a:prstGeom prst="rect">
                      <a:avLst/>
                    </a:prstGeom>
                  </pic:spPr>
                </pic:pic>
              </a:graphicData>
            </a:graphic>
          </wp:inline>
        </w:drawing>
      </w:r>
    </w:p>
    <w:p w14:paraId="57A7C203" w14:textId="145F3199" w:rsidR="00FF7767" w:rsidRDefault="00FF7767" w:rsidP="00FF7767">
      <w:pPr>
        <w:spacing w:after="120" w:line="360" w:lineRule="auto"/>
      </w:pPr>
      <w:r w:rsidRPr="00F133FB">
        <w:rPr>
          <w:b/>
          <w:bCs/>
        </w:rPr>
        <w:t xml:space="preserve">Figure </w:t>
      </w:r>
      <w:r>
        <w:rPr>
          <w:b/>
          <w:bCs/>
        </w:rPr>
        <w:t>S1</w:t>
      </w:r>
      <w:r w:rsidRPr="00F133FB">
        <w:rPr>
          <w:b/>
          <w:bCs/>
        </w:rPr>
        <w:t xml:space="preserve">. </w:t>
      </w:r>
      <w:r w:rsidRPr="00D54D2E">
        <w:rPr>
          <w:b/>
          <w:bCs/>
        </w:rPr>
        <w:t xml:space="preserve">Lack of sequence matching </w:t>
      </w:r>
      <w:r>
        <w:rPr>
          <w:b/>
          <w:bCs/>
        </w:rPr>
        <w:t>between PIT and IAR T cell V genes is independent of HLA genotype</w:t>
      </w:r>
      <w:r w:rsidRPr="00D54D2E">
        <w:rPr>
          <w:b/>
          <w:bCs/>
        </w:rPr>
        <w:t>.</w:t>
      </w:r>
      <w:r>
        <w:rPr>
          <w:b/>
          <w:bCs/>
        </w:rPr>
        <w:t xml:space="preserve"> </w:t>
      </w:r>
      <w:r w:rsidR="00790248">
        <w:t xml:space="preserve">PIT matches with </w:t>
      </w:r>
      <w:r w:rsidR="00790248" w:rsidRPr="00A14B42">
        <w:t xml:space="preserve">different </w:t>
      </w:r>
      <w:r w:rsidR="00790248" w:rsidRPr="00A14B42">
        <w:rPr>
          <w:i/>
          <w:iCs/>
        </w:rPr>
        <w:t>TRA</w:t>
      </w:r>
      <w:r w:rsidR="00790248">
        <w:t xml:space="preserve"> </w:t>
      </w:r>
      <w:r w:rsidR="00790248" w:rsidRPr="00A14B42">
        <w:t>junction segments</w:t>
      </w:r>
      <w:r w:rsidR="00790248">
        <w:t xml:space="preserve"> in IAR T cell </w:t>
      </w:r>
      <w:r w:rsidR="00790248" w:rsidRPr="002601C5">
        <w:rPr>
          <w:i/>
          <w:iCs/>
        </w:rPr>
        <w:t>TRA</w:t>
      </w:r>
      <w:r w:rsidR="00790248">
        <w:t xml:space="preserve"> chains from Cohort 1 were as in Figure 1D but displayed by PIT HLA-DRB1 genotype. Numbers of TCRs compared were 784, 153, 303, and 138for HLA-DRB1*03:01, *04:01, *07:01, and other </w:t>
      </w:r>
      <w:r w:rsidR="00790248" w:rsidRPr="00D54D2E">
        <w:t>HLA-DRB1 alleles</w:t>
      </w:r>
      <w:r w:rsidR="00790248">
        <w:t>, respectively</w:t>
      </w:r>
      <w:r w:rsidR="00B90C0F">
        <w:t>.</w:t>
      </w:r>
    </w:p>
    <w:p w14:paraId="729B58E3" w14:textId="46611CB6" w:rsidR="00FB78BC" w:rsidRDefault="002E699E" w:rsidP="00FF7767">
      <w:pPr>
        <w:spacing w:after="120" w:line="360" w:lineRule="auto"/>
        <w:rPr>
          <w:b/>
          <w:bCs/>
        </w:rPr>
      </w:pPr>
      <w:r>
        <w:rPr>
          <w:b/>
          <w:bCs/>
        </w:rPr>
        <w:br w:type="column"/>
      </w:r>
      <w:r w:rsidR="00690B38">
        <w:rPr>
          <w:b/>
          <w:bCs/>
          <w:noProof/>
          <w14:ligatures w14:val="standardContextual"/>
        </w:rPr>
        <w:lastRenderedPageBreak/>
        <w:drawing>
          <wp:inline distT="0" distB="0" distL="0" distR="0" wp14:anchorId="2F6FFA93" wp14:editId="1338139F">
            <wp:extent cx="3657600" cy="4838700"/>
            <wp:effectExtent l="0" t="0" r="0" b="0"/>
            <wp:docPr id="3637902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790213" name="Picture 363790213"/>
                    <pic:cNvPicPr/>
                  </pic:nvPicPr>
                  <pic:blipFill>
                    <a:blip r:embed="rId7">
                      <a:extLst>
                        <a:ext uri="{28A0092B-C50C-407E-A947-70E740481C1C}">
                          <a14:useLocalDpi xmlns:a14="http://schemas.microsoft.com/office/drawing/2010/main" val="0"/>
                        </a:ext>
                      </a:extLst>
                    </a:blip>
                    <a:stretch>
                      <a:fillRect/>
                    </a:stretch>
                  </pic:blipFill>
                  <pic:spPr>
                    <a:xfrm>
                      <a:off x="0" y="0"/>
                      <a:ext cx="3657600" cy="4838700"/>
                    </a:xfrm>
                    <a:prstGeom prst="rect">
                      <a:avLst/>
                    </a:prstGeom>
                  </pic:spPr>
                </pic:pic>
              </a:graphicData>
            </a:graphic>
          </wp:inline>
        </w:drawing>
      </w:r>
    </w:p>
    <w:p w14:paraId="59CAC2E2" w14:textId="66931C89" w:rsidR="00FF7767" w:rsidRPr="00FB78BC" w:rsidRDefault="00FF7767" w:rsidP="00FF7767">
      <w:pPr>
        <w:spacing w:after="120" w:line="360" w:lineRule="auto"/>
        <w:rPr>
          <w:noProof/>
          <w14:ligatures w14:val="standardContextual"/>
        </w:rPr>
      </w:pPr>
      <w:r w:rsidRPr="00F133FB">
        <w:rPr>
          <w:b/>
          <w:bCs/>
        </w:rPr>
        <w:t xml:space="preserve">Figure </w:t>
      </w:r>
      <w:r>
        <w:rPr>
          <w:b/>
          <w:bCs/>
        </w:rPr>
        <w:t>S2</w:t>
      </w:r>
      <w:r w:rsidRPr="00F133FB">
        <w:rPr>
          <w:b/>
          <w:bCs/>
        </w:rPr>
        <w:t xml:space="preserve">. </w:t>
      </w:r>
      <w:r w:rsidRPr="00D54D2E">
        <w:rPr>
          <w:b/>
          <w:bCs/>
        </w:rPr>
        <w:t xml:space="preserve">Fractions of </w:t>
      </w:r>
      <w:r>
        <w:rPr>
          <w:b/>
          <w:bCs/>
        </w:rPr>
        <w:t>PIT-matched</w:t>
      </w:r>
      <w:r w:rsidRPr="00D54D2E">
        <w:rPr>
          <w:b/>
          <w:bCs/>
        </w:rPr>
        <w:t xml:space="preserve"> and non-matched </w:t>
      </w:r>
      <w:r w:rsidRPr="00D54D2E">
        <w:rPr>
          <w:b/>
          <w:bCs/>
          <w:i/>
          <w:iCs/>
        </w:rPr>
        <w:t>TRA</w:t>
      </w:r>
      <w:r w:rsidRPr="00D54D2E">
        <w:rPr>
          <w:b/>
          <w:bCs/>
        </w:rPr>
        <w:t xml:space="preserve"> junctions vary by disease group and TCR expansion.</w:t>
      </w:r>
      <w:r>
        <w:rPr>
          <w:b/>
          <w:bCs/>
        </w:rPr>
        <w:t xml:space="preserve"> </w:t>
      </w:r>
      <w:r>
        <w:t xml:space="preserve">We tabulated frequencies of PIT-matched and non-matched </w:t>
      </w:r>
      <w:r w:rsidRPr="006A2658">
        <w:rPr>
          <w:i/>
          <w:iCs/>
        </w:rPr>
        <w:t>TRA</w:t>
      </w:r>
      <w:r>
        <w:t xml:space="preserve"> </w:t>
      </w:r>
      <w:r w:rsidRPr="006A2658">
        <w:t xml:space="preserve">junction numbers </w:t>
      </w:r>
      <w:r>
        <w:t>by group</w:t>
      </w:r>
      <w:r w:rsidRPr="006A2658">
        <w:t xml:space="preserve"> after down sampling to equivalent junction</w:t>
      </w:r>
      <w:r>
        <w:t xml:space="preserve"> numbers</w:t>
      </w:r>
      <w:r w:rsidRPr="006A2658">
        <w:t xml:space="preserve"> </w:t>
      </w:r>
      <w:r>
        <w:t>as in Figure 1F but analyzed at the donor level.</w:t>
      </w:r>
      <w:r w:rsidR="00327E42">
        <w:t xml:space="preserve"> Differences between groups did not differ significantly after multiple testing correction.</w:t>
      </w:r>
    </w:p>
    <w:p w14:paraId="451B707D" w14:textId="4805873E" w:rsidR="00FB78BC" w:rsidRDefault="002E699E" w:rsidP="00FF7767">
      <w:pPr>
        <w:spacing w:after="120" w:line="360" w:lineRule="auto"/>
        <w:rPr>
          <w:b/>
          <w:bCs/>
        </w:rPr>
      </w:pPr>
      <w:r>
        <w:rPr>
          <w:b/>
          <w:bCs/>
        </w:rPr>
        <w:br w:type="column"/>
      </w:r>
      <w:r w:rsidR="00690B38">
        <w:rPr>
          <w:b/>
          <w:bCs/>
          <w:noProof/>
          <w14:ligatures w14:val="standardContextual"/>
        </w:rPr>
        <w:lastRenderedPageBreak/>
        <w:drawing>
          <wp:inline distT="0" distB="0" distL="0" distR="0" wp14:anchorId="4364CF55" wp14:editId="06FF318A">
            <wp:extent cx="4572000" cy="3848100"/>
            <wp:effectExtent l="0" t="0" r="0" b="0"/>
            <wp:docPr id="53448090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480902" name="Picture 534480902"/>
                    <pic:cNvPicPr/>
                  </pic:nvPicPr>
                  <pic:blipFill>
                    <a:blip r:embed="rId8">
                      <a:extLst>
                        <a:ext uri="{28A0092B-C50C-407E-A947-70E740481C1C}">
                          <a14:useLocalDpi xmlns:a14="http://schemas.microsoft.com/office/drawing/2010/main" val="0"/>
                        </a:ext>
                      </a:extLst>
                    </a:blip>
                    <a:stretch>
                      <a:fillRect/>
                    </a:stretch>
                  </pic:blipFill>
                  <pic:spPr>
                    <a:xfrm>
                      <a:off x="0" y="0"/>
                      <a:ext cx="4572000" cy="3848100"/>
                    </a:xfrm>
                    <a:prstGeom prst="rect">
                      <a:avLst/>
                    </a:prstGeom>
                  </pic:spPr>
                </pic:pic>
              </a:graphicData>
            </a:graphic>
          </wp:inline>
        </w:drawing>
      </w:r>
    </w:p>
    <w:p w14:paraId="52A3311E" w14:textId="2F2F8A57" w:rsidR="00FF7767" w:rsidRDefault="00FF7767" w:rsidP="00FF7767">
      <w:pPr>
        <w:spacing w:after="120" w:line="360" w:lineRule="auto"/>
      </w:pPr>
      <w:r w:rsidRPr="00F133FB">
        <w:rPr>
          <w:b/>
          <w:bCs/>
        </w:rPr>
        <w:t xml:space="preserve">Figure </w:t>
      </w:r>
      <w:r>
        <w:rPr>
          <w:b/>
          <w:bCs/>
        </w:rPr>
        <w:t>S3</w:t>
      </w:r>
      <w:r w:rsidRPr="00F133FB">
        <w:rPr>
          <w:b/>
          <w:bCs/>
        </w:rPr>
        <w:t xml:space="preserve">. </w:t>
      </w:r>
      <w:r w:rsidRPr="00DD5F3D">
        <w:rPr>
          <w:b/>
          <w:bCs/>
        </w:rPr>
        <w:t xml:space="preserve">Most PIT-matches map to the </w:t>
      </w:r>
      <w:r w:rsidRPr="00DD5F3D">
        <w:rPr>
          <w:b/>
          <w:bCs/>
          <w:i/>
          <w:iCs/>
        </w:rPr>
        <w:t>TRA</w:t>
      </w:r>
      <w:r>
        <w:rPr>
          <w:b/>
          <w:bCs/>
        </w:rPr>
        <w:t xml:space="preserve"> j</w:t>
      </w:r>
      <w:r w:rsidRPr="00DD5F3D">
        <w:rPr>
          <w:b/>
          <w:bCs/>
        </w:rPr>
        <w:t xml:space="preserve">unction region. </w:t>
      </w:r>
      <w:r w:rsidR="00790248" w:rsidRPr="00C43EA2">
        <w:t xml:space="preserve">The </w:t>
      </w:r>
      <w:r w:rsidR="00790248">
        <w:t xml:space="preserve">distribution of amino acid sequence </w:t>
      </w:r>
      <w:r w:rsidR="00790248" w:rsidRPr="00C43EA2">
        <w:t>position</w:t>
      </w:r>
      <w:r w:rsidR="00790248">
        <w:t>s</w:t>
      </w:r>
      <w:r w:rsidR="00790248" w:rsidRPr="00C43EA2">
        <w:t xml:space="preserve"> of </w:t>
      </w:r>
      <w:r w:rsidR="00790248">
        <w:t>single PIT mismatches</w:t>
      </w:r>
      <w:r w:rsidR="00790248" w:rsidRPr="00C43EA2">
        <w:t xml:space="preserve"> </w:t>
      </w:r>
      <w:r w:rsidR="00790248">
        <w:t xml:space="preserve">between IAR and PIT </w:t>
      </w:r>
      <w:r w:rsidR="00790248" w:rsidRPr="00A77923">
        <w:rPr>
          <w:i/>
          <w:iCs/>
        </w:rPr>
        <w:t>TRA</w:t>
      </w:r>
      <w:r w:rsidR="00790248">
        <w:t xml:space="preserve"> junctions. The starting C residues (N terminus) all junctions were assigned position = 0. The distribution of observed mismatches (mismatch)was</w:t>
      </w:r>
      <w:r w:rsidR="00790248" w:rsidRPr="00C43EA2">
        <w:t xml:space="preserve"> </w:t>
      </w:r>
      <w:r w:rsidR="00790248">
        <w:t>more centrally distributed than of the C-terminal ends of V genes (</w:t>
      </w:r>
      <w:proofErr w:type="spellStart"/>
      <w:r w:rsidR="00790248">
        <w:t>vEnd</w:t>
      </w:r>
      <w:proofErr w:type="spellEnd"/>
      <w:r w:rsidR="00790248">
        <w:t>) and the N-terminal ends of J genes (</w:t>
      </w:r>
      <w:proofErr w:type="spellStart"/>
      <w:r w:rsidR="00790248">
        <w:t>jStart</w:t>
      </w:r>
      <w:proofErr w:type="spellEnd"/>
      <w:r w:rsidR="00790248">
        <w:t xml:space="preserve">), as delineated by </w:t>
      </w:r>
      <w:r w:rsidR="00790248" w:rsidRPr="00A77923">
        <w:t>IMGT/</w:t>
      </w:r>
      <w:proofErr w:type="spellStart"/>
      <w:r w:rsidR="00790248" w:rsidRPr="00A77923">
        <w:t>HighV</w:t>
      </w:r>
      <w:proofErr w:type="spellEnd"/>
      <w:r w:rsidR="00790248" w:rsidRPr="00A77923">
        <w:t>-QUEST</w:t>
      </w:r>
      <w:r w:rsidR="00790248">
        <w:t xml:space="preserve"> </w:t>
      </w:r>
      <w:r w:rsidR="00790248">
        <w:fldChar w:fldCharType="begin"/>
      </w:r>
      <w:r w:rsidR="00D95CF9">
        <w:instrText xml:space="preserve"> ADDIN ZOTERO_ITEM CSL_CITATION {"citationID":"eS0JtDff","properties":{"formattedCitation":"\\super 1\\nosupersub{}","plainCitation":"1","noteIndex":0},"citationItems":[{"id":851,"uris":["http://zotero.org/users/522661/items/4B3I8M35"],"itemData":{"id":851,"type":"article-journal","abstract":"IMGT/V-QUEST is the highly customized and integrated online IMGT(®) tool for the standardized analysis of the immunoglobulin (IG) or antibody and T cell receptor (TR) rearranged nucleotide sequences. The analysis of these antigen receptors represents a crucial challenge for the study of the adaptive immune response in normal and disease-related situations. The expressed IG and TR repertoires represent a potential of 10(12) IG and 10(12) TR per individual. This huge diversity results from mechanisms that occur at the DNA level during the IG and TR molecular synthesis. These mechanisms include the combinatorial rearrangements of the variable (V), diversity (D) and joining (J) genes, the N-diversity (deletion and addition at random of nucleotides during the V-(D)-J rearrangement) and, for IG, somatic hypermutations. IMGT/V-QUEST identifies the V, D, J genes and alleles by alignment with the germline IG and TR gene and allele sequences of the IMGT reference directory. The tool describes the V-REGION mutations and identifies the hot spot positions in the closest germline V gene. IMGT/V-QUEST integrates IMGT/JunctionAnalysis for a detailed analysis of the V-J and V-D-J junctions and IMGT/Automat for a complete annotation of the sequences and also provides IMGT Collier de Perles. IMGT/HighV-QUEST, the high-throughput version of IMGT/V-QUEST, implemented to answer the needs of deep sequencing data analysis from Next Generation Sequencing (NGS), allows the analysis of thousands of IG and TR sequences in a single run. IMGT/V-QUEST and IMGT/HighV-QUEST are available at the IMGT(®) Home page, http://www.imgt.org.","container-title":"Methods in Molecular Biology (Clifton, N.J.)","DOI":"10.1007/978-1-61779-842-9_32","ISSN":"1940-6029","journalAbbreviation":"Methods Mol. Biol.","language":"eng","note":"PMID: 22665256","page":"569-604","source":"PubMed","title":"IMGT(®) tools for the nucleotide analysis of immunoglobulin (IG) and T cell receptor (TR) V-(D)-J repertoires, polymorphisms, and IG mutations: IMGT/V-QUEST and IMGT/HighV-QUEST for NGS","title-short":"IMGT(®) tools for the nucleotide analysis of immunoglobulin (IG) and T cell receptor (TR) V-(D)-J repertoires, polymorphisms, and IG mutations","volume":"882","author":[{"family":"Alamyar","given":"Eltaf"},{"family":"Duroux","given":"Patrice"},{"family":"Lefranc","given":"Marie-Paule"},{"family":"Giudicelli","given":"Véronique"}],"issued":{"date-parts":[["2012"]]}}}],"schema":"https://github.com/citation-style-language/schema/raw/master/csl-citation.json"} </w:instrText>
      </w:r>
      <w:r w:rsidR="00790248">
        <w:fldChar w:fldCharType="separate"/>
      </w:r>
      <w:r w:rsidR="00D95CF9" w:rsidRPr="00D95CF9">
        <w:rPr>
          <w:rFonts w:ascii="Calibri" w:cs="Calibri"/>
          <w:vertAlign w:val="superscript"/>
        </w:rPr>
        <w:t>1</w:t>
      </w:r>
      <w:r w:rsidR="00790248">
        <w:fldChar w:fldCharType="end"/>
      </w:r>
      <w:r w:rsidR="00790248">
        <w:t>. Vertical lines, median position of PIT mismatches.</w:t>
      </w:r>
    </w:p>
    <w:p w14:paraId="58BB8337" w14:textId="7F06FCA4" w:rsidR="00FB78BC" w:rsidRDefault="002E699E" w:rsidP="00FF7767">
      <w:pPr>
        <w:spacing w:after="120" w:line="360" w:lineRule="auto"/>
        <w:rPr>
          <w:b/>
          <w:bCs/>
        </w:rPr>
      </w:pPr>
      <w:r>
        <w:rPr>
          <w:b/>
          <w:bCs/>
        </w:rPr>
        <w:br w:type="column"/>
      </w:r>
      <w:r w:rsidR="00D40049" w:rsidRPr="00D40049">
        <w:rPr>
          <w:noProof/>
          <w14:ligatures w14:val="standardContextual"/>
        </w:rPr>
        <w:lastRenderedPageBreak/>
        <w:t xml:space="preserve"> </w:t>
      </w:r>
      <w:r w:rsidR="00690B38">
        <w:rPr>
          <w:b/>
          <w:bCs/>
          <w:noProof/>
          <w14:ligatures w14:val="standardContextual"/>
        </w:rPr>
        <w:drawing>
          <wp:inline distT="0" distB="0" distL="0" distR="0" wp14:anchorId="27B93F0D" wp14:editId="1167CD8D">
            <wp:extent cx="4572000" cy="3416300"/>
            <wp:effectExtent l="0" t="0" r="0" b="0"/>
            <wp:docPr id="195624613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6246136" name="Picture 1956246136"/>
                    <pic:cNvPicPr/>
                  </pic:nvPicPr>
                  <pic:blipFill>
                    <a:blip r:embed="rId9">
                      <a:extLst>
                        <a:ext uri="{28A0092B-C50C-407E-A947-70E740481C1C}">
                          <a14:useLocalDpi xmlns:a14="http://schemas.microsoft.com/office/drawing/2010/main" val="0"/>
                        </a:ext>
                      </a:extLst>
                    </a:blip>
                    <a:stretch>
                      <a:fillRect/>
                    </a:stretch>
                  </pic:blipFill>
                  <pic:spPr>
                    <a:xfrm>
                      <a:off x="0" y="0"/>
                      <a:ext cx="4572000" cy="3416300"/>
                    </a:xfrm>
                    <a:prstGeom prst="rect">
                      <a:avLst/>
                    </a:prstGeom>
                  </pic:spPr>
                </pic:pic>
              </a:graphicData>
            </a:graphic>
          </wp:inline>
        </w:drawing>
      </w:r>
    </w:p>
    <w:p w14:paraId="59A01DA5" w14:textId="7BAD405E" w:rsidR="00FF7767" w:rsidRPr="00D54D2E" w:rsidRDefault="00FF7767" w:rsidP="00FF7767">
      <w:pPr>
        <w:spacing w:after="120" w:line="360" w:lineRule="auto"/>
      </w:pPr>
      <w:r>
        <w:rPr>
          <w:b/>
          <w:bCs/>
        </w:rPr>
        <w:t>Figure S4</w:t>
      </w:r>
      <w:r w:rsidRPr="00F133FB">
        <w:rPr>
          <w:b/>
          <w:bCs/>
        </w:rPr>
        <w:t xml:space="preserve">. </w:t>
      </w:r>
      <w:r>
        <w:rPr>
          <w:b/>
          <w:bCs/>
        </w:rPr>
        <w:t xml:space="preserve">Length differences between PIT-matched and non-matched </w:t>
      </w:r>
      <w:r w:rsidRPr="0009615A">
        <w:rPr>
          <w:b/>
          <w:bCs/>
          <w:i/>
          <w:iCs/>
        </w:rPr>
        <w:t>TRA</w:t>
      </w:r>
      <w:r>
        <w:rPr>
          <w:b/>
          <w:bCs/>
        </w:rPr>
        <w:t xml:space="preserve"> junctions map to peptide-contacting regions</w:t>
      </w:r>
      <w:r w:rsidRPr="00F133FB">
        <w:rPr>
          <w:b/>
          <w:bCs/>
        </w:rPr>
        <w:t>.</w:t>
      </w:r>
      <w:r>
        <w:rPr>
          <w:b/>
          <w:bCs/>
        </w:rPr>
        <w:t xml:space="preserve"> </w:t>
      </w:r>
      <w:r>
        <w:t>Shown are</w:t>
      </w:r>
      <w:r w:rsidRPr="00C43EA2">
        <w:t xml:space="preserve"> </w:t>
      </w:r>
      <w:r>
        <w:t xml:space="preserve">distributions of sequence lengths (in </w:t>
      </w:r>
      <w:proofErr w:type="spellStart"/>
      <w:r>
        <w:t>nt</w:t>
      </w:r>
      <w:proofErr w:type="spellEnd"/>
      <w:r>
        <w:t xml:space="preserve">) for sequence features from PIT-matched and non-matched </w:t>
      </w:r>
      <w:r w:rsidRPr="00DD5F3D">
        <w:rPr>
          <w:i/>
          <w:iCs/>
        </w:rPr>
        <w:t>TRA</w:t>
      </w:r>
      <w:r>
        <w:t xml:space="preserve"> junctions, as delineated by </w:t>
      </w:r>
      <w:r w:rsidRPr="00A77923">
        <w:t>IMGT/</w:t>
      </w:r>
      <w:proofErr w:type="spellStart"/>
      <w:r w:rsidRPr="00A77923">
        <w:t>HighV</w:t>
      </w:r>
      <w:proofErr w:type="spellEnd"/>
      <w:r w:rsidRPr="00A77923">
        <w:t>-QUEST</w:t>
      </w:r>
      <w:r>
        <w:t xml:space="preserve"> </w:t>
      </w:r>
      <w:r>
        <w:fldChar w:fldCharType="begin"/>
      </w:r>
      <w:r w:rsidR="00D95CF9">
        <w:instrText xml:space="preserve"> ADDIN ZOTERO_ITEM CSL_CITATION {"citationID":"FztHasqY","properties":{"formattedCitation":"\\super 1\\nosupersub{}","plainCitation":"1","noteIndex":0},"citationItems":[{"id":851,"uris":["http://zotero.org/users/522661/items/4B3I8M35"],"itemData":{"id":851,"type":"article-journal","abstract":"IMGT/V-QUEST is the highly customized and integrated online IMGT(®) tool for the standardized analysis of the immunoglobulin (IG) or antibody and T cell receptor (TR) rearranged nucleotide sequences. The analysis of these antigen receptors represents a crucial challenge for the study of the adaptive immune response in normal and disease-related situations. The expressed IG and TR repertoires represent a potential of 10(12) IG and 10(12) TR per individual. This huge diversity results from mechanisms that occur at the DNA level during the IG and TR molecular synthesis. These mechanisms include the combinatorial rearrangements of the variable (V), diversity (D) and joining (J) genes, the N-diversity (deletion and addition at random of nucleotides during the V-(D)-J rearrangement) and, for IG, somatic hypermutations. IMGT/V-QUEST identifies the V, D, J genes and alleles by alignment with the germline IG and TR gene and allele sequences of the IMGT reference directory. The tool describes the V-REGION mutations and identifies the hot spot positions in the closest germline V gene. IMGT/V-QUEST integrates IMGT/JunctionAnalysis for a detailed analysis of the V-J and V-D-J junctions and IMGT/Automat for a complete annotation of the sequences and also provides IMGT Collier de Perles. IMGT/HighV-QUEST, the high-throughput version of IMGT/V-QUEST, implemented to answer the needs of deep sequencing data analysis from Next Generation Sequencing (NGS), allows the analysis of thousands of IG and TR sequences in a single run. IMGT/V-QUEST and IMGT/HighV-QUEST are available at the IMGT(®) Home page, http://www.imgt.org.","container-title":"Methods in Molecular Biology (Clifton, N.J.)","DOI":"10.1007/978-1-61779-842-9_32","ISSN":"1940-6029","journalAbbreviation":"Methods Mol. Biol.","language":"eng","note":"PMID: 22665256","page":"569-604","source":"PubMed","title":"IMGT(®) tools for the nucleotide analysis of immunoglobulin (IG) and T cell receptor (TR) V-(D)-J repertoires, polymorphisms, and IG mutations: IMGT/V-QUEST and IMGT/HighV-QUEST for NGS","title-short":"IMGT(®) tools for the nucleotide analysis of immunoglobulin (IG) and T cell receptor (TR) V-(D)-J repertoires, polymorphisms, and IG mutations","volume":"882","author":[{"family":"Alamyar","given":"Eltaf"},{"family":"Duroux","given":"Patrice"},{"family":"Lefranc","given":"Marie-Paule"},{"family":"Giudicelli","given":"Véronique"}],"issued":{"date-parts":[["2012"]]}}}],"schema":"https://github.com/citation-style-language/schema/raw/master/csl-citation.json"} </w:instrText>
      </w:r>
      <w:r>
        <w:fldChar w:fldCharType="separate"/>
      </w:r>
      <w:r w:rsidR="00D95CF9" w:rsidRPr="00D95CF9">
        <w:rPr>
          <w:rFonts w:ascii="Calibri" w:cs="Calibri"/>
          <w:vertAlign w:val="superscript"/>
        </w:rPr>
        <w:t>1</w:t>
      </w:r>
      <w:r>
        <w:fldChar w:fldCharType="end"/>
      </w:r>
      <w:r>
        <w:t xml:space="preserve">.  A) CDR1; B) CDR2; C) CDR3; </w:t>
      </w:r>
      <w:r w:rsidR="003066ED">
        <w:t>D) N region (</w:t>
      </w:r>
      <w:proofErr w:type="spellStart"/>
      <w:r w:rsidR="003066ED">
        <w:t>Nregion</w:t>
      </w:r>
      <w:proofErr w:type="spellEnd"/>
      <w:r w:rsidR="003066ED">
        <w:t xml:space="preserve">); E) </w:t>
      </w:r>
      <w:r>
        <w:t>3’ end of V gene (</w:t>
      </w:r>
      <w:proofErr w:type="spellStart"/>
      <w:r>
        <w:t>threeVRegion</w:t>
      </w:r>
      <w:proofErr w:type="spellEnd"/>
      <w:r>
        <w:t>); F) 5’end of the J region (</w:t>
      </w:r>
      <w:proofErr w:type="spellStart"/>
      <w:r>
        <w:t>fiveJRegion</w:t>
      </w:r>
      <w:proofErr w:type="spellEnd"/>
      <w:r>
        <w:t>). The s</w:t>
      </w:r>
      <w:r w:rsidRPr="003F7639">
        <w:t xml:space="preserve">ignificance of differences in </w:t>
      </w:r>
      <w:r>
        <w:t xml:space="preserve">values from PIT-matched and non-matched chains </w:t>
      </w:r>
      <w:r w:rsidRPr="003F7639">
        <w:t xml:space="preserve">was assessed </w:t>
      </w:r>
      <w:r>
        <w:t xml:space="preserve">using </w:t>
      </w:r>
      <w:r w:rsidRPr="00153123">
        <w:t>Kolmogorov-Smirnov test</w:t>
      </w:r>
      <w:r>
        <w:t>s</w:t>
      </w:r>
      <w:r w:rsidRPr="003F7639">
        <w:t>.</w:t>
      </w:r>
      <w:r>
        <w:t xml:space="preserve"> </w:t>
      </w:r>
      <w:r w:rsidRPr="007D3841">
        <w:t>**</w:t>
      </w:r>
      <w:r>
        <w:t>**, pAdj &lt;1e-4; NS, not significant</w:t>
      </w:r>
      <w:r w:rsidRPr="003F7639">
        <w:t>.</w:t>
      </w:r>
      <w:r>
        <w:t xml:space="preserve"> Solid vertical line, median value from PIT-matched junctions; dashed vertical line, median value from PIT-non-matched junctions.</w:t>
      </w:r>
    </w:p>
    <w:p w14:paraId="4AEED38D" w14:textId="14DD7B59" w:rsidR="00FB78BC" w:rsidRDefault="002E699E" w:rsidP="00FF7767">
      <w:pPr>
        <w:spacing w:after="120" w:line="360" w:lineRule="auto"/>
        <w:rPr>
          <w:b/>
          <w:bCs/>
        </w:rPr>
      </w:pPr>
      <w:r>
        <w:rPr>
          <w:b/>
          <w:bCs/>
        </w:rPr>
        <w:br w:type="column"/>
      </w:r>
      <w:r w:rsidR="00690B38">
        <w:rPr>
          <w:b/>
          <w:bCs/>
          <w:noProof/>
          <w14:ligatures w14:val="standardContextual"/>
        </w:rPr>
        <w:lastRenderedPageBreak/>
        <w:drawing>
          <wp:inline distT="0" distB="0" distL="0" distR="0" wp14:anchorId="0A08454D" wp14:editId="01D10A4F">
            <wp:extent cx="4572000" cy="4584700"/>
            <wp:effectExtent l="0" t="0" r="0" b="0"/>
            <wp:docPr id="57740719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407190" name="Picture 577407190"/>
                    <pic:cNvPicPr/>
                  </pic:nvPicPr>
                  <pic:blipFill>
                    <a:blip r:embed="rId10">
                      <a:extLst>
                        <a:ext uri="{28A0092B-C50C-407E-A947-70E740481C1C}">
                          <a14:useLocalDpi xmlns:a14="http://schemas.microsoft.com/office/drawing/2010/main" val="0"/>
                        </a:ext>
                      </a:extLst>
                    </a:blip>
                    <a:stretch>
                      <a:fillRect/>
                    </a:stretch>
                  </pic:blipFill>
                  <pic:spPr>
                    <a:xfrm>
                      <a:off x="0" y="0"/>
                      <a:ext cx="4572000" cy="4584700"/>
                    </a:xfrm>
                    <a:prstGeom prst="rect">
                      <a:avLst/>
                    </a:prstGeom>
                  </pic:spPr>
                </pic:pic>
              </a:graphicData>
            </a:graphic>
          </wp:inline>
        </w:drawing>
      </w:r>
    </w:p>
    <w:p w14:paraId="6E9E234C" w14:textId="5ABF32BA" w:rsidR="00FF7767" w:rsidRDefault="00FF7767" w:rsidP="00FF7767">
      <w:pPr>
        <w:spacing w:after="120" w:line="360" w:lineRule="auto"/>
      </w:pPr>
      <w:r>
        <w:rPr>
          <w:b/>
          <w:bCs/>
        </w:rPr>
        <w:t>Figure S5</w:t>
      </w:r>
      <w:r w:rsidRPr="00F133FB">
        <w:rPr>
          <w:b/>
          <w:bCs/>
        </w:rPr>
        <w:t xml:space="preserve">. </w:t>
      </w:r>
      <w:r w:rsidRPr="00D54D2E">
        <w:rPr>
          <w:b/>
          <w:bCs/>
          <w:i/>
          <w:iCs/>
        </w:rPr>
        <w:t>TRA</w:t>
      </w:r>
      <w:r w:rsidRPr="00D54D2E">
        <w:rPr>
          <w:b/>
          <w:bCs/>
        </w:rPr>
        <w:t xml:space="preserve"> V genes enriched in </w:t>
      </w:r>
      <w:r>
        <w:rPr>
          <w:b/>
          <w:bCs/>
        </w:rPr>
        <w:t>PIT-</w:t>
      </w:r>
      <w:r w:rsidRPr="00D54D2E">
        <w:rPr>
          <w:b/>
          <w:bCs/>
        </w:rPr>
        <w:t xml:space="preserve"> matched versus mismatched TCRs.</w:t>
      </w:r>
      <w:r>
        <w:rPr>
          <w:b/>
          <w:bCs/>
        </w:rPr>
        <w:t xml:space="preserve"> </w:t>
      </w:r>
      <w:r>
        <w:t xml:space="preserve">We enumerated numbers of PIT-matches and -non-matches for each </w:t>
      </w:r>
      <w:r w:rsidRPr="008A6232">
        <w:rPr>
          <w:i/>
          <w:iCs/>
        </w:rPr>
        <w:t>TRA</w:t>
      </w:r>
      <w:r>
        <w:t xml:space="preserve"> V gene found in IAR T cells using </w:t>
      </w:r>
      <w:r w:rsidRPr="00A77923">
        <w:t>IMGT/</w:t>
      </w:r>
      <w:proofErr w:type="spellStart"/>
      <w:r w:rsidRPr="00A77923">
        <w:t>HighV</w:t>
      </w:r>
      <w:proofErr w:type="spellEnd"/>
      <w:r w:rsidRPr="00A77923">
        <w:t>-QUEST</w:t>
      </w:r>
      <w:r>
        <w:t xml:space="preserve"> </w:t>
      </w:r>
      <w:r>
        <w:fldChar w:fldCharType="begin"/>
      </w:r>
      <w:r w:rsidR="00D95CF9">
        <w:instrText xml:space="preserve"> ADDIN ZOTERO_ITEM CSL_CITATION {"citationID":"dKsuGl1J","properties":{"formattedCitation":"\\super 1\\nosupersub{}","plainCitation":"1","noteIndex":0},"citationItems":[{"id":851,"uris":["http://zotero.org/users/522661/items/4B3I8M35"],"itemData":{"id":851,"type":"article-journal","abstract":"IMGT/V-QUEST is the highly customized and integrated online IMGT(®) tool for the standardized analysis of the immunoglobulin (IG) or antibody and T cell receptor (TR) rearranged nucleotide sequences. The analysis of these antigen receptors represents a crucial challenge for the study of the adaptive immune response in normal and disease-related situations. The expressed IG and TR repertoires represent a potential of 10(12) IG and 10(12) TR per individual. This huge diversity results from mechanisms that occur at the DNA level during the IG and TR molecular synthesis. These mechanisms include the combinatorial rearrangements of the variable (V), diversity (D) and joining (J) genes, the N-diversity (deletion and addition at random of nucleotides during the V-(D)-J rearrangement) and, for IG, somatic hypermutations. IMGT/V-QUEST identifies the V, D, J genes and alleles by alignment with the germline IG and TR gene and allele sequences of the IMGT reference directory. The tool describes the V-REGION mutations and identifies the hot spot positions in the closest germline V gene. IMGT/V-QUEST integrates IMGT/JunctionAnalysis for a detailed analysis of the V-J and V-D-J junctions and IMGT/Automat for a complete annotation of the sequences and also provides IMGT Collier de Perles. IMGT/HighV-QUEST, the high-throughput version of IMGT/V-QUEST, implemented to answer the needs of deep sequencing data analysis from Next Generation Sequencing (NGS), allows the analysis of thousands of IG and TR sequences in a single run. IMGT/V-QUEST and IMGT/HighV-QUEST are available at the IMGT(®) Home page, http://www.imgt.org.","container-title":"Methods in Molecular Biology (Clifton, N.J.)","DOI":"10.1007/978-1-61779-842-9_32","ISSN":"1940-6029","journalAbbreviation":"Methods Mol. Biol.","language":"eng","note":"PMID: 22665256","page":"569-604","source":"PubMed","title":"IMGT(®) tools for the nucleotide analysis of immunoglobulin (IG) and T cell receptor (TR) V-(D)-J repertoires, polymorphisms, and IG mutations: IMGT/V-QUEST and IMGT/HighV-QUEST for NGS","title-short":"IMGT(®) tools for the nucleotide analysis of immunoglobulin (IG) and T cell receptor (TR) V-(D)-J repertoires, polymorphisms, and IG mutations","volume":"882","author":[{"family":"Alamyar","given":"Eltaf"},{"family":"Duroux","given":"Patrice"},{"family":"Lefranc","given":"Marie-Paule"},{"family":"Giudicelli","given":"Véronique"}],"issued":{"date-parts":[["2012"]]}}}],"schema":"https://github.com/citation-style-language/schema/raw/master/csl-citation.json"} </w:instrText>
      </w:r>
      <w:r>
        <w:fldChar w:fldCharType="separate"/>
      </w:r>
      <w:r w:rsidR="00D95CF9" w:rsidRPr="00D95CF9">
        <w:rPr>
          <w:rFonts w:ascii="Calibri" w:cs="Calibri"/>
          <w:vertAlign w:val="superscript"/>
        </w:rPr>
        <w:t>1</w:t>
      </w:r>
      <w:r>
        <w:fldChar w:fldCharType="end"/>
      </w:r>
      <w:r>
        <w:t xml:space="preserve"> (N = 68 </w:t>
      </w:r>
      <w:r w:rsidRPr="008A6232">
        <w:rPr>
          <w:i/>
          <w:iCs/>
        </w:rPr>
        <w:t>TRA</w:t>
      </w:r>
      <w:r>
        <w:t xml:space="preserve"> V genes). Shown is a bar plot of the negative log10 of pAd</w:t>
      </w:r>
      <w:r w:rsidR="00B90C0F">
        <w:t xml:space="preserve">j </w:t>
      </w:r>
      <w:r>
        <w:t>values for differences between abundance for each V gene in PIT-matched and non-matched TCR chains, determined by Fisher’s exact test.</w:t>
      </w:r>
      <w:r w:rsidRPr="00D54D2E">
        <w:t xml:space="preserve"> </w:t>
      </w:r>
      <w:r>
        <w:t xml:space="preserve">Dotted line, </w:t>
      </w:r>
      <w:proofErr w:type="gramStart"/>
      <w:r>
        <w:t>pAdj  =</w:t>
      </w:r>
      <w:proofErr w:type="gramEnd"/>
      <w:r>
        <w:t xml:space="preserve"> 0.05.  </w:t>
      </w:r>
    </w:p>
    <w:p w14:paraId="43BD0B14" w14:textId="77777777" w:rsidR="00FF7767" w:rsidRDefault="00FF7767" w:rsidP="00FF7767">
      <w:pPr>
        <w:spacing w:after="120" w:line="360" w:lineRule="auto"/>
        <w:rPr>
          <w:b/>
          <w:bCs/>
        </w:rPr>
      </w:pPr>
    </w:p>
    <w:p w14:paraId="4C261418" w14:textId="2463A598" w:rsidR="00FB78BC" w:rsidRDefault="002E699E" w:rsidP="00FF7767">
      <w:pPr>
        <w:spacing w:after="120" w:line="360" w:lineRule="auto"/>
        <w:rPr>
          <w:b/>
          <w:bCs/>
        </w:rPr>
      </w:pPr>
      <w:r>
        <w:rPr>
          <w:b/>
          <w:bCs/>
        </w:rPr>
        <w:br w:type="column"/>
      </w:r>
      <w:r w:rsidR="00D40049" w:rsidRPr="00D40049">
        <w:rPr>
          <w:noProof/>
          <w14:ligatures w14:val="standardContextual"/>
        </w:rPr>
        <w:lastRenderedPageBreak/>
        <w:t xml:space="preserve"> </w:t>
      </w:r>
      <w:r w:rsidR="00690B38">
        <w:rPr>
          <w:b/>
          <w:bCs/>
          <w:noProof/>
          <w14:ligatures w14:val="standardContextual"/>
        </w:rPr>
        <w:drawing>
          <wp:inline distT="0" distB="0" distL="0" distR="0" wp14:anchorId="422723D3" wp14:editId="0885F0FB">
            <wp:extent cx="5486400" cy="5156200"/>
            <wp:effectExtent l="0" t="0" r="0" b="0"/>
            <wp:docPr id="192051100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0511002" name="Picture 1920511002"/>
                    <pic:cNvPicPr/>
                  </pic:nvPicPr>
                  <pic:blipFill>
                    <a:blip r:embed="rId11">
                      <a:extLst>
                        <a:ext uri="{28A0092B-C50C-407E-A947-70E740481C1C}">
                          <a14:useLocalDpi xmlns:a14="http://schemas.microsoft.com/office/drawing/2010/main" val="0"/>
                        </a:ext>
                      </a:extLst>
                    </a:blip>
                    <a:stretch>
                      <a:fillRect/>
                    </a:stretch>
                  </pic:blipFill>
                  <pic:spPr>
                    <a:xfrm>
                      <a:off x="0" y="0"/>
                      <a:ext cx="5486400" cy="5156200"/>
                    </a:xfrm>
                    <a:prstGeom prst="rect">
                      <a:avLst/>
                    </a:prstGeom>
                  </pic:spPr>
                </pic:pic>
              </a:graphicData>
            </a:graphic>
          </wp:inline>
        </w:drawing>
      </w:r>
    </w:p>
    <w:p w14:paraId="465ECA78" w14:textId="49C301C8" w:rsidR="00FF7767" w:rsidRDefault="00FF7767" w:rsidP="00FF7767">
      <w:pPr>
        <w:spacing w:after="120" w:line="360" w:lineRule="auto"/>
      </w:pPr>
      <w:r>
        <w:rPr>
          <w:b/>
          <w:bCs/>
        </w:rPr>
        <w:t>Figure S6</w:t>
      </w:r>
      <w:r w:rsidRPr="00F133FB">
        <w:rPr>
          <w:b/>
          <w:bCs/>
        </w:rPr>
        <w:t xml:space="preserve">. </w:t>
      </w:r>
      <w:r w:rsidRPr="002E699E">
        <w:rPr>
          <w:b/>
          <w:bCs/>
        </w:rPr>
        <w:t>Distribution of peptide contact regions in PIT-matched and PIT-non-matched TCR sequence features</w:t>
      </w:r>
      <w:r>
        <w:rPr>
          <w:b/>
          <w:bCs/>
        </w:rPr>
        <w:t>.</w:t>
      </w:r>
      <w:r>
        <w:t xml:space="preserve"> We identified predicted peptide contact residues from molecular models of PIT-matched and PIT-non-matched TCRs and mapped these to various sequence features. Plotted are numbers of contact residues in each </w:t>
      </w:r>
      <w:r w:rsidR="00EE7E23">
        <w:t xml:space="preserve">TCR chain </w:t>
      </w:r>
      <w:r>
        <w:t xml:space="preserve">sequence by subject feature plotted versus </w:t>
      </w:r>
      <w:r w:rsidRPr="00E66321">
        <w:rPr>
          <w:i/>
          <w:iCs/>
        </w:rPr>
        <w:t>TRA</w:t>
      </w:r>
      <w:r>
        <w:t xml:space="preserve"> junction length. ***, pAdj &lt;1e-3 that the slope was zero, calculated using linear modeling. Other comparisons did not show significant differences.</w:t>
      </w:r>
    </w:p>
    <w:p w14:paraId="1AECF7FE" w14:textId="19FE5BFC" w:rsidR="00FB78BC" w:rsidRDefault="002E699E" w:rsidP="00FF7767">
      <w:pPr>
        <w:spacing w:after="120" w:line="360" w:lineRule="auto"/>
        <w:rPr>
          <w:b/>
          <w:bCs/>
        </w:rPr>
      </w:pPr>
      <w:r>
        <w:rPr>
          <w:b/>
          <w:bCs/>
        </w:rPr>
        <w:br w:type="column"/>
      </w:r>
      <w:r w:rsidR="00D40049" w:rsidRPr="00D40049">
        <w:rPr>
          <w:noProof/>
          <w14:ligatures w14:val="standardContextual"/>
        </w:rPr>
        <w:lastRenderedPageBreak/>
        <w:t xml:space="preserve"> </w:t>
      </w:r>
      <w:r w:rsidR="00690B38">
        <w:rPr>
          <w:b/>
          <w:bCs/>
          <w:noProof/>
          <w14:ligatures w14:val="standardContextual"/>
        </w:rPr>
        <w:drawing>
          <wp:inline distT="0" distB="0" distL="0" distR="0" wp14:anchorId="68AA4D59" wp14:editId="32FB0FA4">
            <wp:extent cx="3367314" cy="4218495"/>
            <wp:effectExtent l="0" t="0" r="0" b="0"/>
            <wp:docPr id="200978745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787457" name="Picture 2009787457"/>
                    <pic:cNvPicPr/>
                  </pic:nvPicPr>
                  <pic:blipFill>
                    <a:blip r:embed="rId12">
                      <a:extLst>
                        <a:ext uri="{28A0092B-C50C-407E-A947-70E740481C1C}">
                          <a14:useLocalDpi xmlns:a14="http://schemas.microsoft.com/office/drawing/2010/main" val="0"/>
                        </a:ext>
                      </a:extLst>
                    </a:blip>
                    <a:stretch>
                      <a:fillRect/>
                    </a:stretch>
                  </pic:blipFill>
                  <pic:spPr>
                    <a:xfrm>
                      <a:off x="0" y="0"/>
                      <a:ext cx="3402410" cy="4262462"/>
                    </a:xfrm>
                    <a:prstGeom prst="rect">
                      <a:avLst/>
                    </a:prstGeom>
                  </pic:spPr>
                </pic:pic>
              </a:graphicData>
            </a:graphic>
          </wp:inline>
        </w:drawing>
      </w:r>
    </w:p>
    <w:p w14:paraId="3D8A2D05" w14:textId="3D28F3DE" w:rsidR="00FF7767" w:rsidRPr="00E66321" w:rsidRDefault="00FF7767" w:rsidP="00FF7767">
      <w:pPr>
        <w:spacing w:after="120" w:line="360" w:lineRule="auto"/>
      </w:pPr>
      <w:r>
        <w:rPr>
          <w:b/>
          <w:bCs/>
        </w:rPr>
        <w:t>Figure S7</w:t>
      </w:r>
      <w:r w:rsidRPr="00F133FB">
        <w:rPr>
          <w:b/>
          <w:bCs/>
        </w:rPr>
        <w:t xml:space="preserve">. </w:t>
      </w:r>
      <w:r w:rsidRPr="002E699E">
        <w:rPr>
          <w:b/>
          <w:bCs/>
        </w:rPr>
        <w:t>Molecular modeling of a cross-reactive PIT-matched TCR with two different peptides</w:t>
      </w:r>
      <w:r>
        <w:rPr>
          <w:b/>
          <w:bCs/>
        </w:rPr>
        <w:t xml:space="preserve">. </w:t>
      </w:r>
      <w:r w:rsidRPr="00E66321">
        <w:t xml:space="preserve">We built molecular models of Clone 81 TCR with GAD65 377-396 and MP74 97-116 MHC class II </w:t>
      </w:r>
      <w:r w:rsidR="00C72EEA">
        <w:t xml:space="preserve">DRA*0101/DRB1*0401 </w:t>
      </w:r>
      <w:r w:rsidRPr="00E66321">
        <w:t>complexes</w:t>
      </w:r>
      <w:r w:rsidRPr="00D0370F">
        <w:t>.</w:t>
      </w:r>
      <w:r>
        <w:t xml:space="preserve"> A</w:t>
      </w:r>
      <w:r w:rsidRPr="00E66321">
        <w:t>-B</w:t>
      </w:r>
      <w:r>
        <w:t xml:space="preserve">). Predicted overall topological similarity of tripartite </w:t>
      </w:r>
      <w:r w:rsidRPr="00CA74F6">
        <w:t xml:space="preserve">models of </w:t>
      </w:r>
      <w:r w:rsidRPr="00E66321">
        <w:t>Clone 81 TCRs with GAD65 377-396 and MP74 97-116 MHC class II complexes</w:t>
      </w:r>
      <w:r>
        <w:t xml:space="preserve">. </w:t>
      </w:r>
      <w:r>
        <w:rPr>
          <w:rFonts w:ascii="Calibri" w:eastAsia="Times New Roman" w:hAnsi="Calibri" w:cs="Calibri"/>
          <w:color w:val="000000"/>
        </w:rPr>
        <w:t>The viewing plane is from the interface with the MHC molecules, which have been removed from the representation for clarity</w:t>
      </w:r>
      <w:r w:rsidR="00C72EEA">
        <w:rPr>
          <w:rFonts w:ascii="Calibri" w:eastAsia="Times New Roman" w:hAnsi="Calibri" w:cs="Calibri"/>
          <w:color w:val="000000"/>
        </w:rPr>
        <w:t>.</w:t>
      </w:r>
      <w:r>
        <w:rPr>
          <w:rFonts w:ascii="Calibri" w:eastAsia="Times New Roman" w:hAnsi="Calibri" w:cs="Calibri"/>
          <w:color w:val="000000"/>
        </w:rPr>
        <w:t xml:space="preserve"> </w:t>
      </w:r>
      <w:r>
        <w:t xml:space="preserve">C) Green font, peptide contact residues; bars, CDR 1, CDR2 and CDR3 regions, from left to right. There were no predicted contact residues in the </w:t>
      </w:r>
      <w:r w:rsidRPr="00E66321">
        <w:rPr>
          <w:i/>
          <w:iCs/>
        </w:rPr>
        <w:t>TRA</w:t>
      </w:r>
      <w:r>
        <w:t xml:space="preserve"> CDR2 region. D-E) Alignment of predicted structures for </w:t>
      </w:r>
      <w:r w:rsidR="00C72EEA">
        <w:t xml:space="preserve">the Clone 81 </w:t>
      </w:r>
      <w:r w:rsidRPr="00E66321">
        <w:rPr>
          <w:i/>
          <w:iCs/>
        </w:rPr>
        <w:t>TRA</w:t>
      </w:r>
      <w:r>
        <w:t xml:space="preserve"> (D) and TRB (E) chains. Green, sequences for MP54 peptide models; orange, GAD65 peptide models. </w:t>
      </w:r>
      <w:r w:rsidR="00C72EEA">
        <w:rPr>
          <w:rFonts w:ascii="Calibri" w:eastAsia="Times New Roman" w:hAnsi="Calibri" w:cs="Calibri"/>
          <w:color w:val="000000"/>
        </w:rPr>
        <w:t>Labels indicate the CDR loops of the respective chains.</w:t>
      </w:r>
      <w:r w:rsidR="00A00DE2">
        <w:rPr>
          <w:rFonts w:ascii="Calibri" w:eastAsia="Times New Roman" w:hAnsi="Calibri" w:cs="Calibri"/>
          <w:color w:val="000000"/>
        </w:rPr>
        <w:t xml:space="preserve"> CDR3 regions</w:t>
      </w:r>
      <w:r w:rsidR="00790248">
        <w:rPr>
          <w:rFonts w:ascii="Calibri" w:eastAsia="Times New Roman" w:hAnsi="Calibri" w:cs="Calibri"/>
          <w:color w:val="000000"/>
        </w:rPr>
        <w:t>, which</w:t>
      </w:r>
      <w:r w:rsidR="00A00DE2">
        <w:rPr>
          <w:rFonts w:ascii="Calibri" w:eastAsia="Times New Roman" w:hAnsi="Calibri" w:cs="Calibri"/>
          <w:color w:val="000000"/>
        </w:rPr>
        <w:t xml:space="preserve"> are labeled because they show the greatest divergence between the two models.</w:t>
      </w:r>
      <w:r w:rsidR="00790248">
        <w:rPr>
          <w:rFonts w:ascii="Calibri" w:eastAsia="Times New Roman" w:hAnsi="Calibri" w:cs="Calibri"/>
          <w:color w:val="000000"/>
        </w:rPr>
        <w:t xml:space="preserve"> Outside the CDR loops, the structures were mostly superimposed and may not be </w:t>
      </w:r>
      <w:r w:rsidR="008B6A91">
        <w:rPr>
          <w:rFonts w:ascii="Calibri" w:eastAsia="Times New Roman" w:hAnsi="Calibri" w:cs="Calibri"/>
          <w:color w:val="000000"/>
        </w:rPr>
        <w:t xml:space="preserve">separately </w:t>
      </w:r>
      <w:r w:rsidR="00790248">
        <w:rPr>
          <w:rFonts w:ascii="Calibri" w:eastAsia="Times New Roman" w:hAnsi="Calibri" w:cs="Calibri"/>
          <w:color w:val="000000"/>
        </w:rPr>
        <w:t>visible.</w:t>
      </w:r>
    </w:p>
    <w:p w14:paraId="25222CA1" w14:textId="41290FA7" w:rsidR="00FB78BC" w:rsidRDefault="002E699E" w:rsidP="00FF7767">
      <w:pPr>
        <w:spacing w:after="120" w:line="360" w:lineRule="auto"/>
        <w:rPr>
          <w:b/>
          <w:bCs/>
        </w:rPr>
      </w:pPr>
      <w:r>
        <w:rPr>
          <w:b/>
          <w:bCs/>
        </w:rPr>
        <w:br w:type="column"/>
      </w:r>
      <w:r w:rsidR="00690B38">
        <w:rPr>
          <w:b/>
          <w:bCs/>
          <w:noProof/>
          <w14:ligatures w14:val="standardContextual"/>
        </w:rPr>
        <w:lastRenderedPageBreak/>
        <w:drawing>
          <wp:inline distT="0" distB="0" distL="0" distR="0" wp14:anchorId="12A56180" wp14:editId="4E411BDE">
            <wp:extent cx="4572000" cy="4432300"/>
            <wp:effectExtent l="0" t="0" r="0" b="0"/>
            <wp:docPr id="82892988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8929881" name="Picture 828929881"/>
                    <pic:cNvPicPr/>
                  </pic:nvPicPr>
                  <pic:blipFill>
                    <a:blip r:embed="rId13">
                      <a:extLst>
                        <a:ext uri="{28A0092B-C50C-407E-A947-70E740481C1C}">
                          <a14:useLocalDpi xmlns:a14="http://schemas.microsoft.com/office/drawing/2010/main" val="0"/>
                        </a:ext>
                      </a:extLst>
                    </a:blip>
                    <a:stretch>
                      <a:fillRect/>
                    </a:stretch>
                  </pic:blipFill>
                  <pic:spPr>
                    <a:xfrm>
                      <a:off x="0" y="0"/>
                      <a:ext cx="4572000" cy="4432300"/>
                    </a:xfrm>
                    <a:prstGeom prst="rect">
                      <a:avLst/>
                    </a:prstGeom>
                  </pic:spPr>
                </pic:pic>
              </a:graphicData>
            </a:graphic>
          </wp:inline>
        </w:drawing>
      </w:r>
    </w:p>
    <w:p w14:paraId="18E207CB" w14:textId="640AADAF" w:rsidR="008B04B8" w:rsidRDefault="008B04B8" w:rsidP="008B04B8">
      <w:pPr>
        <w:spacing w:after="120" w:line="360" w:lineRule="auto"/>
      </w:pPr>
      <w:r>
        <w:rPr>
          <w:b/>
          <w:bCs/>
        </w:rPr>
        <w:t>F</w:t>
      </w:r>
      <w:r w:rsidRPr="00F133FB">
        <w:rPr>
          <w:b/>
          <w:bCs/>
        </w:rPr>
        <w:t xml:space="preserve">igure </w:t>
      </w:r>
      <w:r>
        <w:rPr>
          <w:b/>
          <w:bCs/>
        </w:rPr>
        <w:t>S8</w:t>
      </w:r>
      <w:r w:rsidRPr="00F133FB">
        <w:rPr>
          <w:b/>
          <w:bCs/>
        </w:rPr>
        <w:t xml:space="preserve">. </w:t>
      </w:r>
      <w:r w:rsidRPr="00153123">
        <w:rPr>
          <w:b/>
          <w:bCs/>
          <w:i/>
          <w:iCs/>
        </w:rPr>
        <w:t>TR</w:t>
      </w:r>
      <w:r>
        <w:rPr>
          <w:b/>
          <w:bCs/>
          <w:i/>
          <w:iCs/>
        </w:rPr>
        <w:t>B</w:t>
      </w:r>
      <w:r>
        <w:rPr>
          <w:b/>
          <w:bCs/>
        </w:rPr>
        <w:t xml:space="preserve"> junctions from cross-reactive TCRs in the </w:t>
      </w:r>
      <w:r w:rsidRPr="00153123">
        <w:rPr>
          <w:b/>
          <w:bCs/>
          <w:i/>
          <w:iCs/>
        </w:rPr>
        <w:t>VDJdb</w:t>
      </w:r>
      <w:r>
        <w:rPr>
          <w:b/>
          <w:bCs/>
        </w:rPr>
        <w:t xml:space="preserve"> database were not shorter and did not encode more hydrophobic peptide sequences than junctions from single specificity TCRs</w:t>
      </w:r>
      <w:r w:rsidRPr="00F133FB">
        <w:rPr>
          <w:b/>
          <w:bCs/>
        </w:rPr>
        <w:t>.</w:t>
      </w:r>
      <w:r>
        <w:t xml:space="preserve"> A) Density of </w:t>
      </w:r>
      <w:r w:rsidRPr="00EB6D98">
        <w:rPr>
          <w:i/>
          <w:iCs/>
        </w:rPr>
        <w:t>TRB</w:t>
      </w:r>
      <w:r>
        <w:t xml:space="preserve"> chains from TCRs with one versus multiple specificities in </w:t>
      </w:r>
      <w:r w:rsidRPr="00153123">
        <w:rPr>
          <w:i/>
          <w:iCs/>
        </w:rPr>
        <w:t>VDJdb</w:t>
      </w:r>
      <w:r>
        <w:t xml:space="preserve">. There were N = </w:t>
      </w:r>
      <w:r w:rsidRPr="008B04B8">
        <w:t>19</w:t>
      </w:r>
      <w:r>
        <w:t>,</w:t>
      </w:r>
      <w:r w:rsidRPr="008B04B8">
        <w:t>508</w:t>
      </w:r>
      <w:r w:rsidRPr="008B04B8" w:rsidDel="008B04B8">
        <w:t xml:space="preserve"> </w:t>
      </w:r>
      <w:r>
        <w:t xml:space="preserve">unique </w:t>
      </w:r>
      <w:r w:rsidRPr="00436FFF">
        <w:rPr>
          <w:i/>
          <w:iCs/>
        </w:rPr>
        <w:t>TR</w:t>
      </w:r>
      <w:r>
        <w:rPr>
          <w:i/>
          <w:iCs/>
        </w:rPr>
        <w:t>B</w:t>
      </w:r>
      <w:r>
        <w:t xml:space="preserve"> chains from TCRs with single specificity and N = 1,292 with multiple specificities. B) Distribution of </w:t>
      </w:r>
      <w:r w:rsidRPr="00153123">
        <w:rPr>
          <w:i/>
          <w:iCs/>
        </w:rPr>
        <w:t>TR</w:t>
      </w:r>
      <w:r>
        <w:rPr>
          <w:i/>
          <w:iCs/>
        </w:rPr>
        <w:t xml:space="preserve">B </w:t>
      </w:r>
      <w:r>
        <w:t xml:space="preserve">CDR3 </w:t>
      </w:r>
      <w:proofErr w:type="spellStart"/>
      <w:r>
        <w:t>nt</w:t>
      </w:r>
      <w:proofErr w:type="spellEnd"/>
      <w:r>
        <w:t xml:space="preserve"> lengths from TCRs with one versus multiple specificities; C) Distribution of </w:t>
      </w:r>
      <w:r>
        <w:rPr>
          <w:i/>
          <w:iCs/>
        </w:rPr>
        <w:t xml:space="preserve">TRB </w:t>
      </w:r>
      <w:r w:rsidRPr="00436FFF">
        <w:t>N region</w:t>
      </w:r>
      <w:r>
        <w:t xml:space="preserve"> </w:t>
      </w:r>
      <w:proofErr w:type="spellStart"/>
      <w:r>
        <w:t>nt</w:t>
      </w:r>
      <w:proofErr w:type="spellEnd"/>
      <w:r>
        <w:t xml:space="preserve"> lengths. D) Distribution of </w:t>
      </w:r>
      <w:r>
        <w:rPr>
          <w:i/>
          <w:iCs/>
        </w:rPr>
        <w:t xml:space="preserve">TRB </w:t>
      </w:r>
      <w:r>
        <w:t xml:space="preserve">junction AA hydrophobicity. Solid vertical lines, median values from TCRs with multiple specificities; Dashed vertical lines, median values in </w:t>
      </w:r>
      <w:r w:rsidRPr="00436FFF">
        <w:rPr>
          <w:i/>
          <w:iCs/>
        </w:rPr>
        <w:t>TR</w:t>
      </w:r>
      <w:r>
        <w:rPr>
          <w:i/>
          <w:iCs/>
        </w:rPr>
        <w:t>B</w:t>
      </w:r>
      <w:r>
        <w:t xml:space="preserve"> regions from TCRs with single reported specificities.</w:t>
      </w:r>
      <w:r w:rsidRPr="003F7639">
        <w:t xml:space="preserve"> Significance of differences in </w:t>
      </w:r>
      <w:r>
        <w:t xml:space="preserve">distributions were </w:t>
      </w:r>
      <w:r w:rsidRPr="003F7639">
        <w:t xml:space="preserve">assessed </w:t>
      </w:r>
      <w:r>
        <w:t xml:space="preserve">using </w:t>
      </w:r>
      <w:r w:rsidRPr="00153123">
        <w:t>Kolmogorov-Smirnov test</w:t>
      </w:r>
      <w:r>
        <w:t>s</w:t>
      </w:r>
      <w:r w:rsidRPr="003F7639">
        <w:t>.</w:t>
      </w:r>
      <w:r>
        <w:t xml:space="preserve"> NS, not significant.</w:t>
      </w:r>
    </w:p>
    <w:p w14:paraId="3D50574A" w14:textId="0176DF42" w:rsidR="00FF7767" w:rsidRDefault="00A00DE2" w:rsidP="00FF7767">
      <w:pPr>
        <w:spacing w:after="120" w:line="360" w:lineRule="auto"/>
      </w:pPr>
      <w:r>
        <w:br w:type="column"/>
      </w:r>
      <w:r w:rsidRPr="003774E2">
        <w:rPr>
          <w:noProof/>
        </w:rPr>
        <w:lastRenderedPageBreak/>
        <w:drawing>
          <wp:anchor distT="0" distB="0" distL="114300" distR="114300" simplePos="0" relativeHeight="251659264" behindDoc="0" locked="0" layoutInCell="1" allowOverlap="1" wp14:anchorId="485F98CE" wp14:editId="1675E8A9">
            <wp:simplePos x="0" y="0"/>
            <wp:positionH relativeFrom="column">
              <wp:posOffset>0</wp:posOffset>
            </wp:positionH>
            <wp:positionV relativeFrom="paragraph">
              <wp:posOffset>351790</wp:posOffset>
            </wp:positionV>
            <wp:extent cx="5943600" cy="2901950"/>
            <wp:effectExtent l="0" t="0" r="0" b="0"/>
            <wp:wrapTopAndBottom/>
            <wp:docPr id="2078554849" name="Picture 1" descr="A diagram of different cell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8554849" name="Picture 1" descr="A diagram of different cells&#10;&#10;Description automatically generated with medium confidence"/>
                    <pic:cNvPicPr/>
                  </pic:nvPicPr>
                  <pic:blipFill rotWithShape="1">
                    <a:blip r:embed="rId14">
                      <a:extLst>
                        <a:ext uri="{28A0092B-C50C-407E-A947-70E740481C1C}">
                          <a14:useLocalDpi xmlns:a14="http://schemas.microsoft.com/office/drawing/2010/main" val="0"/>
                        </a:ext>
                      </a:extLst>
                    </a:blip>
                    <a:srcRect/>
                    <a:stretch/>
                  </pic:blipFill>
                  <pic:spPr bwMode="auto">
                    <a:xfrm>
                      <a:off x="0" y="0"/>
                      <a:ext cx="5943600" cy="2901950"/>
                    </a:xfrm>
                    <a:prstGeom prst="rect">
                      <a:avLst/>
                    </a:prstGeom>
                    <a:ln>
                      <a:noFill/>
                    </a:ln>
                    <a:extLst>
                      <a:ext uri="{53640926-AAD7-44D8-BBD7-CCE9431645EC}">
                        <a14:shadowObscured xmlns:a14="http://schemas.microsoft.com/office/drawing/2010/main"/>
                      </a:ext>
                    </a:extLst>
                  </pic:spPr>
                </pic:pic>
              </a:graphicData>
            </a:graphic>
          </wp:anchor>
        </w:drawing>
      </w:r>
    </w:p>
    <w:p w14:paraId="4FC0596C" w14:textId="77777777" w:rsidR="00A00DE2" w:rsidRDefault="00A00DE2" w:rsidP="00A00DE2">
      <w:pPr>
        <w:jc w:val="both"/>
      </w:pPr>
      <w:r w:rsidRPr="003774E2">
        <w:rPr>
          <w:b/>
          <w:bCs/>
        </w:rPr>
        <w:t>Figure S9. Gating strategy for flow cytometry identification of IAR CD4 T cells for singly cell sorting from sample CL529380.</w:t>
      </w:r>
      <w:r>
        <w:t xml:space="preserve"> PBMC were stimulated with DMSO (vehicle), foreign antigen (CEFX, positive control), or a pool of class II optimized peptides from islet proteins after overnight culture. Activated cells were identified as CD154+CD69+.</w:t>
      </w:r>
    </w:p>
    <w:p w14:paraId="20FC0DD0" w14:textId="77777777" w:rsidR="00A00DE2" w:rsidRDefault="00A00DE2" w:rsidP="00FF7767"/>
    <w:p w14:paraId="3341A3BB" w14:textId="7DB19708" w:rsidR="00FF7767" w:rsidRDefault="00FF7767" w:rsidP="00FF7767">
      <w:r>
        <w:br w:type="column"/>
      </w:r>
    </w:p>
    <w:sectPr w:rsidR="00FF776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94500B" w14:textId="77777777" w:rsidR="007B6273" w:rsidRDefault="007B6273" w:rsidP="006D359A">
      <w:r>
        <w:separator/>
      </w:r>
    </w:p>
  </w:endnote>
  <w:endnote w:type="continuationSeparator" w:id="0">
    <w:p w14:paraId="2FABAEFD" w14:textId="77777777" w:rsidR="007B6273" w:rsidRDefault="007B6273" w:rsidP="006D35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32918D" w14:textId="77777777" w:rsidR="007B6273" w:rsidRDefault="007B6273" w:rsidP="006D359A">
      <w:r>
        <w:separator/>
      </w:r>
    </w:p>
  </w:footnote>
  <w:footnote w:type="continuationSeparator" w:id="0">
    <w:p w14:paraId="5E508C28" w14:textId="77777777" w:rsidR="007B6273" w:rsidRDefault="007B6273" w:rsidP="006D35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69"/>
  <w:doNotDisplayPageBoundaries/>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7767"/>
    <w:rsid w:val="0000526C"/>
    <w:rsid w:val="00064AE4"/>
    <w:rsid w:val="00066900"/>
    <w:rsid w:val="000F44F3"/>
    <w:rsid w:val="00101193"/>
    <w:rsid w:val="001B785E"/>
    <w:rsid w:val="002B3026"/>
    <w:rsid w:val="002E699E"/>
    <w:rsid w:val="003066ED"/>
    <w:rsid w:val="00327E42"/>
    <w:rsid w:val="00384809"/>
    <w:rsid w:val="004315AD"/>
    <w:rsid w:val="0055534F"/>
    <w:rsid w:val="00590788"/>
    <w:rsid w:val="005B1EFC"/>
    <w:rsid w:val="005C1581"/>
    <w:rsid w:val="005C283E"/>
    <w:rsid w:val="00613481"/>
    <w:rsid w:val="00643282"/>
    <w:rsid w:val="00690B38"/>
    <w:rsid w:val="006D359A"/>
    <w:rsid w:val="00790248"/>
    <w:rsid w:val="007B6273"/>
    <w:rsid w:val="00853035"/>
    <w:rsid w:val="008B04B8"/>
    <w:rsid w:val="008B6A91"/>
    <w:rsid w:val="008C6C8D"/>
    <w:rsid w:val="00985A84"/>
    <w:rsid w:val="00A00DE2"/>
    <w:rsid w:val="00A47416"/>
    <w:rsid w:val="00AC15F8"/>
    <w:rsid w:val="00B90C0F"/>
    <w:rsid w:val="00C01E09"/>
    <w:rsid w:val="00C57FEC"/>
    <w:rsid w:val="00C72EEA"/>
    <w:rsid w:val="00CB1999"/>
    <w:rsid w:val="00D40049"/>
    <w:rsid w:val="00D95CF9"/>
    <w:rsid w:val="00DF562F"/>
    <w:rsid w:val="00E14636"/>
    <w:rsid w:val="00E50387"/>
    <w:rsid w:val="00E6162D"/>
    <w:rsid w:val="00EB6D98"/>
    <w:rsid w:val="00EE7E23"/>
    <w:rsid w:val="00FB78BC"/>
    <w:rsid w:val="00FC4CCF"/>
    <w:rsid w:val="00FF77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13CBD5"/>
  <w15:chartTrackingRefBased/>
  <w15:docId w15:val="{D65DFEF9-E389-DA44-B316-878E715F52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7767"/>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359A"/>
    <w:pPr>
      <w:tabs>
        <w:tab w:val="center" w:pos="4680"/>
        <w:tab w:val="right" w:pos="9360"/>
      </w:tabs>
    </w:pPr>
  </w:style>
  <w:style w:type="character" w:customStyle="1" w:styleId="HeaderChar">
    <w:name w:val="Header Char"/>
    <w:basedOn w:val="DefaultParagraphFont"/>
    <w:link w:val="Header"/>
    <w:uiPriority w:val="99"/>
    <w:rsid w:val="006D359A"/>
    <w:rPr>
      <w:kern w:val="0"/>
      <w14:ligatures w14:val="none"/>
    </w:rPr>
  </w:style>
  <w:style w:type="paragraph" w:styleId="Footer">
    <w:name w:val="footer"/>
    <w:basedOn w:val="Normal"/>
    <w:link w:val="FooterChar"/>
    <w:uiPriority w:val="99"/>
    <w:unhideWhenUsed/>
    <w:rsid w:val="006D359A"/>
    <w:pPr>
      <w:tabs>
        <w:tab w:val="center" w:pos="4680"/>
        <w:tab w:val="right" w:pos="9360"/>
      </w:tabs>
    </w:pPr>
  </w:style>
  <w:style w:type="character" w:customStyle="1" w:styleId="FooterChar">
    <w:name w:val="Footer Char"/>
    <w:basedOn w:val="DefaultParagraphFont"/>
    <w:link w:val="Footer"/>
    <w:uiPriority w:val="99"/>
    <w:rsid w:val="006D359A"/>
    <w:rPr>
      <w:kern w:val="0"/>
      <w14:ligatures w14:val="none"/>
    </w:rPr>
  </w:style>
  <w:style w:type="paragraph" w:styleId="Revision">
    <w:name w:val="Revision"/>
    <w:hidden/>
    <w:uiPriority w:val="99"/>
    <w:semiHidden/>
    <w:rsid w:val="00064AE4"/>
    <w:rPr>
      <w:kern w:val="0"/>
      <w14:ligatures w14:val="none"/>
    </w:rPr>
  </w:style>
  <w:style w:type="character" w:styleId="CommentReference">
    <w:name w:val="annotation reference"/>
    <w:basedOn w:val="DefaultParagraphFont"/>
    <w:uiPriority w:val="99"/>
    <w:semiHidden/>
    <w:unhideWhenUsed/>
    <w:rsid w:val="00EE7E23"/>
    <w:rPr>
      <w:sz w:val="16"/>
      <w:szCs w:val="16"/>
    </w:rPr>
  </w:style>
  <w:style w:type="paragraph" w:styleId="CommentText">
    <w:name w:val="annotation text"/>
    <w:basedOn w:val="Normal"/>
    <w:link w:val="CommentTextChar"/>
    <w:uiPriority w:val="99"/>
    <w:unhideWhenUsed/>
    <w:rsid w:val="00EE7E23"/>
    <w:rPr>
      <w:sz w:val="20"/>
      <w:szCs w:val="20"/>
    </w:rPr>
  </w:style>
  <w:style w:type="character" w:customStyle="1" w:styleId="CommentTextChar">
    <w:name w:val="Comment Text Char"/>
    <w:basedOn w:val="DefaultParagraphFont"/>
    <w:link w:val="CommentText"/>
    <w:uiPriority w:val="99"/>
    <w:rsid w:val="00EE7E23"/>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EE7E23"/>
    <w:rPr>
      <w:b/>
      <w:bCs/>
    </w:rPr>
  </w:style>
  <w:style w:type="character" w:customStyle="1" w:styleId="CommentSubjectChar">
    <w:name w:val="Comment Subject Char"/>
    <w:basedOn w:val="CommentTextChar"/>
    <w:link w:val="CommentSubject"/>
    <w:uiPriority w:val="99"/>
    <w:semiHidden/>
    <w:rsid w:val="00EE7E23"/>
    <w:rPr>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Relationship Id="rId13" Type="http://schemas.openxmlformats.org/officeDocument/2006/relationships/image" Target="media/image8.tif"/><Relationship Id="rId3" Type="http://schemas.openxmlformats.org/officeDocument/2006/relationships/webSettings" Target="webSettings.xml"/><Relationship Id="rId7" Type="http://schemas.openxmlformats.org/officeDocument/2006/relationships/image" Target="media/image2.tif"/><Relationship Id="rId12" Type="http://schemas.openxmlformats.org/officeDocument/2006/relationships/image" Target="media/image7.tif"/><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tif"/><Relationship Id="rId11" Type="http://schemas.openxmlformats.org/officeDocument/2006/relationships/image" Target="media/image6.tif"/><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tif"/><Relationship Id="rId4" Type="http://schemas.openxmlformats.org/officeDocument/2006/relationships/footnotes" Target="footnotes.xml"/><Relationship Id="rId9" Type="http://schemas.openxmlformats.org/officeDocument/2006/relationships/image" Target="media/image4.tif"/><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12</Pages>
  <Words>2099</Words>
  <Characters>11970</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Linsley</dc:creator>
  <cp:keywords/>
  <dc:description/>
  <cp:lastModifiedBy>Peter Linsley</cp:lastModifiedBy>
  <cp:revision>5</cp:revision>
  <dcterms:created xsi:type="dcterms:W3CDTF">2023-10-13T22:58:00Z</dcterms:created>
  <dcterms:modified xsi:type="dcterms:W3CDTF">2023-10-14T22:15:00Z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zotero-version="6.0.28"&gt;&lt;session id="mjaBeuoy"/&gt;&lt;style id="http://www.zotero.org/styles/national-library-of-medicine-grant-proposals" hasBibliography="1" bibliographyStyleHasBeenSet="0"/&gt;&lt;prefs&gt;&lt;pref name="fieldType" value="Field"/&gt;</vt:lpwstr>
  </property>
  <property fmtid="{D5CDD505-2E9C-101B-9397-08002B2CF9AE}" pid="3" name="ZOTERO_PREF_2">
    <vt:lpwstr>&lt;/prefs&gt;&lt;/data&gt;</vt:lpwstr>
  </property>
</Properties>
</file>