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27"/>
        </w:tabs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t>Supp</w:t>
      </w:r>
      <w:r>
        <w:rPr>
          <w:rFonts w:hint="eastAsia" w:ascii="Times New Roman" w:hAnsi="Times New Roman" w:cs="Times New Roman"/>
          <w:b/>
          <w:bCs/>
          <w:sz w:val="32"/>
          <w:szCs w:val="36"/>
        </w:rPr>
        <w:t>orting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 Information</w:t>
      </w:r>
      <w:bookmarkStart w:id="5" w:name="_GoBack"/>
      <w:bookmarkEnd w:id="5"/>
    </w:p>
    <w:p>
      <w:pPr>
        <w:rPr>
          <w:rFonts w:ascii="Times New Roman" w:hAnsi="Times New Roman" w:cs="Times New Roman"/>
          <w:sz w:val="24"/>
          <w:szCs w:val="28"/>
        </w:rPr>
      </w:pPr>
      <w:bookmarkStart w:id="0" w:name="_Hlk123565185"/>
      <w:r>
        <w:rPr>
          <w:rFonts w:ascii="Times New Roman" w:hAnsi="Times New Roman" w:cs="Times New Roman"/>
          <w:b/>
          <w:bCs/>
          <w:sz w:val="24"/>
          <w:szCs w:val="28"/>
        </w:rPr>
        <w:t>Table S.1</w:t>
      </w:r>
      <w:r>
        <w:rPr>
          <w:rFonts w:ascii="Times New Roman" w:hAnsi="Times New Roman" w:cs="Times New Roman"/>
          <w:sz w:val="24"/>
          <w:szCs w:val="28"/>
        </w:rPr>
        <w:t xml:space="preserve"> Mean intensity values of the ten attributes of the Citrus Pu-erh tea samples during sensory evaluation</w:t>
      </w:r>
    </w:p>
    <w:bookmarkEnd w:id="0"/>
    <w:p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4"/>
        <w:tblW w:w="145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410"/>
        <w:gridCol w:w="1410"/>
        <w:gridCol w:w="1410"/>
        <w:gridCol w:w="1308"/>
        <w:gridCol w:w="1308"/>
        <w:gridCol w:w="1410"/>
        <w:gridCol w:w="1410"/>
        <w:gridCol w:w="1410"/>
        <w:gridCol w:w="1308"/>
        <w:gridCol w:w="13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sweet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minty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phenolic</w:t>
            </w:r>
          </w:p>
        </w:tc>
        <w:tc>
          <w:tcPr>
            <w:tcW w:w="12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roasted</w:t>
            </w:r>
          </w:p>
        </w:tc>
        <w:tc>
          <w:tcPr>
            <w:tcW w:w="12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fatty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woody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musty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floral</w:t>
            </w:r>
          </w:p>
        </w:tc>
        <w:tc>
          <w:tcPr>
            <w:tcW w:w="12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herbal</w:t>
            </w:r>
          </w:p>
        </w:tc>
        <w:tc>
          <w:tcPr>
            <w:tcW w:w="12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fruity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1.75±0.50c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1.75±0.25c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5.25±0.25c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7.25±1.00a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4.25±0.50b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1.75±0.25c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8.00±1.00a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1.75±0.25c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7.25±0.25a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2.75±0.00b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3.75±0.25a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3.75±0.00b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6.00±1.00b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3.50±0.50c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3.50±0.25c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3.00±0.25a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5.75±1.00b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7.00±0.50a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5.00±0.00b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3.25±0.25a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3.25±0.00b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4.75±0.50a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7.75±1.00a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5.50±0.50b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6.00±0.50a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2.50±0.00b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5.75±0.50b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2.25±0.25b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4.25±0.25c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2.25±0.25c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</w:rPr>
        <w:t>Mean scores of each attribute</w:t>
      </w:r>
      <w:r>
        <w:rPr>
          <w:rFonts w:hint="eastAsia"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Standard Deviation (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D); the different letters in the same column denote that the values were significantly different by use of the Duncan's multiple range test (n =30; 10 panelists with 3 replications). Levels of significance: *, significant (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≤ 0.05); **, highly significant (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≤ 0.01); ***, very highly significant (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≤ 0.001).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>
      <w:pPr>
        <w:jc w:val="left"/>
        <w:rPr>
          <w:rFonts w:ascii="Times New Roman" w:hAnsi="Times New Roman" w:cs="Times New Roman"/>
          <w:sz w:val="24"/>
          <w:szCs w:val="28"/>
        </w:rPr>
      </w:pPr>
      <w:bookmarkStart w:id="1" w:name="_Hlk123565173"/>
      <w:r>
        <w:rPr>
          <w:rFonts w:ascii="Times New Roman" w:hAnsi="Times New Roman" w:cs="Times New Roman"/>
          <w:b/>
          <w:bCs/>
          <w:sz w:val="24"/>
          <w:szCs w:val="28"/>
        </w:rPr>
        <w:t>Table S.2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Mean intensity values of the taste of the Citrus Pu-erh tea samples using </w:t>
      </w:r>
      <w:r>
        <w:rPr>
          <w:rFonts w:hint="eastAsia" w:ascii="Times New Roman" w:hAnsi="Times New Roman" w:cs="Times New Roman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>lectronic tongue</w:t>
      </w:r>
    </w:p>
    <w:bookmarkEnd w:id="1"/>
    <w:p>
      <w:pPr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4"/>
        <w:tblW w:w="14650" w:type="dxa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520"/>
        <w:gridCol w:w="1450"/>
        <w:gridCol w:w="1520"/>
        <w:gridCol w:w="1520"/>
        <w:gridCol w:w="1520"/>
        <w:gridCol w:w="1520"/>
        <w:gridCol w:w="1520"/>
        <w:gridCol w:w="1520"/>
        <w:gridCol w:w="152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Sample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Sourness</w:t>
            </w:r>
          </w:p>
        </w:tc>
        <w:tc>
          <w:tcPr>
            <w:tcW w:w="145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Bitterness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Astringency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Aftertaste-B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Aftertaste-A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Umami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Richness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Saltiness</w:t>
            </w:r>
          </w:p>
        </w:tc>
        <w:tc>
          <w:tcPr>
            <w:tcW w:w="15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Sweetness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IT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-33.59±0.11c</w:t>
            </w:r>
          </w:p>
        </w:tc>
        <w:tc>
          <w:tcPr>
            <w:tcW w:w="145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15.61±0.24a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2.11±0.06a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4.99±0.14a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2.87±0.10a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15.43±0.03a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-0.72±0.45a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-1.78±0.14a</w:t>
            </w:r>
          </w:p>
        </w:tc>
        <w:tc>
          <w:tcPr>
            <w:tcW w:w="15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8.39±0.07c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OF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-23.15±0.02a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8.88±0.21c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-1.69±0.11c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2.15±0.03c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1.41±0.10c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8.96±0.07c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-2.28±0.08c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-3.80±0.06c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11.54±0.01b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CP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-29.44±0.26b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13.48±0.04b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-0.08±0.12b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3.18±0.30b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1.71±0.29b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12.48±0.12b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-1.35±0.70b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-3.44±0.05b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13.29±0.03a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45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520" w:type="dxa"/>
            <w:tcBorders>
              <w:top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</w:tr>
    </w:tbl>
    <w:p>
      <w:pPr>
        <w:jc w:val="left"/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sz w:val="32"/>
          <w:szCs w:val="36"/>
        </w:rPr>
      </w:pPr>
      <w:bookmarkStart w:id="2" w:name="OLE_LINK8"/>
      <w:bookmarkStart w:id="3" w:name="_Hlk123565164"/>
      <w:r>
        <w:rPr>
          <w:rFonts w:ascii="Times New Roman" w:hAnsi="Times New Roman" w:cs="Times New Roman"/>
          <w:b/>
          <w:bCs/>
          <w:sz w:val="28"/>
          <w:szCs w:val="32"/>
        </w:rPr>
        <w:t>Table S.</w:t>
      </w:r>
      <w:bookmarkEnd w:id="2"/>
      <w:r>
        <w:rPr>
          <w:rFonts w:ascii="Times New Roman" w:hAnsi="Times New Roman" w:cs="Times New Roman"/>
          <w:b/>
          <w:bCs/>
          <w:sz w:val="28"/>
          <w:szCs w:val="32"/>
        </w:rPr>
        <w:t>3</w:t>
      </w:r>
      <w:r>
        <w:rPr>
          <w:rFonts w:ascii="Times New Roman" w:hAnsi="Times New Roman" w:cs="Times New Roman"/>
          <w:sz w:val="28"/>
          <w:szCs w:val="32"/>
        </w:rPr>
        <w:t xml:space="preserve"> Standard curves of aroma-active compounds</w:t>
      </w:r>
      <w:r>
        <w:t xml:space="preserve"> </w:t>
      </w:r>
      <w:r>
        <w:rPr>
          <w:rFonts w:ascii="Times New Roman" w:hAnsi="Times New Roman" w:cs="Times New Roman"/>
          <w:sz w:val="28"/>
          <w:szCs w:val="32"/>
        </w:rPr>
        <w:t>of Citrus Pu-erh tea samples</w:t>
      </w:r>
    </w:p>
    <w:bookmarkEnd w:id="3"/>
    <w:tbl>
      <w:tblPr>
        <w:tblStyle w:val="4"/>
        <w:tblW w:w="100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423"/>
        <w:gridCol w:w="2629"/>
        <w:gridCol w:w="2300"/>
        <w:gridCol w:w="1360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14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CAS</w:t>
            </w:r>
          </w:p>
        </w:tc>
        <w:tc>
          <w:tcPr>
            <w:tcW w:w="24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Compounds</w:t>
            </w:r>
          </w:p>
        </w:tc>
        <w:tc>
          <w:tcPr>
            <w:tcW w:w="230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Standard curve</w:t>
            </w:r>
          </w:p>
        </w:tc>
        <w:tc>
          <w:tcPr>
            <w:tcW w:w="13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54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linearity range(mg/kg)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42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000100-42-5</w:t>
            </w:r>
          </w:p>
        </w:tc>
        <w:tc>
          <w:tcPr>
            <w:tcW w:w="244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styrene</w:t>
            </w:r>
          </w:p>
        </w:tc>
        <w:tc>
          <w:tcPr>
            <w:tcW w:w="23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y=0.22348x+0.01165</w:t>
            </w:r>
          </w:p>
        </w:tc>
        <w:tc>
          <w:tcPr>
            <w:tcW w:w="13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0.98036</w:t>
            </w:r>
          </w:p>
        </w:tc>
        <w:tc>
          <w:tcPr>
            <w:tcW w:w="15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0.23-70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000127-91-3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β-pinene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y=0.56536x-0.00097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0.99823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0.07-20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005989-27-5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(+)-limonene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y=0.12665x+0.09923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0.97571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1.73-520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000099-85-4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γ-terpinene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y=0.48590x+0.04282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0.96443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0.27-80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000099-87-6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p-cymene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y=0.92051x-0.56505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0.95953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1.00-300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001195-32-0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2,4-dimethyl styrene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y=0.34307x-0.03798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0.96226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0.30-90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000108-95-2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phenol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y=0.35414x+0.06385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0.98721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1.00-300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000095-48-7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o-cresol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y=1.91112x+0.17524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0.99181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0.33-100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000106-44-5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p-cresol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y=0.83092x-0.26061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0.99466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1.67-500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000499-75-2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carvacrol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y=0.23821x-2.08179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0.98654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10.00-3000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000089-83-8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thymol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y=0.50742x-2.19827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0.99262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6.67-2000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000096-76-4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2,4-di-tert-butylphenol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y=0.18373x+0.09253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0.98812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6.67-2000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000556-82-1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prenol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y=0.98862x+0.02174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0.99642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0.17-50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000078-70-6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linalool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y=0.32526x+0.01884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0.99809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0.83-250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000098-55-5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α-terpineol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y=0.10647x+0.14971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0.99733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4.00-1200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001197-06-4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Z-carveol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y=0.05040x+0.09049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0.99137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5.33-1600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001197-01-9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p-cymenol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y=0.07026x+0.11304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0.98783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4.00-1200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000099-48-9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(-)-carveol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y=0.48570x+0.30433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0.97312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1.67-500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001946-00-5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limonene glycol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y=0.40447x-0.07032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0.97945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3.33-1000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000536-59-4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perillalcohol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y=0.62841x-0.08125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0.99112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1.67-500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000100-51-6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benzyl alcohol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y=0.36041x+0.02686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0.99136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0.33-100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000104-76-7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2-ethylhexanol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y=0.04813x-0.11803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0.98795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2.53-760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000562-74-3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terpinen-4-ol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y=0.22139x+0.17776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0.98897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2.00-600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000547-61-5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(-)-pinocarveol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y=0.33318x+0.02654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0.98667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0.67-200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000060-12-8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phenylethyl alcohol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y=0.32851x-1.01252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0.98737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0.83-250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007212-40-0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(E)-p-mentha-2,8-dien-1-ol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y=0.23476x-0.94143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0.99653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11.67-3500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000121-33-5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vanillin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y=0.87741x-0.00163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0.99875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3.33-1000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000124-19-6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nonanal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y=0.11981x+0.00261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0.98196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0.13-40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000112-31-2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decanal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y=0.80746x-0.15831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0.98211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0.43-130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000106-23-0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citronellal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y=0.08034x+0.01638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0.98435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0.33-100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000100-52-7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benzaldehyde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y=0.13697x-0.05785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0.98764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0.67-200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002111-75-3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perillaldehyde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y=0.24627x+0.03108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0.99173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0.67-200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001003-29-8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2-pyrrolaldehyde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y=0.76228x+0.07396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0.98719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1.67-500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005948-04-9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dihydrocarvone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y=0.91131x-0.43449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0.98822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0.67-200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000079-77-6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β-ionone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y=1.24536x-0.05956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0.98451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0.17-50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000089-81-6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piperitone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y=0.73964x-0.16741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0.99097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0.33-100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002244-16-8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(+)-carvone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y=0.06040x+0.10349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0.98383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3.33-1000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000119-61-9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benzophenone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y=0.65224x-0.78890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0.98923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4.00-1200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E6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000100-06-1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4-methoxyacetophenone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y=0.90263x-0.43739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0.98711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0.83-250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000085-91-6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methyl methanthranilate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y=0.17187x+0.49718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0.99464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20.00-6000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000134-20-3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methyl anthranilate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y=0.20321x+0.08462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0.99553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2.00-600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000124-07-2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octanoic acid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y=0.47220x+0.08301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0.99842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1.00-300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000143-07-7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lauric acid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y=0.54627x-0.07653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0.99835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2.23-700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000057-10-3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palmitic acid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y=0.67172x-0.48379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0.98984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10.00-3000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000067-71-0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dimethyl sulfone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y=0.06717x-0.46392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0.99971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2.33-700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H2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005910-89-4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2,3-dimethyl pyrazine      </w:t>
            </w: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y=0.85428X-0.11594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0.96799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0.20-60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H3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000091-16-7</w:t>
            </w:r>
          </w:p>
        </w:tc>
        <w:tc>
          <w:tcPr>
            <w:tcW w:w="24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1,2-dimethoxybenzene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y=0.02651x+0.14426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0.98562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2.33-700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9"/>
        <w:shd w:val="clear" w:color="auto" w:fill="FFFFFF"/>
        <w:spacing w:before="0" w:beforeAutospacing="0" w:after="30" w:afterAutospacing="0" w:line="315" w:lineRule="atLeast"/>
        <w:jc w:val="center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bookmarkStart w:id="4" w:name="_Hlk123565205"/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Fig. S1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bookmarkEnd w:id="4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Results of multivariate statistical analysis of untargeted metabolomics</w:t>
      </w:r>
    </w:p>
    <w:p>
      <w:pPr>
        <w:jc w:val="left"/>
        <w:rPr>
          <w:rStyle w:val="8"/>
          <w:rFonts w:ascii="Times New Roman" w:hAnsi="Times New Roman" w:cs="Times New Roman"/>
          <w:b w:val="0"/>
          <w:bCs w:val="0"/>
        </w:rPr>
      </w:pPr>
      <w:r>
        <w:drawing>
          <wp:inline distT="0" distB="0" distL="0" distR="0">
            <wp:extent cx="8863330" cy="2914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9C"/>
    <w:rsid w:val="00031BC5"/>
    <w:rsid w:val="0011469C"/>
    <w:rsid w:val="001E5E0C"/>
    <w:rsid w:val="002B7C1F"/>
    <w:rsid w:val="00343ACE"/>
    <w:rsid w:val="003A6666"/>
    <w:rsid w:val="00B33ACB"/>
    <w:rsid w:val="4003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style01"/>
    <w:basedOn w:val="5"/>
    <w:qFormat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paragraph" w:customStyle="1" w:styleId="9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524</Words>
  <Characters>4275</Characters>
  <Lines>34</Lines>
  <Paragraphs>9</Paragraphs>
  <TotalTime>2</TotalTime>
  <ScaleCrop>false</ScaleCrop>
  <LinksUpToDate>false</LinksUpToDate>
  <CharactersWithSpaces>4405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2023-01-10T02:22:00Z</dcterms:created>
  <dc:creator>sun Jiaqing</dc:creator>
  <cp:lastModifiedBy>cc</cp:lastModifiedBy>
  <dcterms:modified xsi:type="dcterms:W3CDTF">2023-10-14T10:17:14Z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6BBFB15266AF4B92AEA9F2C295213595</vt:lpwstr>
  </property>
</Properties>
</file>