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9B839" w14:textId="3258C85F" w:rsidR="00C04D1B" w:rsidRPr="00320889" w:rsidRDefault="00FB49BE" w:rsidP="00C04D1B">
      <w:pPr>
        <w:rPr>
          <w:rFonts w:ascii="Cambria" w:hAnsi="Cambria"/>
          <w:sz w:val="20"/>
          <w:szCs w:val="20"/>
        </w:rPr>
      </w:pPr>
      <w:r w:rsidRPr="00FB49BE">
        <w:rPr>
          <w:rFonts w:ascii="Cambria" w:hAnsi="Cambria"/>
          <w:sz w:val="20"/>
          <w:szCs w:val="20"/>
        </w:rPr>
        <w:fldChar w:fldCharType="begin"/>
      </w:r>
      <w:r w:rsidRPr="00FB49BE">
        <w:rPr>
          <w:rFonts w:ascii="Cambria" w:hAnsi="Cambria"/>
          <w:sz w:val="20"/>
          <w:szCs w:val="20"/>
        </w:rPr>
        <w:instrText xml:space="preserve"> REF _Ref125375905 \h </w:instrText>
      </w:r>
      <w:r w:rsidRPr="00FB49BE">
        <w:rPr>
          <w:rFonts w:ascii="Cambria" w:hAnsi="Cambria"/>
          <w:sz w:val="20"/>
          <w:szCs w:val="20"/>
        </w:rPr>
      </w:r>
      <w:r w:rsidRPr="00FB49BE">
        <w:rPr>
          <w:rFonts w:ascii="Cambria" w:hAnsi="Cambria"/>
          <w:sz w:val="20"/>
          <w:szCs w:val="20"/>
        </w:rPr>
        <w:instrText xml:space="preserve"> \* MERGEFORMAT </w:instrText>
      </w:r>
      <w:r w:rsidRPr="00FB49BE">
        <w:rPr>
          <w:rFonts w:ascii="Cambria" w:hAnsi="Cambria"/>
          <w:sz w:val="20"/>
          <w:szCs w:val="20"/>
        </w:rPr>
        <w:fldChar w:fldCharType="separate"/>
      </w:r>
      <w:r w:rsidRPr="00FB49BE">
        <w:rPr>
          <w:rFonts w:ascii="Cambria" w:hAnsi="Cambria"/>
          <w:sz w:val="20"/>
          <w:szCs w:val="20"/>
        </w:rPr>
        <w:t xml:space="preserve">Table </w:t>
      </w:r>
      <w:r w:rsidRPr="00FB49BE">
        <w:rPr>
          <w:rFonts w:ascii="Cambria" w:hAnsi="Cambria"/>
          <w:noProof/>
          <w:sz w:val="20"/>
          <w:szCs w:val="20"/>
        </w:rPr>
        <w:t>1</w:t>
      </w:r>
      <w:r w:rsidRPr="00FB49BE">
        <w:rPr>
          <w:rFonts w:ascii="Cambria" w:hAnsi="Cambria"/>
          <w:sz w:val="20"/>
          <w:szCs w:val="20"/>
        </w:rPr>
        <w:fldChar w:fldCharType="end"/>
      </w:r>
      <w:r>
        <w:rPr>
          <w:rFonts w:ascii="Cambria" w:hAnsi="Cambria"/>
          <w:sz w:val="20"/>
          <w:szCs w:val="20"/>
        </w:rPr>
        <w:t xml:space="preserve"> </w:t>
      </w:r>
      <w:r w:rsidR="00C04D1B" w:rsidRPr="00320889">
        <w:rPr>
          <w:rFonts w:ascii="Cambria" w:hAnsi="Cambria"/>
          <w:sz w:val="20"/>
          <w:szCs w:val="20"/>
        </w:rPr>
        <w:t>shows the comparison between the original data and imputed data.</w:t>
      </w:r>
    </w:p>
    <w:p w14:paraId="560D2DDC" w14:textId="5DAAC893" w:rsidR="00C04D1B" w:rsidRPr="00320889" w:rsidRDefault="00FB49BE" w:rsidP="00FB49BE">
      <w:pPr>
        <w:pStyle w:val="Caption"/>
        <w:rPr>
          <w:rFonts w:ascii="Cambria" w:hAnsi="Cambria"/>
          <w:i w:val="0"/>
          <w:iCs w:val="0"/>
          <w:color w:val="auto"/>
          <w:sz w:val="20"/>
          <w:szCs w:val="20"/>
        </w:rPr>
      </w:pPr>
      <w:bookmarkStart w:id="0" w:name="_Ref125375905"/>
      <w:r w:rsidRPr="00FB49BE">
        <w:rPr>
          <w:rFonts w:ascii="Cambria" w:hAnsi="Cambria"/>
          <w:i w:val="0"/>
          <w:iCs w:val="0"/>
          <w:color w:val="auto"/>
          <w:sz w:val="20"/>
          <w:szCs w:val="20"/>
        </w:rPr>
        <w:t xml:space="preserve">Table </w:t>
      </w:r>
      <w:r w:rsidRPr="00FB49BE">
        <w:rPr>
          <w:rFonts w:ascii="Cambria" w:hAnsi="Cambria"/>
          <w:i w:val="0"/>
          <w:iCs w:val="0"/>
          <w:color w:val="auto"/>
          <w:sz w:val="20"/>
          <w:szCs w:val="20"/>
        </w:rPr>
        <w:fldChar w:fldCharType="begin"/>
      </w:r>
      <w:r w:rsidRPr="00FB49BE">
        <w:rPr>
          <w:rFonts w:ascii="Cambria" w:hAnsi="Cambria"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FB49BE">
        <w:rPr>
          <w:rFonts w:ascii="Cambria" w:hAnsi="Cambria"/>
          <w:i w:val="0"/>
          <w:iCs w:val="0"/>
          <w:color w:val="auto"/>
          <w:sz w:val="20"/>
          <w:szCs w:val="20"/>
        </w:rPr>
        <w:fldChar w:fldCharType="separate"/>
      </w:r>
      <w:r w:rsidRPr="00FB49BE">
        <w:rPr>
          <w:rFonts w:ascii="Cambria" w:hAnsi="Cambria"/>
          <w:i w:val="0"/>
          <w:iCs w:val="0"/>
          <w:noProof/>
          <w:color w:val="auto"/>
          <w:sz w:val="20"/>
          <w:szCs w:val="20"/>
        </w:rPr>
        <w:t>1</w:t>
      </w:r>
      <w:r w:rsidRPr="00FB49BE">
        <w:rPr>
          <w:rFonts w:ascii="Cambria" w:hAnsi="Cambria"/>
          <w:i w:val="0"/>
          <w:iCs w:val="0"/>
          <w:color w:val="auto"/>
          <w:sz w:val="20"/>
          <w:szCs w:val="20"/>
        </w:rPr>
        <w:fldChar w:fldCharType="end"/>
      </w:r>
      <w:bookmarkEnd w:id="0"/>
      <w:r w:rsidRPr="00320889">
        <w:rPr>
          <w:rFonts w:ascii="Cambria" w:hAnsi="Cambria"/>
          <w:i w:val="0"/>
          <w:iCs w:val="0"/>
          <w:color w:val="auto"/>
          <w:sz w:val="20"/>
          <w:szCs w:val="20"/>
        </w:rPr>
        <w:t>: comparison of original and imputed data</w:t>
      </w:r>
    </w:p>
    <w:tbl>
      <w:tblPr>
        <w:tblStyle w:val="Table"/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070"/>
        <w:gridCol w:w="1980"/>
        <w:gridCol w:w="1733"/>
        <w:gridCol w:w="1890"/>
      </w:tblGrid>
      <w:tr w:rsidR="00C04D1B" w:rsidRPr="00320889" w14:paraId="04F098F5" w14:textId="77777777" w:rsidTr="00D313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"/>
          <w:tblHeader/>
        </w:trPr>
        <w:tc>
          <w:tcPr>
            <w:tcW w:w="2070" w:type="dxa"/>
            <w:tcBorders>
              <w:bottom w:val="none" w:sz="0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531E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bookmarkStart w:id="1" w:name="_Hlk120274865"/>
            <w:r w:rsidRPr="00320889">
              <w:rPr>
                <w:rFonts w:ascii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1980" w:type="dxa"/>
            <w:tcBorders>
              <w:bottom w:val="none" w:sz="0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7603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b/>
                <w:sz w:val="20"/>
                <w:szCs w:val="20"/>
              </w:rPr>
              <w:t>Variable label</w:t>
            </w:r>
          </w:p>
        </w:tc>
        <w:tc>
          <w:tcPr>
            <w:tcW w:w="1733" w:type="dxa"/>
            <w:tcBorders>
              <w:bottom w:val="none" w:sz="0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3629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889">
              <w:rPr>
                <w:rFonts w:ascii="Arial" w:hAnsi="Arial" w:cs="Arial"/>
                <w:b/>
                <w:bCs/>
                <w:sz w:val="20"/>
                <w:szCs w:val="20"/>
              </w:rPr>
              <w:t>Original dataset</w:t>
            </w:r>
          </w:p>
        </w:tc>
        <w:tc>
          <w:tcPr>
            <w:tcW w:w="1890" w:type="dxa"/>
            <w:tcBorders>
              <w:bottom w:val="none" w:sz="0" w:space="0" w:color="auto"/>
            </w:tcBorders>
            <w:shd w:val="clear" w:color="auto" w:fill="FFFFFF"/>
            <w:vAlign w:val="center"/>
          </w:tcPr>
          <w:p w14:paraId="18DA2CA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Imputed dataset</w:t>
            </w:r>
          </w:p>
        </w:tc>
      </w:tr>
      <w:bookmarkEnd w:id="1"/>
      <w:tr w:rsidR="00C04D1B" w:rsidRPr="00320889" w14:paraId="3C59DF0E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893A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Corticosteroids type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4F3F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Hydrocortisone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0081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40 (23.81%)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494377DB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40 (23.81%)</w:t>
            </w:r>
          </w:p>
        </w:tc>
      </w:tr>
      <w:tr w:rsidR="00C04D1B" w:rsidRPr="00320889" w14:paraId="09F78C9B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EF56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937A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Dexamethasone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9B7B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128 (76.19%)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1799FFD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128 (76.19%)</w:t>
            </w:r>
          </w:p>
        </w:tc>
      </w:tr>
      <w:tr w:rsidR="00C04D1B" w:rsidRPr="00320889" w14:paraId="04AA5DDB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9D91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Ventilation status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95B4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Non-invasive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0C28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136 (82.93%)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3593DDA2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139 (82.74%)</w:t>
            </w:r>
          </w:p>
        </w:tc>
      </w:tr>
      <w:tr w:rsidR="00C04D1B" w:rsidRPr="00320889" w14:paraId="6CEE7EB9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F516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2DB2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Invasive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D140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28 (17.07%)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F55E2E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29 (17.26%)</w:t>
            </w:r>
          </w:p>
        </w:tc>
      </w:tr>
      <w:tr w:rsidR="00C04D1B" w:rsidRPr="00320889" w14:paraId="67A8FB5E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0720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227F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 xml:space="preserve">Missing values 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410E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4168AC5B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5315E9D9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03CF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Age at admission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F6DD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Min / Max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61EC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28.7 / 76.2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37E7CFA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28.7 / 76.2</w:t>
            </w:r>
          </w:p>
        </w:tc>
      </w:tr>
      <w:tr w:rsidR="00C04D1B" w:rsidRPr="00320889" w14:paraId="05622C61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8FBC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0DCB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Med [IQR]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0FC6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57.0 [48.6;63.0]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531FC8AB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57.2 [48.7;63.1]</w:t>
            </w:r>
          </w:p>
        </w:tc>
      </w:tr>
      <w:tr w:rsidR="00C04D1B" w:rsidRPr="00320889" w14:paraId="44E061E4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D3A1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953D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Mean (std)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1A19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55.2 (10.0)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6430F2D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55.4 (10.0)</w:t>
            </w:r>
          </w:p>
        </w:tc>
      </w:tr>
      <w:tr w:rsidR="00C04D1B" w:rsidRPr="00320889" w14:paraId="0423FE4C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84E7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798AE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 xml:space="preserve">Missing values 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9168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4CE18E7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26B49948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F558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093B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01A4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89 (54.94%)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E4C786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95 (56.55%)</w:t>
            </w:r>
          </w:p>
        </w:tc>
      </w:tr>
      <w:tr w:rsidR="00C04D1B" w:rsidRPr="00320889" w14:paraId="2B844338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9350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4072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3A3F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73 (45.06%)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2925D5B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73 (43.45%)</w:t>
            </w:r>
          </w:p>
        </w:tc>
      </w:tr>
      <w:tr w:rsidR="00C04D1B" w:rsidRPr="00320889" w14:paraId="4819E8EA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3733E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8D85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 xml:space="preserve">Missing values 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0014E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32CEF1AB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03992124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930E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bookmarkStart w:id="2" w:name="_Hlk120215958"/>
            <w:r w:rsidRPr="00320889">
              <w:rPr>
                <w:rFonts w:ascii="Arial" w:hAnsi="Arial" w:cs="Arial"/>
                <w:sz w:val="20"/>
                <w:szCs w:val="20"/>
              </w:rPr>
              <w:t>Hypertension status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5C3D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7ED1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58 (35.58%)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7E2F9CA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59 (35.12%)</w:t>
            </w:r>
          </w:p>
        </w:tc>
      </w:tr>
      <w:tr w:rsidR="00C04D1B" w:rsidRPr="00320889" w14:paraId="40E3AB2A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9026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CDB5E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86B5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105 (64.42%)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45BB637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109 (64.88%)</w:t>
            </w:r>
          </w:p>
        </w:tc>
      </w:tr>
      <w:tr w:rsidR="00C04D1B" w:rsidRPr="00320889" w14:paraId="39BE1B33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A496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F5B92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8D7D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6FFC365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 (0%)</w:t>
            </w:r>
          </w:p>
        </w:tc>
      </w:tr>
      <w:tr w:rsidR="00C04D1B" w:rsidRPr="00320889" w14:paraId="44A9A6EE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63AC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A00E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Missing values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11CCB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3EEA7C2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bookmarkEnd w:id="2"/>
      <w:tr w:rsidR="00C04D1B" w:rsidRPr="00320889" w14:paraId="225DD5AD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5CC3B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Hyperlipidaemia status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8D01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5033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144 (88.34%)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72181EA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149 (88.69%)</w:t>
            </w:r>
          </w:p>
        </w:tc>
      </w:tr>
      <w:tr w:rsidR="00C04D1B" w:rsidRPr="00320889" w14:paraId="4848B881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B070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914FE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74DB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19 (11.66%)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7D8DE9A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19 (11.31%)</w:t>
            </w:r>
          </w:p>
        </w:tc>
      </w:tr>
      <w:tr w:rsidR="00C04D1B" w:rsidRPr="00320889" w14:paraId="498CAD93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AFFD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484F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DA64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6A02A8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 (0%)</w:t>
            </w:r>
          </w:p>
        </w:tc>
      </w:tr>
      <w:tr w:rsidR="00C04D1B" w:rsidRPr="00320889" w14:paraId="7BEDADB9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BC3A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D3FF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Missing values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CF62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98CDC5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6A971DA5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E944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Diabetes Mellitus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B749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45D9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72 (44.17%)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2C76F4B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72 (42.86%)</w:t>
            </w:r>
          </w:p>
        </w:tc>
      </w:tr>
      <w:tr w:rsidR="00C04D1B" w:rsidRPr="00320889" w14:paraId="2E8701B4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924D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8685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87A1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91 (55.83%)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3D70E17B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96 (57.14%)</w:t>
            </w:r>
          </w:p>
        </w:tc>
      </w:tr>
      <w:tr w:rsidR="00C04D1B" w:rsidRPr="00320889" w14:paraId="731F25D4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91DF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EB8A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F0CE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217DD34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 (0%)</w:t>
            </w:r>
          </w:p>
        </w:tc>
      </w:tr>
      <w:tr w:rsidR="00C04D1B" w:rsidRPr="00320889" w14:paraId="6530A5E3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B2A7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8887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Missing values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845B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058AEA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4F8D79DA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8ED4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HIV status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38FA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B428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131 (80.37%)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934F45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134 (79.76%)</w:t>
            </w:r>
          </w:p>
        </w:tc>
      </w:tr>
      <w:tr w:rsidR="00C04D1B" w:rsidRPr="00320889" w14:paraId="25BD6441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8836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5CCC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DB74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19 (11.66%)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1ADCDAA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19 (11.31%)</w:t>
            </w:r>
          </w:p>
        </w:tc>
      </w:tr>
      <w:tr w:rsidR="00C04D1B" w:rsidRPr="00320889" w14:paraId="4928B248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BE9C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555A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3F55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13 (7.98%)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2D8906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15 (8.93%)</w:t>
            </w:r>
          </w:p>
        </w:tc>
      </w:tr>
      <w:tr w:rsidR="00C04D1B" w:rsidRPr="00320889" w14:paraId="3F49C81B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C5F7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6DA2E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Missing values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CE5E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DACF54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715980E4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E999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Chronic Kidney disease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5F66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B16D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151 (92.64%)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7D7801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154 (91.67%)</w:t>
            </w:r>
          </w:p>
        </w:tc>
      </w:tr>
      <w:tr w:rsidR="00C04D1B" w:rsidRPr="00320889" w14:paraId="05465E87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28DD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7161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74CAA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12 (7.36%)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3E50D92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14 (8.33%)</w:t>
            </w:r>
          </w:p>
        </w:tc>
      </w:tr>
      <w:tr w:rsidR="00C04D1B" w:rsidRPr="00320889" w14:paraId="46C3FBF8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5154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DC2B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2FD3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6B08AC39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 (0%)</w:t>
            </w:r>
          </w:p>
        </w:tc>
      </w:tr>
      <w:tr w:rsidR="00C04D1B" w:rsidRPr="00320889" w14:paraId="6D99059C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63D4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97AA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Missing values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3127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2A572E5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65E56556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91B3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Asthma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7172E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10AA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157 (96.32%)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576201A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162 (96.43%)</w:t>
            </w:r>
          </w:p>
        </w:tc>
      </w:tr>
      <w:tr w:rsidR="00C04D1B" w:rsidRPr="00320889" w14:paraId="309A68BD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D8B0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A7B6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C262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6 (3.68%)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62B0B84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6 (3.57%)</w:t>
            </w:r>
          </w:p>
        </w:tc>
      </w:tr>
      <w:tr w:rsidR="00C04D1B" w:rsidRPr="00320889" w14:paraId="2718D920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0F88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BDD3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15B7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363EED0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 (0%)</w:t>
            </w:r>
          </w:p>
        </w:tc>
      </w:tr>
      <w:tr w:rsidR="00C04D1B" w:rsidRPr="00320889" w14:paraId="6BD8229B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E6C7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3711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Missing values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635D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3DBBE1F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23662929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493C3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Neutrophil-Lymphocyte Ratio at baseline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578A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Min / Max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19BB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0.7 / 73.3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17FEC20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0.7 / 73.3</w:t>
            </w:r>
          </w:p>
        </w:tc>
      </w:tr>
      <w:tr w:rsidR="00C04D1B" w:rsidRPr="00320889" w14:paraId="482089AF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5E09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5BA67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Med [IQR]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CC81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12.6 [8.0;18.2]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FE465C2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12.6 [7.9;17.9]</w:t>
            </w:r>
          </w:p>
        </w:tc>
      </w:tr>
      <w:tr w:rsidR="00C04D1B" w:rsidRPr="00320889" w14:paraId="7C7A9B81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EDFF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37F1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Mean (std)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0810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15.2 (10.8)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4443EA2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15.0 (10.6)</w:t>
            </w:r>
          </w:p>
        </w:tc>
      </w:tr>
      <w:tr w:rsidR="00C04D1B" w:rsidRPr="00320889" w14:paraId="1B2EECA8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C8CB1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E1A4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 xml:space="preserve">Missing values 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2BD3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4701628F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04D1B" w:rsidRPr="00320889" w14:paraId="15580E61" w14:textId="77777777" w:rsidTr="00D31398">
        <w:trPr>
          <w:trHeight w:val="21"/>
        </w:trPr>
        <w:tc>
          <w:tcPr>
            <w:tcW w:w="207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9A14D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Neutrophil-Lymphocyte Ratio on day 5</w:t>
            </w: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DF0A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Min / Max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4E21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1.7 / 59.5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7DD2A6DB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1.6 / 70.7</w:t>
            </w:r>
          </w:p>
        </w:tc>
      </w:tr>
      <w:tr w:rsidR="00C04D1B" w:rsidRPr="00320889" w14:paraId="374F9964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C6B9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85D3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Med [IQR]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CED6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15.6 [10.8;22.4]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257C943C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15.6 [10.8;22.6]</w:t>
            </w:r>
          </w:p>
        </w:tc>
      </w:tr>
      <w:tr w:rsidR="00C04D1B" w:rsidRPr="00320889" w14:paraId="3828E7B7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C51C5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9AE22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Mean (std)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A37B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18.6 (11.0)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16F7B6B4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eastAsia="Arial" w:hAnsi="Arial" w:cs="Arial"/>
                <w:color w:val="000000"/>
                <w:sz w:val="20"/>
                <w:szCs w:val="20"/>
              </w:rPr>
              <w:t>18.6 (11.9)</w:t>
            </w:r>
          </w:p>
        </w:tc>
      </w:tr>
      <w:tr w:rsidR="00C04D1B" w:rsidRPr="00320889" w14:paraId="72C96B81" w14:textId="77777777" w:rsidTr="00D31398">
        <w:trPr>
          <w:trHeight w:val="21"/>
        </w:trPr>
        <w:tc>
          <w:tcPr>
            <w:tcW w:w="2070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E2688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8FB16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Missing values</w:t>
            </w:r>
          </w:p>
        </w:tc>
        <w:tc>
          <w:tcPr>
            <w:tcW w:w="17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54000" w14:textId="77777777" w:rsidR="00C04D1B" w:rsidRPr="00320889" w:rsidRDefault="00C04D1B" w:rsidP="00D3139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75E52500" w14:textId="77777777" w:rsidR="00C04D1B" w:rsidRPr="00320889" w:rsidRDefault="00C04D1B" w:rsidP="00D31398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0889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14:paraId="342E3378" w14:textId="77777777" w:rsidR="00C04D1B" w:rsidRDefault="00C04D1B" w:rsidP="00C04D1B">
      <w:pPr>
        <w:rPr>
          <w:rFonts w:ascii="Cambria" w:hAnsi="Cambria"/>
          <w:sz w:val="20"/>
          <w:szCs w:val="20"/>
          <w:lang w:val="en-US"/>
        </w:rPr>
      </w:pPr>
    </w:p>
    <w:p w14:paraId="6B7942F4" w14:textId="24514764" w:rsidR="00C04D1B" w:rsidRPr="00320889" w:rsidRDefault="00D94796" w:rsidP="00C04D1B">
      <w:pPr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lastRenderedPageBreak/>
        <w:fldChar w:fldCharType="begin"/>
      </w:r>
      <w:r>
        <w:rPr>
          <w:rFonts w:ascii="Cambria" w:hAnsi="Cambria"/>
          <w:sz w:val="20"/>
          <w:szCs w:val="20"/>
          <w:lang w:val="en-US"/>
        </w:rPr>
        <w:instrText xml:space="preserve"> REF _Ref125376142 \h </w:instrText>
      </w:r>
      <w:r>
        <w:rPr>
          <w:rFonts w:ascii="Cambria" w:hAnsi="Cambria"/>
          <w:sz w:val="20"/>
          <w:szCs w:val="20"/>
          <w:lang w:val="en-US"/>
        </w:rPr>
      </w:r>
      <w:r>
        <w:rPr>
          <w:rFonts w:ascii="Cambria" w:hAnsi="Cambria"/>
          <w:sz w:val="20"/>
          <w:szCs w:val="20"/>
          <w:lang w:val="en-US"/>
        </w:rPr>
        <w:instrText xml:space="preserve"> \* MERGEFORMAT </w:instrText>
      </w:r>
      <w:r>
        <w:rPr>
          <w:rFonts w:ascii="Cambria" w:hAnsi="Cambria"/>
          <w:sz w:val="20"/>
          <w:szCs w:val="20"/>
          <w:lang w:val="en-US"/>
        </w:rPr>
        <w:fldChar w:fldCharType="separate"/>
      </w:r>
      <w:r w:rsidRPr="00D94796">
        <w:rPr>
          <w:rFonts w:ascii="Cambria" w:hAnsi="Cambria"/>
          <w:sz w:val="20"/>
          <w:szCs w:val="20"/>
        </w:rPr>
        <w:t xml:space="preserve">Figure </w:t>
      </w:r>
      <w:r w:rsidRPr="00D94796">
        <w:rPr>
          <w:rFonts w:ascii="Cambria" w:hAnsi="Cambria"/>
          <w:noProof/>
          <w:sz w:val="20"/>
          <w:szCs w:val="20"/>
        </w:rPr>
        <w:t>1</w:t>
      </w:r>
      <w:r>
        <w:rPr>
          <w:rFonts w:ascii="Cambria" w:hAnsi="Cambria"/>
          <w:sz w:val="20"/>
          <w:szCs w:val="20"/>
          <w:lang w:val="en-US"/>
        </w:rPr>
        <w:fldChar w:fldCharType="end"/>
      </w:r>
      <w:r>
        <w:rPr>
          <w:rFonts w:ascii="Cambria" w:hAnsi="Cambria"/>
          <w:sz w:val="20"/>
          <w:szCs w:val="20"/>
          <w:lang w:val="en-US"/>
        </w:rPr>
        <w:t xml:space="preserve"> </w:t>
      </w:r>
      <w:r w:rsidR="00C04D1B" w:rsidRPr="00320889">
        <w:rPr>
          <w:rFonts w:ascii="Cambria" w:hAnsi="Cambria"/>
          <w:sz w:val="20"/>
          <w:szCs w:val="20"/>
          <w:lang w:val="en-US"/>
        </w:rPr>
        <w:t xml:space="preserve">shows that by the common support rule, </w:t>
      </w:r>
      <w:bookmarkStart w:id="3" w:name="_Hlk125374639"/>
      <w:r w:rsidR="00C04D1B" w:rsidRPr="00320889">
        <w:rPr>
          <w:rFonts w:ascii="Cambria" w:hAnsi="Cambria"/>
          <w:sz w:val="20"/>
          <w:szCs w:val="20"/>
          <w:lang w:val="en-US"/>
        </w:rPr>
        <w:t>the BART-TMLE model which had no common support rule for exclusion, suitably fit the data. There was only 0.595% of the observations that would have been removed by the standard deviations rule, which is negligible.</w:t>
      </w:r>
      <w:bookmarkEnd w:id="3"/>
    </w:p>
    <w:p w14:paraId="260A8BF8" w14:textId="5CFA553F" w:rsidR="00C04D1B" w:rsidRPr="00320889" w:rsidRDefault="00D94796" w:rsidP="00D94796">
      <w:pPr>
        <w:pStyle w:val="Caption"/>
        <w:rPr>
          <w:rFonts w:ascii="Cambria" w:hAnsi="Cambria"/>
          <w:i w:val="0"/>
          <w:iCs w:val="0"/>
          <w:sz w:val="20"/>
          <w:szCs w:val="20"/>
        </w:rPr>
      </w:pPr>
      <w:bookmarkStart w:id="4" w:name="_Hlk125364982"/>
      <w:bookmarkStart w:id="5" w:name="_Ref125376142"/>
      <w:r w:rsidRPr="00D94796">
        <w:rPr>
          <w:rFonts w:ascii="Cambria" w:hAnsi="Cambria"/>
          <w:i w:val="0"/>
          <w:iCs w:val="0"/>
          <w:color w:val="auto"/>
          <w:sz w:val="20"/>
          <w:szCs w:val="20"/>
        </w:rPr>
        <w:t xml:space="preserve">Figure </w:t>
      </w:r>
      <w:r w:rsidRPr="00D94796">
        <w:rPr>
          <w:rFonts w:ascii="Cambria" w:hAnsi="Cambria"/>
          <w:i w:val="0"/>
          <w:iCs w:val="0"/>
          <w:color w:val="auto"/>
          <w:sz w:val="20"/>
          <w:szCs w:val="20"/>
        </w:rPr>
        <w:fldChar w:fldCharType="begin"/>
      </w:r>
      <w:r w:rsidRPr="00D94796">
        <w:rPr>
          <w:rFonts w:ascii="Cambria" w:hAnsi="Cambria"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D94796">
        <w:rPr>
          <w:rFonts w:ascii="Cambria" w:hAnsi="Cambria"/>
          <w:i w:val="0"/>
          <w:iCs w:val="0"/>
          <w:color w:val="auto"/>
          <w:sz w:val="20"/>
          <w:szCs w:val="20"/>
        </w:rPr>
        <w:fldChar w:fldCharType="separate"/>
      </w:r>
      <w:r w:rsidRPr="00D94796">
        <w:rPr>
          <w:rFonts w:ascii="Cambria" w:hAnsi="Cambria"/>
          <w:i w:val="0"/>
          <w:iCs w:val="0"/>
          <w:noProof/>
          <w:color w:val="auto"/>
          <w:sz w:val="20"/>
          <w:szCs w:val="20"/>
        </w:rPr>
        <w:t>1</w:t>
      </w:r>
      <w:r w:rsidRPr="00D94796">
        <w:rPr>
          <w:rFonts w:ascii="Cambria" w:hAnsi="Cambria"/>
          <w:i w:val="0"/>
          <w:iCs w:val="0"/>
          <w:color w:val="auto"/>
          <w:sz w:val="20"/>
          <w:szCs w:val="20"/>
        </w:rPr>
        <w:fldChar w:fldCharType="end"/>
      </w:r>
      <w:bookmarkEnd w:id="5"/>
      <w:r w:rsidRPr="00320889">
        <w:rPr>
          <w:rFonts w:ascii="Cambria" w:hAnsi="Cambria"/>
          <w:i w:val="0"/>
          <w:iCs w:val="0"/>
          <w:color w:val="auto"/>
          <w:sz w:val="20"/>
          <w:szCs w:val="20"/>
        </w:rPr>
        <w:t>: Common support diagnostics for BART-TMLE</w:t>
      </w:r>
    </w:p>
    <w:bookmarkEnd w:id="4"/>
    <w:p w14:paraId="09786A21" w14:textId="76349EBC" w:rsidR="00A92BDB" w:rsidRPr="000E7E14" w:rsidRDefault="00D94796">
      <w:pPr>
        <w:rPr>
          <w:rFonts w:ascii="Cambria" w:hAnsi="Cambria"/>
          <w:sz w:val="20"/>
          <w:szCs w:val="20"/>
        </w:rPr>
      </w:pPr>
      <w:r w:rsidRPr="00320889">
        <w:rPr>
          <w:rFonts w:ascii="Cambria" w:hAnsi="Cambria"/>
          <w:noProof/>
          <w:sz w:val="20"/>
          <w:szCs w:val="20"/>
        </w:rPr>
        <w:drawing>
          <wp:inline distT="0" distB="0" distL="0" distR="0" wp14:anchorId="5BBA9558" wp14:editId="53288B9D">
            <wp:extent cx="5326380" cy="4396740"/>
            <wp:effectExtent l="0" t="0" r="7620" b="3810"/>
            <wp:docPr id="41" name="Picture" descr="Chart, scatt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" descr="Chart, scatte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439674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2BDB" w:rsidRPr="000E7E14" w:rsidSect="00726C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017"/>
    <w:rsid w:val="000E7E14"/>
    <w:rsid w:val="003D35C3"/>
    <w:rsid w:val="00726CF8"/>
    <w:rsid w:val="00A92BDB"/>
    <w:rsid w:val="00AA0017"/>
    <w:rsid w:val="00C04D1B"/>
    <w:rsid w:val="00CC3288"/>
    <w:rsid w:val="00D94796"/>
    <w:rsid w:val="00FB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8E282"/>
  <w15:chartTrackingRefBased/>
  <w15:docId w15:val="{B5212A2D-2E8B-47FF-B672-5E47A0241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D1B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">
    <w:name w:val="Table"/>
    <w:semiHidden/>
    <w:unhideWhenUsed/>
    <w:qFormat/>
    <w:rsid w:val="00C04D1B"/>
    <w:pPr>
      <w:spacing w:after="200" w:line="240" w:lineRule="auto"/>
    </w:pPr>
    <w:rPr>
      <w:sz w:val="24"/>
      <w:szCs w:val="24"/>
      <w:lang w:val="en-US" w:eastAsia="en-Z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FB49B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F2355-8D45-430C-A16F-B9B27D4A3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Nkuhairwe, IN, Mr [25106139@sun.ac.za]</dc:creator>
  <cp:keywords/>
  <dc:description/>
  <cp:lastModifiedBy>Nkuhairwe, IN, Mr [25106139@sun.ac.za]</cp:lastModifiedBy>
  <cp:revision>4</cp:revision>
  <dcterms:created xsi:type="dcterms:W3CDTF">2023-01-23T11:25:00Z</dcterms:created>
  <dcterms:modified xsi:type="dcterms:W3CDTF">2023-01-23T12:28:00Z</dcterms:modified>
</cp:coreProperties>
</file>