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E1CCEDA" w14:textId="77777777" w:rsidR="00B118E4" w:rsidRDefault="00B118E4" w:rsidP="00B118E4">
      <w:pPr>
        <w:autoSpaceDE w:val="0"/>
        <w:autoSpaceDN w:val="0"/>
        <w:adjustRightInd w:val="0"/>
        <w:jc w:val="center"/>
        <w:rPr>
          <w:b/>
          <w:kern w:val="0"/>
          <w:sz w:val="24"/>
          <w:szCs w:val="24"/>
          <w:lang w:eastAsia="en-US"/>
        </w:rPr>
      </w:pPr>
      <w:r>
        <w:rPr>
          <w:b/>
          <w:kern w:val="0"/>
          <w:sz w:val="24"/>
          <w:szCs w:val="24"/>
          <w:lang w:eastAsia="en-US"/>
        </w:rPr>
        <w:t xml:space="preserve">Supplemental </w:t>
      </w:r>
      <w:r w:rsidRPr="00173E49">
        <w:rPr>
          <w:b/>
          <w:kern w:val="0"/>
          <w:sz w:val="24"/>
          <w:szCs w:val="24"/>
          <w:lang w:eastAsia="en-US"/>
        </w:rPr>
        <w:t>Materials for</w:t>
      </w:r>
    </w:p>
    <w:p w14:paraId="70732CA7" w14:textId="77777777" w:rsidR="00B118E4" w:rsidRPr="00173E49" w:rsidRDefault="00B118E4" w:rsidP="00B118E4">
      <w:pPr>
        <w:autoSpaceDE w:val="0"/>
        <w:autoSpaceDN w:val="0"/>
        <w:adjustRightInd w:val="0"/>
        <w:jc w:val="center"/>
        <w:rPr>
          <w:b/>
          <w:kern w:val="0"/>
          <w:sz w:val="24"/>
          <w:szCs w:val="24"/>
          <w:lang w:eastAsia="en-US"/>
        </w:rPr>
      </w:pPr>
    </w:p>
    <w:p w14:paraId="2C597482" w14:textId="77777777" w:rsidR="00B118E4" w:rsidRDefault="00B118E4" w:rsidP="00BB4319">
      <w:pPr>
        <w:autoSpaceDE w:val="0"/>
        <w:autoSpaceDN w:val="0"/>
        <w:adjustRightInd w:val="0"/>
        <w:rPr>
          <w:b/>
        </w:rPr>
      </w:pPr>
    </w:p>
    <w:p w14:paraId="509403B2" w14:textId="77777777" w:rsidR="00674143" w:rsidRPr="00EB2EC7" w:rsidRDefault="00674143" w:rsidP="00674143">
      <w:pPr>
        <w:spacing w:line="360" w:lineRule="auto"/>
        <w:jc w:val="center"/>
        <w:rPr>
          <w:rStyle w:val="apple-style-span"/>
        </w:rPr>
      </w:pPr>
      <w:r>
        <w:rPr>
          <w:b/>
          <w:sz w:val="24"/>
          <w:szCs w:val="24"/>
        </w:rPr>
        <w:t>U</w:t>
      </w:r>
      <w:r w:rsidRPr="00547497">
        <w:rPr>
          <w:b/>
          <w:sz w:val="24"/>
          <w:szCs w:val="24"/>
        </w:rPr>
        <w:t>ltrahigh-poten</w:t>
      </w:r>
      <w:r>
        <w:rPr>
          <w:b/>
          <w:sz w:val="24"/>
          <w:szCs w:val="24"/>
        </w:rPr>
        <w:t>t</w:t>
      </w:r>
      <w:r w:rsidRPr="00547497">
        <w:rPr>
          <w:b/>
          <w:sz w:val="24"/>
          <w:szCs w:val="24"/>
        </w:rPr>
        <w:t xml:space="preserve"> and broadly neutraliz</w:t>
      </w:r>
      <w:r>
        <w:rPr>
          <w:b/>
          <w:sz w:val="24"/>
          <w:szCs w:val="24"/>
        </w:rPr>
        <w:t>ing anti-CD4 trimeric nanobodies inhibit</w:t>
      </w:r>
      <w:r w:rsidRPr="00547497">
        <w:rPr>
          <w:b/>
          <w:sz w:val="24"/>
          <w:szCs w:val="24"/>
        </w:rPr>
        <w:t xml:space="preserve"> HIV-1 infection</w:t>
      </w:r>
      <w:r w:rsidRPr="00862EBE">
        <w:rPr>
          <w:b/>
          <w:sz w:val="24"/>
          <w:szCs w:val="24"/>
        </w:rPr>
        <w:t xml:space="preserve"> </w:t>
      </w:r>
      <w:r>
        <w:rPr>
          <w:b/>
          <w:sz w:val="24"/>
          <w:szCs w:val="24"/>
        </w:rPr>
        <w:t xml:space="preserve">by inducing </w:t>
      </w:r>
      <w:r w:rsidRPr="00547497">
        <w:rPr>
          <w:b/>
          <w:sz w:val="24"/>
          <w:szCs w:val="24"/>
        </w:rPr>
        <w:t>CD4 conformational alteration</w:t>
      </w:r>
    </w:p>
    <w:p w14:paraId="595EB5A1" w14:textId="77777777" w:rsidR="00674143" w:rsidRPr="00587F59" w:rsidRDefault="00674143" w:rsidP="00674143">
      <w:pPr>
        <w:pStyle w:val="af0"/>
        <w:widowControl/>
        <w:ind w:left="360"/>
        <w:jc w:val="center"/>
      </w:pPr>
      <w:r w:rsidRPr="00F927DB">
        <w:rPr>
          <w:rStyle w:val="apple-style-span"/>
        </w:rPr>
        <w:t>Xilin Wu</w:t>
      </w:r>
      <w:r w:rsidRPr="00F927DB">
        <w:rPr>
          <w:rStyle w:val="apple-style-span"/>
          <w:vertAlign w:val="superscript"/>
        </w:rPr>
        <w:t>1,2</w:t>
      </w:r>
      <w:r w:rsidRPr="00F927DB">
        <w:t>†</w:t>
      </w:r>
      <w:r w:rsidRPr="00F927DB">
        <w:rPr>
          <w:rStyle w:val="apple-style-span"/>
          <w:vertAlign w:val="superscript"/>
        </w:rPr>
        <w:t xml:space="preserve"> *</w:t>
      </w:r>
      <w:r w:rsidRPr="00F927DB">
        <w:rPr>
          <w:rStyle w:val="apple-style-span"/>
        </w:rPr>
        <w:t>, Linjing Zhu</w:t>
      </w:r>
      <w:r w:rsidRPr="00F927DB">
        <w:rPr>
          <w:rStyle w:val="apple-style-span"/>
          <w:vertAlign w:val="superscript"/>
        </w:rPr>
        <w:t>1,3,</w:t>
      </w:r>
      <w:r w:rsidRPr="00F927DB">
        <w:t>†,</w:t>
      </w:r>
      <w:r w:rsidRPr="00F927DB">
        <w:rPr>
          <w:rStyle w:val="apple-style-span"/>
        </w:rPr>
        <w:t xml:space="preserve"> </w:t>
      </w:r>
      <w:r w:rsidRPr="00F927DB">
        <w:t>Xiangyao Wang</w:t>
      </w:r>
      <w:r w:rsidRPr="00F927DB">
        <w:rPr>
          <w:vertAlign w:val="superscript"/>
        </w:rPr>
        <w:t>4</w:t>
      </w:r>
      <w:r w:rsidRPr="00F927DB">
        <w:t>†</w:t>
      </w:r>
      <w:r w:rsidRPr="00F927DB">
        <w:rPr>
          <w:rStyle w:val="apple-style-span"/>
        </w:rPr>
        <w:t xml:space="preserve"> , </w:t>
      </w:r>
      <w:r w:rsidRPr="00F927DB">
        <w:t>Fengfeng Ni</w:t>
      </w:r>
      <w:r w:rsidRPr="00F927DB">
        <w:rPr>
          <w:vertAlign w:val="superscript"/>
        </w:rPr>
        <w:t>5,6</w:t>
      </w:r>
      <w:r w:rsidRPr="00F927DB">
        <w:t xml:space="preserve">†, </w:t>
      </w:r>
      <w:r w:rsidRPr="00C5731A">
        <w:rPr>
          <w:color w:val="000000"/>
          <w:kern w:val="0"/>
          <w:sz w:val="24"/>
          <w:szCs w:val="24"/>
        </w:rPr>
        <w:t>M</w:t>
      </w:r>
      <w:r w:rsidRPr="00C5731A">
        <w:rPr>
          <w:rFonts w:hint="eastAsia"/>
          <w:color w:val="000000"/>
          <w:kern w:val="0"/>
          <w:sz w:val="24"/>
          <w:szCs w:val="24"/>
        </w:rPr>
        <w:t>ingjun</w:t>
      </w:r>
      <w:r w:rsidRPr="00C5731A">
        <w:rPr>
          <w:color w:val="000000"/>
          <w:kern w:val="0"/>
          <w:sz w:val="24"/>
          <w:szCs w:val="24"/>
        </w:rPr>
        <w:t xml:space="preserve"> </w:t>
      </w:r>
      <w:r w:rsidRPr="00C5731A">
        <w:rPr>
          <w:rFonts w:hint="eastAsia"/>
          <w:color w:val="000000"/>
          <w:kern w:val="0"/>
          <w:sz w:val="24"/>
          <w:szCs w:val="24"/>
        </w:rPr>
        <w:t>A</w:t>
      </w:r>
      <w:r w:rsidRPr="00C5731A">
        <w:rPr>
          <w:color w:val="000000"/>
          <w:kern w:val="0"/>
          <w:sz w:val="24"/>
          <w:szCs w:val="24"/>
        </w:rPr>
        <w:t>o</w:t>
      </w:r>
      <w:r w:rsidRPr="00587F59">
        <w:rPr>
          <w:color w:val="000000"/>
          <w:kern w:val="0"/>
          <w:sz w:val="24"/>
          <w:szCs w:val="24"/>
          <w:vertAlign w:val="superscript"/>
        </w:rPr>
        <w:t>7,8,9</w:t>
      </w:r>
      <w:r w:rsidRPr="00F927DB">
        <w:t>†</w:t>
      </w:r>
      <w:r>
        <w:rPr>
          <w:color w:val="000000"/>
          <w:kern w:val="0"/>
          <w:sz w:val="24"/>
          <w:szCs w:val="24"/>
        </w:rPr>
        <w:t>,</w:t>
      </w:r>
      <w:r w:rsidRPr="00F927DB">
        <w:t xml:space="preserve"> Ruoke Wang</w:t>
      </w:r>
      <w:r>
        <w:rPr>
          <w:vertAlign w:val="superscript"/>
        </w:rPr>
        <w:t>10</w:t>
      </w:r>
      <w:r w:rsidRPr="00F927DB">
        <w:t xml:space="preserve">, </w:t>
      </w:r>
      <w:r w:rsidRPr="00C5731A">
        <w:rPr>
          <w:color w:val="000000"/>
          <w:kern w:val="0"/>
          <w:sz w:val="24"/>
          <w:szCs w:val="24"/>
        </w:rPr>
        <w:t>Bin Zheng</w:t>
      </w:r>
      <w:r w:rsidRPr="004B5DCD">
        <w:rPr>
          <w:color w:val="000000"/>
          <w:kern w:val="0"/>
          <w:sz w:val="24"/>
          <w:szCs w:val="24"/>
          <w:vertAlign w:val="superscript"/>
        </w:rPr>
        <w:t>7,8,9</w:t>
      </w:r>
      <w:r w:rsidRPr="00F927DB">
        <w:t xml:space="preserve"> </w:t>
      </w:r>
      <w:r>
        <w:t>,</w:t>
      </w:r>
      <w:r w:rsidRPr="00F927DB">
        <w:t>Chen Chen</w:t>
      </w:r>
      <w:r>
        <w:rPr>
          <w:vertAlign w:val="superscript"/>
        </w:rPr>
        <w:t>11</w:t>
      </w:r>
      <w:r w:rsidRPr="00F927DB">
        <w:t xml:space="preserve">, </w:t>
      </w:r>
      <w:r w:rsidRPr="00F927DB">
        <w:rPr>
          <w:rStyle w:val="apple-style-span"/>
        </w:rPr>
        <w:t>Linen Shi</w:t>
      </w:r>
      <w:r w:rsidRPr="00F927DB">
        <w:rPr>
          <w:rStyle w:val="apple-style-span"/>
          <w:vertAlign w:val="superscript"/>
        </w:rPr>
        <w:t>1</w:t>
      </w:r>
      <w:r w:rsidRPr="00F927DB">
        <w:rPr>
          <w:rStyle w:val="apple-style-span"/>
        </w:rPr>
        <w:t>, Shengya Geng</w:t>
      </w:r>
      <w:r w:rsidRPr="00F927DB">
        <w:rPr>
          <w:rStyle w:val="apple-style-span"/>
          <w:vertAlign w:val="superscript"/>
        </w:rPr>
        <w:t>1,</w:t>
      </w:r>
      <w:r>
        <w:rPr>
          <w:rStyle w:val="apple-style-span"/>
          <w:vertAlign w:val="superscript"/>
        </w:rPr>
        <w:t>12</w:t>
      </w:r>
      <w:r w:rsidRPr="00F927DB">
        <w:rPr>
          <w:rStyle w:val="apple-style-span"/>
        </w:rPr>
        <w:t>, Jiaqian Hu</w:t>
      </w:r>
      <w:r w:rsidRPr="00F927DB">
        <w:rPr>
          <w:rStyle w:val="apple-style-span"/>
          <w:vertAlign w:val="superscript"/>
        </w:rPr>
        <w:t>1</w:t>
      </w:r>
      <w:r w:rsidRPr="00F927DB">
        <w:rPr>
          <w:rStyle w:val="apple-style-span"/>
        </w:rPr>
        <w:t>, Mengshi Yang</w:t>
      </w:r>
      <w:r w:rsidRPr="00F927DB">
        <w:rPr>
          <w:rStyle w:val="apple-style-span"/>
          <w:vertAlign w:val="superscript"/>
        </w:rPr>
        <w:t>5</w:t>
      </w:r>
      <w:r w:rsidRPr="00F927DB">
        <w:rPr>
          <w:rStyle w:val="apple-style-span"/>
        </w:rPr>
        <w:t>,</w:t>
      </w:r>
      <w:r w:rsidRPr="00F927DB">
        <w:t xml:space="preserve"> </w:t>
      </w:r>
      <w:r w:rsidRPr="00F927DB">
        <w:rPr>
          <w:rStyle w:val="apple-style-span"/>
        </w:rPr>
        <w:t>Doudou Zhang</w:t>
      </w:r>
      <w:r w:rsidRPr="00F927DB">
        <w:rPr>
          <w:rStyle w:val="apple-style-span"/>
          <w:vertAlign w:val="superscript"/>
        </w:rPr>
        <w:t>1</w:t>
      </w:r>
      <w:r w:rsidRPr="00F927DB">
        <w:rPr>
          <w:rStyle w:val="apple-style-span"/>
        </w:rPr>
        <w:t xml:space="preserve">, </w:t>
      </w:r>
      <w:r w:rsidRPr="00F927DB">
        <w:rPr>
          <w:color w:val="000000"/>
        </w:rPr>
        <w:t>Ping Yang</w:t>
      </w:r>
      <w:r w:rsidRPr="00F927DB">
        <w:rPr>
          <w:color w:val="000000"/>
          <w:vertAlign w:val="superscript"/>
        </w:rPr>
        <w:t>5</w:t>
      </w:r>
      <w:r w:rsidRPr="00F927DB">
        <w:rPr>
          <w:color w:val="000000"/>
        </w:rPr>
        <w:t xml:space="preserve">, Miaomiao Li </w:t>
      </w:r>
      <w:r w:rsidRPr="00F927DB">
        <w:rPr>
          <w:color w:val="000000"/>
          <w:vertAlign w:val="superscript"/>
        </w:rPr>
        <w:t>5,6</w:t>
      </w:r>
      <w:r w:rsidRPr="00F927DB">
        <w:rPr>
          <w:color w:val="000000"/>
        </w:rPr>
        <w:t>, Yuncheng Li</w:t>
      </w:r>
      <w:r w:rsidRPr="00F927DB">
        <w:rPr>
          <w:color w:val="000000"/>
          <w:vertAlign w:val="superscript"/>
        </w:rPr>
        <w:t>5,6</w:t>
      </w:r>
      <w:r w:rsidRPr="00F927DB">
        <w:rPr>
          <w:rStyle w:val="apple-style-span"/>
        </w:rPr>
        <w:t xml:space="preserve"> ,</w:t>
      </w:r>
      <w:r w:rsidRPr="00F927DB">
        <w:t xml:space="preserve"> </w:t>
      </w:r>
      <w:r w:rsidRPr="00F927DB">
        <w:rPr>
          <w:rStyle w:val="apple-style-span"/>
        </w:rPr>
        <w:t>Qinxue Hu</w:t>
      </w:r>
      <w:r w:rsidRPr="00F927DB">
        <w:rPr>
          <w:rStyle w:val="apple-style-span"/>
          <w:vertAlign w:val="superscript"/>
        </w:rPr>
        <w:t>5</w:t>
      </w:r>
      <w:r w:rsidRPr="00F927DB">
        <w:rPr>
          <w:rStyle w:val="apple-style-span"/>
        </w:rPr>
        <w:t>,</w:t>
      </w:r>
      <w:r w:rsidRPr="00F927DB">
        <w:t xml:space="preserve"> </w:t>
      </w:r>
      <w:r w:rsidRPr="00F927DB">
        <w:rPr>
          <w:rStyle w:val="apple-style-span"/>
        </w:rPr>
        <w:t>Sheng Ye</w:t>
      </w:r>
      <w:r>
        <w:rPr>
          <w:rStyle w:val="apple-style-span"/>
          <w:vertAlign w:val="superscript"/>
        </w:rPr>
        <w:t>4,13</w:t>
      </w:r>
      <w:r w:rsidRPr="00F927DB">
        <w:rPr>
          <w:rStyle w:val="apple-style-span"/>
        </w:rPr>
        <w:t>,</w:t>
      </w:r>
      <w:r w:rsidRPr="00EB2EC7">
        <w:rPr>
          <w:color w:val="000000"/>
          <w:kern w:val="0"/>
          <w:sz w:val="24"/>
          <w:szCs w:val="24"/>
        </w:rPr>
        <w:t xml:space="preserve"> </w:t>
      </w:r>
      <w:r w:rsidRPr="00C5731A">
        <w:rPr>
          <w:color w:val="000000"/>
          <w:kern w:val="0"/>
          <w:sz w:val="24"/>
          <w:szCs w:val="24"/>
        </w:rPr>
        <w:t>Peng Zheng</w:t>
      </w:r>
      <w:r w:rsidRPr="004B5DCD">
        <w:rPr>
          <w:color w:val="000000"/>
          <w:kern w:val="0"/>
          <w:sz w:val="24"/>
          <w:szCs w:val="24"/>
          <w:vertAlign w:val="superscript"/>
        </w:rPr>
        <w:t>7,8,9</w:t>
      </w:r>
      <w:r w:rsidRPr="00F927DB">
        <w:rPr>
          <w:rStyle w:val="apple-style-span"/>
          <w:vertAlign w:val="superscript"/>
        </w:rPr>
        <w:t>*</w:t>
      </w:r>
      <w:r>
        <w:rPr>
          <w:color w:val="000000"/>
          <w:kern w:val="0"/>
          <w:sz w:val="24"/>
          <w:szCs w:val="24"/>
        </w:rPr>
        <w:t>,</w:t>
      </w:r>
      <w:r w:rsidRPr="00F927DB">
        <w:rPr>
          <w:rStyle w:val="apple-style-span"/>
        </w:rPr>
        <w:t xml:space="preserve"> Hongxia Wei</w:t>
      </w:r>
      <w:r>
        <w:rPr>
          <w:rStyle w:val="apple-style-span"/>
          <w:vertAlign w:val="superscript"/>
        </w:rPr>
        <w:t>11</w:t>
      </w:r>
      <w:r w:rsidRPr="00F927DB">
        <w:rPr>
          <w:rStyle w:val="apple-style-span"/>
          <w:vertAlign w:val="superscript"/>
        </w:rPr>
        <w:t>*</w:t>
      </w:r>
      <w:r w:rsidRPr="00F927DB">
        <w:rPr>
          <w:rStyle w:val="apple-style-span"/>
        </w:rPr>
        <w:t>, Linqi Zhang</w:t>
      </w:r>
      <w:r>
        <w:rPr>
          <w:rStyle w:val="apple-style-span"/>
          <w:vertAlign w:val="superscript"/>
        </w:rPr>
        <w:t>10</w:t>
      </w:r>
      <w:r w:rsidRPr="00F927DB">
        <w:rPr>
          <w:rStyle w:val="apple-style-span"/>
          <w:vertAlign w:val="superscript"/>
        </w:rPr>
        <w:t>*</w:t>
      </w:r>
      <w:r w:rsidRPr="00F927DB">
        <w:rPr>
          <w:rStyle w:val="apple-style-span"/>
        </w:rPr>
        <w:t>,</w:t>
      </w:r>
      <w:r w:rsidRPr="00F927DB">
        <w:t xml:space="preserve"> </w:t>
      </w:r>
      <w:r>
        <w:rPr>
          <w:rStyle w:val="apple-style-span"/>
        </w:rPr>
        <w:t>Yaxin</w:t>
      </w:r>
      <w:r w:rsidRPr="00F927DB">
        <w:rPr>
          <w:rStyle w:val="apple-style-span"/>
        </w:rPr>
        <w:t xml:space="preserve"> Wang</w:t>
      </w:r>
      <w:r w:rsidRPr="00F927DB">
        <w:rPr>
          <w:rStyle w:val="apple-style-span"/>
          <w:vertAlign w:val="superscript"/>
        </w:rPr>
        <w:t>4*</w:t>
      </w:r>
      <w:r w:rsidRPr="00F927DB">
        <w:rPr>
          <w:rStyle w:val="apple-style-span"/>
        </w:rPr>
        <w:t>, Yalan Liu</w:t>
      </w:r>
      <w:r>
        <w:rPr>
          <w:rStyle w:val="apple-style-span"/>
          <w:vertAlign w:val="superscript"/>
        </w:rPr>
        <w:t>5,14</w:t>
      </w:r>
      <w:r w:rsidRPr="00F927DB">
        <w:rPr>
          <w:rStyle w:val="apple-style-span"/>
          <w:vertAlign w:val="superscript"/>
        </w:rPr>
        <w:t>*</w:t>
      </w:r>
      <w:r w:rsidRPr="00F927DB">
        <w:rPr>
          <w:rStyle w:val="apple-style-span"/>
        </w:rPr>
        <w:t>,</w:t>
      </w:r>
      <w:r w:rsidRPr="00F927DB">
        <w:t xml:space="preserve"> </w:t>
      </w:r>
      <w:r w:rsidRPr="00F927DB">
        <w:rPr>
          <w:rStyle w:val="apple-style-span"/>
        </w:rPr>
        <w:t>Zhiwei Wu</w:t>
      </w:r>
      <w:r>
        <w:rPr>
          <w:rStyle w:val="apple-style-span"/>
          <w:vertAlign w:val="superscript"/>
        </w:rPr>
        <w:t>1,2, 15, 16</w:t>
      </w:r>
      <w:r w:rsidRPr="00F927DB">
        <w:rPr>
          <w:rStyle w:val="apple-style-span"/>
          <w:vertAlign w:val="superscript"/>
        </w:rPr>
        <w:t>*</w:t>
      </w:r>
    </w:p>
    <w:p w14:paraId="216AC5E5" w14:textId="77777777" w:rsidR="00674143" w:rsidRPr="00587F59" w:rsidRDefault="00674143" w:rsidP="00674143">
      <w:pPr>
        <w:rPr>
          <w:szCs w:val="21"/>
        </w:rPr>
      </w:pPr>
      <w:r w:rsidRPr="00587F59">
        <w:rPr>
          <w:szCs w:val="21"/>
        </w:rPr>
        <w:t>1. Center for Public Health Research, Medical School, Nanjing University, Nanjing, P.R. China.</w:t>
      </w:r>
    </w:p>
    <w:p w14:paraId="1836A4F5" w14:textId="77777777" w:rsidR="00674143" w:rsidRPr="00587F59" w:rsidRDefault="00674143" w:rsidP="00674143">
      <w:pPr>
        <w:rPr>
          <w:szCs w:val="21"/>
        </w:rPr>
      </w:pPr>
      <w:r w:rsidRPr="00587F59">
        <w:rPr>
          <w:szCs w:val="21"/>
        </w:rPr>
        <w:t>2. Jiangsu Key Laboratory of Molecular Medicine, Medical School, Nanjing University, Nanjing, P.R. China.</w:t>
      </w:r>
    </w:p>
    <w:p w14:paraId="0362F86A" w14:textId="77777777" w:rsidR="00674143" w:rsidRPr="00587F59" w:rsidRDefault="00674143" w:rsidP="00674143">
      <w:pPr>
        <w:rPr>
          <w:szCs w:val="21"/>
        </w:rPr>
      </w:pPr>
      <w:r w:rsidRPr="00587F59">
        <w:rPr>
          <w:szCs w:val="21"/>
        </w:rPr>
        <w:t>3. Abrev Biotechnology Co., Ltd. Nanjing, P.R. China.</w:t>
      </w:r>
    </w:p>
    <w:p w14:paraId="06E0B0D6" w14:textId="77777777" w:rsidR="00674143" w:rsidRPr="00587F59" w:rsidRDefault="00674143" w:rsidP="00674143">
      <w:pPr>
        <w:rPr>
          <w:szCs w:val="21"/>
        </w:rPr>
      </w:pPr>
      <w:r w:rsidRPr="00587F59">
        <w:rPr>
          <w:szCs w:val="21"/>
        </w:rPr>
        <w:t>4. Frontiers Science Center for Synthetic Biology (Ministry of Education), Tianjin Key Laboratory of Function and Application of Biological Macromolecular Structures, School of Life sciences, Tianjin University, 92 Weijin Road, Nankai District, Tianjin, 300072, China.</w:t>
      </w:r>
    </w:p>
    <w:p w14:paraId="74ECA94D" w14:textId="77777777" w:rsidR="00674143" w:rsidRPr="00587F59" w:rsidRDefault="00674143" w:rsidP="00674143">
      <w:pPr>
        <w:rPr>
          <w:szCs w:val="21"/>
        </w:rPr>
      </w:pPr>
      <w:r w:rsidRPr="00587F59">
        <w:rPr>
          <w:szCs w:val="21"/>
        </w:rPr>
        <w:t>5. State Key Laboratory of Virology, Wuhan Institute of Virology, Center for Biosafety Mega-Science, Chinese Academy of Sciences, Wuhan, China</w:t>
      </w:r>
    </w:p>
    <w:p w14:paraId="3627EB94" w14:textId="77777777" w:rsidR="00674143" w:rsidRPr="00587F59" w:rsidRDefault="00674143" w:rsidP="00674143">
      <w:pPr>
        <w:rPr>
          <w:szCs w:val="21"/>
        </w:rPr>
      </w:pPr>
      <w:r w:rsidRPr="00587F59">
        <w:rPr>
          <w:szCs w:val="21"/>
        </w:rPr>
        <w:t>6. Savaid Medical School, University of Chinese Academy of Sciences, Beijing, 100049, China</w:t>
      </w:r>
    </w:p>
    <w:p w14:paraId="3485694E" w14:textId="77777777" w:rsidR="00674143" w:rsidRPr="00587F59" w:rsidRDefault="00674143" w:rsidP="00674143">
      <w:pPr>
        <w:rPr>
          <w:color w:val="000000"/>
          <w:kern w:val="0"/>
          <w:szCs w:val="21"/>
        </w:rPr>
      </w:pPr>
      <w:r w:rsidRPr="00587F59">
        <w:rPr>
          <w:color w:val="000000"/>
          <w:kern w:val="0"/>
          <w:szCs w:val="21"/>
        </w:rPr>
        <w:t>7. State Key Laboratory of Coordination Chemistry, Nanjing University, Nanjing, Jiangsu, P. R. China</w:t>
      </w:r>
    </w:p>
    <w:p w14:paraId="7D259552" w14:textId="77777777" w:rsidR="00674143" w:rsidRPr="00587F59" w:rsidRDefault="00674143" w:rsidP="00674143">
      <w:pPr>
        <w:rPr>
          <w:color w:val="000000"/>
          <w:kern w:val="0"/>
          <w:szCs w:val="21"/>
        </w:rPr>
      </w:pPr>
      <w:r w:rsidRPr="00587F59">
        <w:rPr>
          <w:color w:val="000000"/>
          <w:kern w:val="0"/>
          <w:szCs w:val="21"/>
        </w:rPr>
        <w:t>8. Chemistry and Biomedicine Innovation Center (ChemBIC), Nanjing University, Nanjing, Jiangsu, P. R. China</w:t>
      </w:r>
    </w:p>
    <w:p w14:paraId="25DE6FA4" w14:textId="77777777" w:rsidR="00674143" w:rsidRPr="00587F59" w:rsidRDefault="00674143" w:rsidP="00674143">
      <w:pPr>
        <w:rPr>
          <w:szCs w:val="21"/>
        </w:rPr>
      </w:pPr>
      <w:r w:rsidRPr="00587F59">
        <w:rPr>
          <w:color w:val="000000"/>
          <w:kern w:val="0"/>
          <w:szCs w:val="21"/>
        </w:rPr>
        <w:t>9. School of Chemistry and Chemical Engineering, Nanjing University, Nanjing, Jiangsu, P. R. China</w:t>
      </w:r>
    </w:p>
    <w:p w14:paraId="616D9C00" w14:textId="77777777" w:rsidR="00674143" w:rsidRPr="00587F59" w:rsidRDefault="00674143" w:rsidP="00674143">
      <w:pPr>
        <w:rPr>
          <w:szCs w:val="21"/>
        </w:rPr>
      </w:pPr>
      <w:r w:rsidRPr="00587F59">
        <w:rPr>
          <w:szCs w:val="21"/>
        </w:rPr>
        <w:t>10. Comprehensive AIDS Research Center, Center for Global Health and Infectious Diseases Research, NexVac Research Center, Center for Infectious Diseases Research, Department of Basic Medical Sciences, School of Medicine, Tsinghua University, Beijing 100084, China.</w:t>
      </w:r>
      <w:r w:rsidRPr="00587F59" w:rsidDel="00B150B5">
        <w:rPr>
          <w:szCs w:val="21"/>
        </w:rPr>
        <w:t xml:space="preserve"> </w:t>
      </w:r>
    </w:p>
    <w:p w14:paraId="45069965" w14:textId="77777777" w:rsidR="00674143" w:rsidRPr="00587F59" w:rsidRDefault="00674143" w:rsidP="00674143">
      <w:pPr>
        <w:rPr>
          <w:szCs w:val="21"/>
        </w:rPr>
      </w:pPr>
      <w:r w:rsidRPr="00587F59">
        <w:rPr>
          <w:szCs w:val="21"/>
        </w:rPr>
        <w:t>11. Department of Infection, Nanjing Hospital Affiliated to Nanjing university of Chinese Medicine, Nanjing, P.R. China.</w:t>
      </w:r>
    </w:p>
    <w:p w14:paraId="29379906" w14:textId="77777777" w:rsidR="00674143" w:rsidRPr="00587F59" w:rsidRDefault="00674143" w:rsidP="00674143">
      <w:pPr>
        <w:rPr>
          <w:szCs w:val="21"/>
        </w:rPr>
      </w:pPr>
      <w:r w:rsidRPr="00587F59">
        <w:rPr>
          <w:szCs w:val="21"/>
        </w:rPr>
        <w:t>12. MOE Key Laboratory of Model Animals for Disease Study, Medical School, Nanjing University, Nanjing, China</w:t>
      </w:r>
    </w:p>
    <w:p w14:paraId="54F65325" w14:textId="77777777" w:rsidR="00674143" w:rsidRPr="00587F59" w:rsidRDefault="00674143" w:rsidP="00674143">
      <w:pPr>
        <w:rPr>
          <w:bCs/>
          <w:szCs w:val="21"/>
        </w:rPr>
      </w:pPr>
      <w:r w:rsidRPr="00587F59">
        <w:rPr>
          <w:szCs w:val="21"/>
        </w:rPr>
        <w:t xml:space="preserve">13. </w:t>
      </w:r>
      <w:r w:rsidRPr="00587F59">
        <w:rPr>
          <w:bCs/>
          <w:szCs w:val="21"/>
        </w:rPr>
        <w:t>Life Sciences Institute, Zhejiang University, Zhejiang, P.R. China.</w:t>
      </w:r>
    </w:p>
    <w:p w14:paraId="08E095BA" w14:textId="77777777" w:rsidR="00674143" w:rsidRPr="00587F59" w:rsidRDefault="00674143" w:rsidP="00674143">
      <w:pPr>
        <w:rPr>
          <w:szCs w:val="21"/>
        </w:rPr>
      </w:pPr>
      <w:r w:rsidRPr="00587F59">
        <w:rPr>
          <w:bCs/>
          <w:szCs w:val="21"/>
        </w:rPr>
        <w:t xml:space="preserve">14. </w:t>
      </w:r>
      <w:r w:rsidRPr="00587F59">
        <w:rPr>
          <w:szCs w:val="21"/>
        </w:rPr>
        <w:t>Hubei Jiangxia Laboratory</w:t>
      </w:r>
      <w:r w:rsidRPr="00587F59">
        <w:rPr>
          <w:rFonts w:hint="eastAsia"/>
          <w:szCs w:val="21"/>
        </w:rPr>
        <w:t>,</w:t>
      </w:r>
      <w:r w:rsidRPr="00587F59">
        <w:rPr>
          <w:szCs w:val="21"/>
        </w:rPr>
        <w:t xml:space="preserve"> </w:t>
      </w:r>
      <w:r w:rsidRPr="00587F59">
        <w:rPr>
          <w:rFonts w:hint="eastAsia"/>
          <w:szCs w:val="21"/>
        </w:rPr>
        <w:t>W</w:t>
      </w:r>
      <w:r w:rsidRPr="00587F59">
        <w:rPr>
          <w:szCs w:val="21"/>
        </w:rPr>
        <w:t xml:space="preserve">uhan, </w:t>
      </w:r>
      <w:r w:rsidRPr="00587F59">
        <w:rPr>
          <w:bCs/>
          <w:szCs w:val="21"/>
        </w:rPr>
        <w:t>P.R. China.</w:t>
      </w:r>
    </w:p>
    <w:p w14:paraId="2ADCA789" w14:textId="77777777" w:rsidR="00674143" w:rsidRPr="00587F59" w:rsidRDefault="00674143" w:rsidP="00674143">
      <w:pPr>
        <w:rPr>
          <w:szCs w:val="21"/>
        </w:rPr>
      </w:pPr>
      <w:r w:rsidRPr="00587F59">
        <w:rPr>
          <w:szCs w:val="21"/>
        </w:rPr>
        <w:t>15. School of Life Sciences, Ningxia University, Yinchuan, P.R. China.</w:t>
      </w:r>
    </w:p>
    <w:p w14:paraId="6E13F7A0" w14:textId="77777777" w:rsidR="00674143" w:rsidRDefault="00674143" w:rsidP="00674143">
      <w:pPr>
        <w:tabs>
          <w:tab w:val="left" w:pos="5370"/>
        </w:tabs>
      </w:pPr>
      <w:r w:rsidRPr="00587F59">
        <w:rPr>
          <w:rFonts w:eastAsia="Cambria"/>
          <w:color w:val="000000"/>
          <w:kern w:val="0"/>
          <w:szCs w:val="21"/>
          <w:u w:color="000000"/>
          <w:bdr w:val="nil"/>
          <w:lang w:eastAsia="en-US"/>
        </w:rPr>
        <w:t>16. State Key Laboratory of Analytical Chemistry for Life Science, Nanjing University, Nanjing, P.R. China.</w:t>
      </w:r>
    </w:p>
    <w:p w14:paraId="0F0FB28F" w14:textId="77777777" w:rsidR="00674143" w:rsidRPr="00587F59" w:rsidRDefault="00674143" w:rsidP="00674143">
      <w:pPr>
        <w:pStyle w:val="Body"/>
        <w:jc w:val="both"/>
        <w:rPr>
          <w:sz w:val="21"/>
          <w:szCs w:val="21"/>
        </w:rPr>
      </w:pPr>
      <w:r w:rsidRPr="00587F59">
        <w:rPr>
          <w:rFonts w:ascii="Times New Roman" w:eastAsia="宋体" w:hAnsi="Times New Roman" w:cs="Times New Roman"/>
          <w:color w:val="auto"/>
          <w:sz w:val="21"/>
          <w:szCs w:val="21"/>
          <w:bdr w:val="none" w:sz="0" w:space="0" w:color="auto"/>
        </w:rPr>
        <w:t>† These authors contributed equally to this work.</w:t>
      </w:r>
    </w:p>
    <w:p w14:paraId="6841CE1F" w14:textId="77777777" w:rsidR="00674143" w:rsidRPr="00587F59" w:rsidRDefault="00674143" w:rsidP="00674143">
      <w:pPr>
        <w:rPr>
          <w:szCs w:val="21"/>
        </w:rPr>
      </w:pPr>
      <w:r w:rsidRPr="00587F59">
        <w:rPr>
          <w:color w:val="000000" w:themeColor="text1"/>
          <w:szCs w:val="21"/>
        </w:rPr>
        <w:t xml:space="preserve">* Corresponding author: Z. Wu, E-mail: </w:t>
      </w:r>
      <w:hyperlink r:id="rId8" w:history="1">
        <w:r w:rsidRPr="00587F59">
          <w:rPr>
            <w:rStyle w:val="a3"/>
            <w:color w:val="000000" w:themeColor="text1"/>
            <w:szCs w:val="21"/>
          </w:rPr>
          <w:t>wzhw@nju.edu.cn</w:t>
        </w:r>
      </w:hyperlink>
      <w:r w:rsidRPr="00587F59">
        <w:rPr>
          <w:color w:val="000000" w:themeColor="text1"/>
          <w:szCs w:val="21"/>
        </w:rPr>
        <w:t xml:space="preserve">, X. Wu, Email: </w:t>
      </w:r>
      <w:hyperlink r:id="rId9" w:history="1">
        <w:r w:rsidRPr="00587F59">
          <w:rPr>
            <w:rStyle w:val="a3"/>
            <w:color w:val="000000" w:themeColor="text1"/>
            <w:szCs w:val="21"/>
          </w:rPr>
          <w:t>xilinwu@nju.edu.cn</w:t>
        </w:r>
      </w:hyperlink>
      <w:r w:rsidRPr="00587F59">
        <w:rPr>
          <w:color w:val="000000" w:themeColor="text1"/>
          <w:szCs w:val="21"/>
        </w:rPr>
        <w:t xml:space="preserve"> . Y. Liu, E-mail: </w:t>
      </w:r>
      <w:hyperlink r:id="rId10" w:history="1">
        <w:r w:rsidRPr="00587F59">
          <w:rPr>
            <w:rStyle w:val="a3"/>
            <w:color w:val="000000" w:themeColor="text1"/>
            <w:szCs w:val="21"/>
          </w:rPr>
          <w:t>liuyl@wh.iov.cn</w:t>
        </w:r>
      </w:hyperlink>
      <w:r w:rsidRPr="00587F59">
        <w:rPr>
          <w:color w:val="000000" w:themeColor="text1"/>
          <w:szCs w:val="21"/>
        </w:rPr>
        <w:t>, Y. Wang, Email:</w:t>
      </w:r>
      <w:r w:rsidRPr="00587F59">
        <w:rPr>
          <w:szCs w:val="21"/>
        </w:rPr>
        <w:t xml:space="preserve"> </w:t>
      </w:r>
      <w:r w:rsidRPr="00587F59">
        <w:rPr>
          <w:color w:val="000000" w:themeColor="text1"/>
          <w:szCs w:val="21"/>
          <w:u w:val="single"/>
        </w:rPr>
        <w:t>wxy_1226@tju.edu.cn</w:t>
      </w:r>
      <w:r w:rsidRPr="00587F59">
        <w:rPr>
          <w:color w:val="000000" w:themeColor="text1"/>
          <w:szCs w:val="21"/>
        </w:rPr>
        <w:t xml:space="preserve">, L. Zhang, </w:t>
      </w:r>
      <w:hyperlink r:id="rId11" w:history="1">
        <w:r w:rsidRPr="00587F59">
          <w:rPr>
            <w:rStyle w:val="a3"/>
            <w:color w:val="000000" w:themeColor="text1"/>
            <w:szCs w:val="21"/>
          </w:rPr>
          <w:t>zhanglinqi@tsinghua.edu.cn</w:t>
        </w:r>
      </w:hyperlink>
      <w:r w:rsidRPr="00587F59">
        <w:rPr>
          <w:rStyle w:val="a3"/>
          <w:color w:val="000000" w:themeColor="text1"/>
          <w:szCs w:val="21"/>
        </w:rPr>
        <w:t>,</w:t>
      </w:r>
      <w:r w:rsidRPr="00587F59">
        <w:rPr>
          <w:color w:val="000000" w:themeColor="text1"/>
          <w:szCs w:val="21"/>
        </w:rPr>
        <w:t xml:space="preserve"> H. Wei, E-mail: </w:t>
      </w:r>
      <w:hyperlink r:id="rId12" w:history="1">
        <w:r w:rsidRPr="00587F59">
          <w:rPr>
            <w:rStyle w:val="a3"/>
            <w:szCs w:val="21"/>
          </w:rPr>
          <w:t>wghongxia@sina.com</w:t>
        </w:r>
      </w:hyperlink>
      <w:r w:rsidRPr="00587F59">
        <w:rPr>
          <w:szCs w:val="21"/>
        </w:rPr>
        <w:t xml:space="preserve"> </w:t>
      </w:r>
      <w:r w:rsidRPr="00587F59">
        <w:rPr>
          <w:color w:val="000000" w:themeColor="text1"/>
          <w:szCs w:val="21"/>
        </w:rPr>
        <w:t xml:space="preserve">and </w:t>
      </w:r>
      <w:r w:rsidRPr="00587F59">
        <w:rPr>
          <w:color w:val="000000"/>
          <w:kern w:val="0"/>
          <w:szCs w:val="21"/>
        </w:rPr>
        <w:t xml:space="preserve">P. Zheng, E-mail: </w:t>
      </w:r>
      <w:hyperlink r:id="rId13" w:history="1">
        <w:r w:rsidRPr="00587F59">
          <w:rPr>
            <w:color w:val="000000"/>
            <w:kern w:val="0"/>
            <w:szCs w:val="21"/>
            <w:u w:val="single"/>
          </w:rPr>
          <w:t>pengz@nju.edu.cn</w:t>
        </w:r>
      </w:hyperlink>
    </w:p>
    <w:p w14:paraId="3F8D619D" w14:textId="77777777" w:rsidR="00674143" w:rsidRDefault="00674143" w:rsidP="00674143">
      <w:r w:rsidRPr="00587F59">
        <w:rPr>
          <w:szCs w:val="21"/>
        </w:rPr>
        <w:t>Mailing address: Center for Public Health Research, Medical School, Nanjing University, Nanjing, 210093, P.R. China. Phone: +86 (25) 8368-6092. Fax: +86 (25) 8359-6023.</w:t>
      </w:r>
    </w:p>
    <w:p w14:paraId="061A0551" w14:textId="6794BFEE" w:rsidR="00B118E4" w:rsidRPr="00B118E4" w:rsidRDefault="00B118E4" w:rsidP="00B118E4">
      <w:pPr>
        <w:spacing w:line="360" w:lineRule="auto"/>
      </w:pPr>
    </w:p>
    <w:p w14:paraId="5B09425E" w14:textId="77777777" w:rsidR="00B118E4" w:rsidRDefault="00B118E4" w:rsidP="00BB4319">
      <w:pPr>
        <w:autoSpaceDE w:val="0"/>
        <w:autoSpaceDN w:val="0"/>
        <w:adjustRightInd w:val="0"/>
        <w:rPr>
          <w:b/>
        </w:rPr>
      </w:pPr>
    </w:p>
    <w:p w14:paraId="6CB22879" w14:textId="77777777" w:rsidR="00BB4319" w:rsidRPr="00E73701" w:rsidRDefault="00BB4319" w:rsidP="00BB4319">
      <w:pPr>
        <w:autoSpaceDE w:val="0"/>
        <w:autoSpaceDN w:val="0"/>
        <w:adjustRightInd w:val="0"/>
        <w:rPr>
          <w:b/>
        </w:rPr>
      </w:pPr>
      <w:r w:rsidRPr="00E73701">
        <w:rPr>
          <w:b/>
        </w:rPr>
        <w:t>This file includes:</w:t>
      </w:r>
    </w:p>
    <w:p w14:paraId="09C7AA04" w14:textId="77777777" w:rsidR="00BB4319" w:rsidRDefault="00BB4319" w:rsidP="00BB4319">
      <w:pPr>
        <w:autoSpaceDE w:val="0"/>
        <w:autoSpaceDN w:val="0"/>
        <w:adjustRightInd w:val="0"/>
      </w:pPr>
      <w:r>
        <w:t>Supplementary Materials and Methods</w:t>
      </w:r>
    </w:p>
    <w:p w14:paraId="4BD20470" w14:textId="3A3D42A8" w:rsidR="00BB4319" w:rsidRDefault="00674143" w:rsidP="00BB4319">
      <w:pPr>
        <w:autoSpaceDE w:val="0"/>
        <w:autoSpaceDN w:val="0"/>
        <w:adjustRightInd w:val="0"/>
      </w:pPr>
      <w:r>
        <w:t>Figures S1 to S16</w:t>
      </w:r>
    </w:p>
    <w:p w14:paraId="558B2F79" w14:textId="4DD5E6F0" w:rsidR="00BB4319" w:rsidRDefault="00674143" w:rsidP="00B118E4">
      <w:pPr>
        <w:autoSpaceDE w:val="0"/>
        <w:autoSpaceDN w:val="0"/>
        <w:adjustRightInd w:val="0"/>
      </w:pPr>
      <w:r>
        <w:t>Table S1 to S4</w:t>
      </w:r>
    </w:p>
    <w:p w14:paraId="4444122D" w14:textId="77777777" w:rsidR="00646742" w:rsidRDefault="00646742" w:rsidP="00646742">
      <w:pPr>
        <w:pStyle w:val="Paragraph"/>
        <w:ind w:firstLine="0"/>
        <w:rPr>
          <w:b/>
        </w:rPr>
      </w:pPr>
      <w:r>
        <w:rPr>
          <w:b/>
        </w:rPr>
        <w:t>Supplemental</w:t>
      </w:r>
      <w:r w:rsidRPr="00F70A8A">
        <w:rPr>
          <w:b/>
        </w:rPr>
        <w:t xml:space="preserve"> Materials</w:t>
      </w:r>
    </w:p>
    <w:p w14:paraId="027A2DF4" w14:textId="77777777" w:rsidR="00646742" w:rsidRPr="00D33510" w:rsidRDefault="00646742" w:rsidP="00646742">
      <w:pPr>
        <w:pStyle w:val="Paragraph"/>
        <w:ind w:firstLine="0"/>
      </w:pPr>
      <w:r w:rsidRPr="00D22F03">
        <w:t>Materials and Methods</w:t>
      </w:r>
    </w:p>
    <w:p w14:paraId="7E6BF60B" w14:textId="77777777" w:rsidR="00674143" w:rsidRDefault="00674143" w:rsidP="00674143">
      <w:pPr>
        <w:rPr>
          <w:b/>
          <w:sz w:val="24"/>
          <w:szCs w:val="24"/>
        </w:rPr>
      </w:pPr>
      <w:r>
        <w:rPr>
          <w:b/>
          <w:sz w:val="24"/>
          <w:szCs w:val="24"/>
        </w:rPr>
        <w:lastRenderedPageBreak/>
        <w:t>Supplementary Figure legends:</w:t>
      </w:r>
    </w:p>
    <w:p w14:paraId="0ECB0B8B" w14:textId="77777777" w:rsidR="00674143" w:rsidRDefault="00674143" w:rsidP="00674143">
      <w:pPr>
        <w:rPr>
          <w:b/>
          <w:sz w:val="24"/>
          <w:szCs w:val="24"/>
        </w:rPr>
      </w:pPr>
    </w:p>
    <w:p w14:paraId="1E869D9A" w14:textId="77777777" w:rsidR="00674143" w:rsidRDefault="00674143" w:rsidP="00674143">
      <w:r w:rsidRPr="0037669B">
        <w:rPr>
          <w:b/>
          <w:sz w:val="24"/>
          <w:szCs w:val="24"/>
        </w:rPr>
        <w:t xml:space="preserve">Supplementary Figure 1. Biopanning and screening of CD4-VHH nanobody Phage Library. </w:t>
      </w:r>
      <w:r w:rsidRPr="0037669B">
        <w:rPr>
          <w:sz w:val="24"/>
          <w:szCs w:val="24"/>
        </w:rPr>
        <w:t>Summary of the CD4-VHH-library, showcasing the characteristics and components of the library. (</w:t>
      </w:r>
      <w:r w:rsidRPr="0037669B">
        <w:rPr>
          <w:b/>
          <w:sz w:val="24"/>
          <w:szCs w:val="24"/>
        </w:rPr>
        <w:t>B</w:t>
      </w:r>
      <w:r w:rsidRPr="0037669B">
        <w:rPr>
          <w:sz w:val="24"/>
          <w:szCs w:val="24"/>
        </w:rPr>
        <w:t>) Phage ELISA analysis of the binding between the phage library and CD4. The library represents the CD4-VHH phage library. "1st," "2nd," and "3rd" denote the phage library after one round, two rounds, and three rounds of CD4 enrichment, respectively. (</w:t>
      </w:r>
      <w:r w:rsidRPr="0037669B">
        <w:rPr>
          <w:b/>
          <w:sz w:val="24"/>
          <w:szCs w:val="24"/>
        </w:rPr>
        <w:t>C</w:t>
      </w:r>
      <w:r w:rsidRPr="0037669B">
        <w:rPr>
          <w:sz w:val="24"/>
          <w:szCs w:val="24"/>
        </w:rPr>
        <w:t>) Evaluation of 40 and 46 individual clones of phage from the CD4-VHH library after the 2nd and 3rd rounds of CD4 enrichment, conducted using phage ELISA. (</w:t>
      </w:r>
      <w:r w:rsidRPr="0037669B">
        <w:rPr>
          <w:b/>
          <w:sz w:val="24"/>
          <w:szCs w:val="24"/>
        </w:rPr>
        <w:t>D</w:t>
      </w:r>
      <w:r w:rsidRPr="0037669B">
        <w:rPr>
          <w:sz w:val="24"/>
          <w:szCs w:val="24"/>
        </w:rPr>
        <w:t>) Phylogenetic analysis of 429 VHHs using the Neighbor-Joining method. The tree is drawn to scale, with branch lengths corresponding to the evolutionary distances measured in the units of amino acid substitutions per site. Evolutionary distances were computed using the Poisson correction method, and positions containing gaps and missing data were excluded. The evolutionary analyses were performed using MEGA6 software.</w:t>
      </w:r>
    </w:p>
    <w:p w14:paraId="2D58E913" w14:textId="77777777" w:rsidR="00674143" w:rsidRDefault="00674143" w:rsidP="00674143">
      <w:pPr>
        <w:pStyle w:val="af0"/>
        <w:ind w:firstLine="480"/>
        <w:rPr>
          <w:sz w:val="24"/>
          <w:szCs w:val="24"/>
        </w:rPr>
      </w:pPr>
    </w:p>
    <w:p w14:paraId="46F2465C" w14:textId="77777777" w:rsidR="00674143" w:rsidRPr="00F0720E" w:rsidRDefault="00674143" w:rsidP="00674143">
      <w:pPr>
        <w:rPr>
          <w:b/>
          <w:sz w:val="24"/>
          <w:szCs w:val="24"/>
        </w:rPr>
      </w:pPr>
      <w:r w:rsidRPr="00F0720E">
        <w:rPr>
          <w:b/>
          <w:sz w:val="24"/>
          <w:szCs w:val="24"/>
        </w:rPr>
        <w:t xml:space="preserve">Supplementary Figure 2. Analysis of cell supernatant binding to CD4 Protein. </w:t>
      </w:r>
      <w:r w:rsidRPr="00F0720E">
        <w:rPr>
          <w:sz w:val="24"/>
          <w:szCs w:val="24"/>
        </w:rPr>
        <w:t>The graph illustrates the relative binding of cell supernatant from 47 different Nb-Fcs with the CD4 protein</w:t>
      </w:r>
      <w:r>
        <w:rPr>
          <w:sz w:val="24"/>
          <w:szCs w:val="24"/>
        </w:rPr>
        <w:t xml:space="preserve"> tested by ELISA</w:t>
      </w:r>
      <w:r w:rsidRPr="00F0720E">
        <w:rPr>
          <w:sz w:val="24"/>
          <w:szCs w:val="24"/>
        </w:rPr>
        <w:t>. The y-axis represents the ratio of the CD4 binding readout to the blank binding readout. The dashed line denotes a five-fold increase in Nbs' binding to the CD4 protein compared to the binding to the blank control, indicating a positive and significant binding affinity.</w:t>
      </w:r>
    </w:p>
    <w:p w14:paraId="578203B3" w14:textId="77777777" w:rsidR="00674143" w:rsidRPr="00F0720E" w:rsidRDefault="00674143" w:rsidP="00674143">
      <w:pPr>
        <w:rPr>
          <w:sz w:val="24"/>
          <w:szCs w:val="24"/>
        </w:rPr>
      </w:pPr>
    </w:p>
    <w:p w14:paraId="31D4C06C" w14:textId="77777777" w:rsidR="00674143" w:rsidRPr="00F0720E" w:rsidRDefault="00674143" w:rsidP="00674143">
      <w:pPr>
        <w:rPr>
          <w:b/>
          <w:sz w:val="24"/>
          <w:szCs w:val="24"/>
        </w:rPr>
      </w:pPr>
      <w:r w:rsidRPr="00F0720E">
        <w:rPr>
          <w:b/>
          <w:sz w:val="24"/>
          <w:szCs w:val="24"/>
        </w:rPr>
        <w:t>Supplementary</w:t>
      </w:r>
      <w:r>
        <w:rPr>
          <w:b/>
          <w:sz w:val="24"/>
          <w:szCs w:val="24"/>
        </w:rPr>
        <w:t xml:space="preserve"> Figure 3. Characterization of p</w:t>
      </w:r>
      <w:r w:rsidRPr="00F0720E">
        <w:rPr>
          <w:b/>
          <w:sz w:val="24"/>
          <w:szCs w:val="24"/>
        </w:rPr>
        <w:t>urified Nb434</w:t>
      </w:r>
      <w:r>
        <w:rPr>
          <w:b/>
          <w:sz w:val="24"/>
          <w:szCs w:val="24"/>
        </w:rPr>
        <w:t>-Fc</w:t>
      </w:r>
      <w:r w:rsidRPr="00F0720E">
        <w:rPr>
          <w:b/>
          <w:sz w:val="24"/>
          <w:szCs w:val="24"/>
        </w:rPr>
        <w:t xml:space="preserve"> and Nb</w:t>
      </w:r>
      <w:r w:rsidRPr="002E712D">
        <w:rPr>
          <w:b/>
          <w:sz w:val="24"/>
          <w:szCs w:val="24"/>
          <w:vertAlign w:val="subscript"/>
        </w:rPr>
        <w:t>457</w:t>
      </w:r>
      <w:r>
        <w:rPr>
          <w:b/>
          <w:sz w:val="24"/>
          <w:szCs w:val="24"/>
        </w:rPr>
        <w:t>-Fc</w:t>
      </w:r>
      <w:r w:rsidRPr="00F0720E">
        <w:rPr>
          <w:b/>
          <w:sz w:val="24"/>
          <w:szCs w:val="24"/>
        </w:rPr>
        <w:t>.</w:t>
      </w:r>
    </w:p>
    <w:p w14:paraId="49E6B345" w14:textId="77777777" w:rsidR="00674143" w:rsidRPr="00F0720E" w:rsidRDefault="00674143" w:rsidP="00674143">
      <w:pPr>
        <w:rPr>
          <w:sz w:val="24"/>
          <w:szCs w:val="24"/>
        </w:rPr>
      </w:pPr>
      <w:r w:rsidRPr="00F0720E">
        <w:rPr>
          <w:sz w:val="24"/>
          <w:szCs w:val="24"/>
        </w:rPr>
        <w:t>(</w:t>
      </w:r>
      <w:r w:rsidRPr="00F0720E">
        <w:rPr>
          <w:b/>
          <w:sz w:val="24"/>
          <w:szCs w:val="24"/>
        </w:rPr>
        <w:t>A</w:t>
      </w:r>
      <w:r w:rsidRPr="00F0720E">
        <w:rPr>
          <w:sz w:val="24"/>
          <w:szCs w:val="24"/>
        </w:rPr>
        <w:t>) SDS-PAGE analysis of purified Nb434</w:t>
      </w:r>
      <w:r>
        <w:rPr>
          <w:sz w:val="24"/>
          <w:szCs w:val="24"/>
        </w:rPr>
        <w:t>-Fc</w:t>
      </w:r>
      <w:r w:rsidRPr="00F0720E">
        <w:rPr>
          <w:sz w:val="24"/>
          <w:szCs w:val="24"/>
        </w:rPr>
        <w:t xml:space="preserve"> and Nb</w:t>
      </w:r>
      <w:r w:rsidRPr="002E712D">
        <w:rPr>
          <w:sz w:val="24"/>
          <w:szCs w:val="24"/>
          <w:vertAlign w:val="subscript"/>
        </w:rPr>
        <w:t>457</w:t>
      </w:r>
      <w:r>
        <w:rPr>
          <w:sz w:val="24"/>
          <w:szCs w:val="24"/>
        </w:rPr>
        <w:t>-Fc</w:t>
      </w:r>
      <w:r w:rsidRPr="00F0720E">
        <w:rPr>
          <w:sz w:val="24"/>
          <w:szCs w:val="24"/>
        </w:rPr>
        <w:t xml:space="preserve"> under reducing (R) and non-reducing (NR) conditions. The gel electrophoresis was performed to assess the molecular weight and integrity of the purified Nbs. (</w:t>
      </w:r>
      <w:r w:rsidRPr="00F0720E">
        <w:rPr>
          <w:b/>
          <w:sz w:val="24"/>
          <w:szCs w:val="24"/>
        </w:rPr>
        <w:t>B</w:t>
      </w:r>
      <w:r w:rsidRPr="00F0720E">
        <w:rPr>
          <w:sz w:val="24"/>
          <w:szCs w:val="24"/>
        </w:rPr>
        <w:t>) Western blot analysis was performed to examine the binding of CD4 protein under reducing (R) and non-reducing (NR) conditions with Nb</w:t>
      </w:r>
      <w:r w:rsidRPr="002E712D">
        <w:rPr>
          <w:sz w:val="24"/>
          <w:szCs w:val="24"/>
          <w:vertAlign w:val="subscript"/>
        </w:rPr>
        <w:t>434</w:t>
      </w:r>
      <w:r>
        <w:rPr>
          <w:sz w:val="24"/>
          <w:szCs w:val="24"/>
        </w:rPr>
        <w:t>-Fc</w:t>
      </w:r>
      <w:r w:rsidRPr="00F0720E">
        <w:rPr>
          <w:sz w:val="24"/>
          <w:szCs w:val="24"/>
        </w:rPr>
        <w:t xml:space="preserve"> or Nb</w:t>
      </w:r>
      <w:r w:rsidRPr="002E712D">
        <w:rPr>
          <w:sz w:val="24"/>
          <w:szCs w:val="24"/>
          <w:vertAlign w:val="subscript"/>
        </w:rPr>
        <w:t>457</w:t>
      </w:r>
      <w:r>
        <w:rPr>
          <w:sz w:val="24"/>
          <w:szCs w:val="24"/>
        </w:rPr>
        <w:t>-Fc</w:t>
      </w:r>
      <w:r w:rsidRPr="00F0720E">
        <w:rPr>
          <w:sz w:val="24"/>
          <w:szCs w:val="24"/>
        </w:rPr>
        <w:t>.</w:t>
      </w:r>
    </w:p>
    <w:p w14:paraId="32783536" w14:textId="77777777" w:rsidR="00674143" w:rsidRPr="00F0720E" w:rsidRDefault="00674143" w:rsidP="00674143">
      <w:pPr>
        <w:rPr>
          <w:sz w:val="24"/>
          <w:szCs w:val="24"/>
        </w:rPr>
      </w:pPr>
    </w:p>
    <w:p w14:paraId="489E159C" w14:textId="77777777" w:rsidR="00674143" w:rsidRPr="00F0720E" w:rsidRDefault="00674143" w:rsidP="00674143">
      <w:pPr>
        <w:rPr>
          <w:b/>
          <w:sz w:val="24"/>
          <w:szCs w:val="24"/>
        </w:rPr>
      </w:pPr>
      <w:r w:rsidRPr="00F0720E">
        <w:rPr>
          <w:b/>
          <w:sz w:val="24"/>
          <w:szCs w:val="24"/>
        </w:rPr>
        <w:t xml:space="preserve">Supplementary Figure 4. Characterization of Nbs binding to CD4 protein by ELISA. </w:t>
      </w:r>
      <w:r w:rsidRPr="00F0720E">
        <w:rPr>
          <w:sz w:val="24"/>
          <w:szCs w:val="24"/>
        </w:rPr>
        <w:t xml:space="preserve">The figure presents the dose-dependent binding curves of </w:t>
      </w:r>
      <w:r>
        <w:rPr>
          <w:sz w:val="24"/>
          <w:szCs w:val="24"/>
        </w:rPr>
        <w:t xml:space="preserve">Nbs to CD4 protein tested by </w:t>
      </w:r>
      <w:r w:rsidRPr="00F0720E">
        <w:rPr>
          <w:sz w:val="24"/>
          <w:szCs w:val="24"/>
        </w:rPr>
        <w:t>ELISA. Each Nb is indicated by a color line on the graph. Ibalizumab was used as the positive binding control, and Nb Ctl (Nb15-Fc</w:t>
      </w:r>
      <w:r>
        <w:rPr>
          <w:sz w:val="24"/>
          <w:szCs w:val="24"/>
        </w:rPr>
        <w:t xml:space="preserve"> binding to RBD of SARS-CoV-2</w:t>
      </w:r>
      <w:r w:rsidRPr="00F0720E">
        <w:rPr>
          <w:sz w:val="24"/>
          <w:szCs w:val="24"/>
        </w:rPr>
        <w:t>) served as the Nb negative control. The EC</w:t>
      </w:r>
      <w:r w:rsidRPr="00F0720E">
        <w:rPr>
          <w:sz w:val="24"/>
          <w:szCs w:val="24"/>
          <w:vertAlign w:val="subscript"/>
        </w:rPr>
        <w:t>50</w:t>
      </w:r>
      <w:r w:rsidRPr="00F0720E">
        <w:rPr>
          <w:sz w:val="24"/>
          <w:szCs w:val="24"/>
        </w:rPr>
        <w:t xml:space="preserve"> values, representing the half-maximal effective concentration of each Nb, are summarized below the figure. </w:t>
      </w:r>
    </w:p>
    <w:p w14:paraId="73AFD5F7" w14:textId="77777777" w:rsidR="00674143" w:rsidRPr="00F0720E" w:rsidRDefault="00674143" w:rsidP="00674143">
      <w:pPr>
        <w:rPr>
          <w:sz w:val="24"/>
          <w:szCs w:val="24"/>
        </w:rPr>
      </w:pPr>
      <w:r w:rsidRPr="00F0720E">
        <w:rPr>
          <w:sz w:val="24"/>
          <w:szCs w:val="24"/>
        </w:rPr>
        <w:br/>
      </w:r>
      <w:r w:rsidRPr="00F0720E">
        <w:rPr>
          <w:b/>
          <w:sz w:val="24"/>
          <w:szCs w:val="24"/>
        </w:rPr>
        <w:t>Supplementary Figure 5. Visual</w:t>
      </w:r>
      <w:r>
        <w:rPr>
          <w:b/>
          <w:sz w:val="24"/>
          <w:szCs w:val="24"/>
        </w:rPr>
        <w:t>ization of Nbs targeting CD4 T cells in tissue sections via i</w:t>
      </w:r>
      <w:r w:rsidRPr="00F0720E">
        <w:rPr>
          <w:b/>
          <w:sz w:val="24"/>
          <w:szCs w:val="24"/>
        </w:rPr>
        <w:t>mmunofluorescence assay.</w:t>
      </w:r>
      <w:r w:rsidRPr="00F0720E">
        <w:rPr>
          <w:sz w:val="24"/>
          <w:szCs w:val="24"/>
        </w:rPr>
        <w:t xml:space="preserve"> The immun</w:t>
      </w:r>
      <w:r>
        <w:rPr>
          <w:sz w:val="24"/>
          <w:szCs w:val="24"/>
        </w:rPr>
        <w:t>ofluorescence assay was conducted</w:t>
      </w:r>
      <w:r w:rsidRPr="00F0720E">
        <w:rPr>
          <w:sz w:val="24"/>
          <w:szCs w:val="24"/>
        </w:rPr>
        <w:t xml:space="preserve"> to investigate the interaction between Nbs and CD4 T cells within spleen t</w:t>
      </w:r>
      <w:r>
        <w:rPr>
          <w:sz w:val="24"/>
          <w:szCs w:val="24"/>
        </w:rPr>
        <w:t>issue sections from humanized ND</w:t>
      </w:r>
      <w:r w:rsidRPr="00F0720E">
        <w:rPr>
          <w:sz w:val="24"/>
          <w:szCs w:val="24"/>
        </w:rPr>
        <w:t>G-HuPBL mice, enriched with human CD4 T cells, alongside Mo</w:t>
      </w:r>
      <w:r>
        <w:rPr>
          <w:sz w:val="24"/>
          <w:szCs w:val="24"/>
        </w:rPr>
        <w:t>ck NDG mice. A</w:t>
      </w:r>
      <w:r w:rsidRPr="00F0720E">
        <w:rPr>
          <w:sz w:val="24"/>
          <w:szCs w:val="24"/>
        </w:rPr>
        <w:t>ntibodies, as specified in the figure, were employed for staining purposes. Ibalizumab served as the positive binding control, while Nb Ctl (Nb15-Fc) functioned as the negative Nb control within the immunofluorescence assay. DAPI staining highlighted cell nuclei, and the affirmative signal from antibody binding was represented in green. Images were captured using a ×20 objective.</w:t>
      </w:r>
      <w:r w:rsidRPr="00F0720E">
        <w:rPr>
          <w:b/>
          <w:sz w:val="24"/>
          <w:szCs w:val="24"/>
        </w:rPr>
        <w:t xml:space="preserve"> </w:t>
      </w:r>
    </w:p>
    <w:p w14:paraId="3BB04BD5" w14:textId="77777777" w:rsidR="00674143" w:rsidRPr="00F0720E" w:rsidRDefault="00674143" w:rsidP="00674143">
      <w:pPr>
        <w:rPr>
          <w:b/>
          <w:sz w:val="24"/>
          <w:szCs w:val="24"/>
        </w:rPr>
      </w:pPr>
    </w:p>
    <w:p w14:paraId="755A01D1" w14:textId="77777777" w:rsidR="00674143" w:rsidRDefault="00674143" w:rsidP="00674143">
      <w:pPr>
        <w:rPr>
          <w:b/>
          <w:sz w:val="24"/>
          <w:szCs w:val="24"/>
        </w:rPr>
      </w:pPr>
      <w:r w:rsidRPr="00F0720E">
        <w:rPr>
          <w:b/>
          <w:sz w:val="24"/>
          <w:szCs w:val="24"/>
        </w:rPr>
        <w:t>Supplementary Figure 6: Characterization of Nbs targeting CD4+ T Cell in PBMC using Flow Cytometry</w:t>
      </w:r>
      <w:r>
        <w:rPr>
          <w:b/>
          <w:sz w:val="24"/>
          <w:szCs w:val="24"/>
        </w:rPr>
        <w:t>.</w:t>
      </w:r>
      <w:r>
        <w:rPr>
          <w:rFonts w:hint="eastAsia"/>
          <w:b/>
          <w:sz w:val="24"/>
          <w:szCs w:val="24"/>
        </w:rPr>
        <w:t xml:space="preserve"> </w:t>
      </w:r>
      <w:r w:rsidRPr="00F0720E">
        <w:rPr>
          <w:sz w:val="24"/>
          <w:szCs w:val="24"/>
        </w:rPr>
        <w:t>Nanobodies (Nbs), including Nb434</w:t>
      </w:r>
      <w:r>
        <w:rPr>
          <w:sz w:val="24"/>
          <w:szCs w:val="24"/>
        </w:rPr>
        <w:t>-Fc</w:t>
      </w:r>
      <w:r w:rsidRPr="00F0720E">
        <w:rPr>
          <w:sz w:val="24"/>
          <w:szCs w:val="24"/>
        </w:rPr>
        <w:t xml:space="preserve"> and Nb</w:t>
      </w:r>
      <w:r w:rsidRPr="002E712D">
        <w:rPr>
          <w:sz w:val="24"/>
          <w:szCs w:val="24"/>
          <w:vertAlign w:val="subscript"/>
        </w:rPr>
        <w:t>457</w:t>
      </w:r>
      <w:r>
        <w:rPr>
          <w:sz w:val="24"/>
          <w:szCs w:val="24"/>
        </w:rPr>
        <w:t>-Fc</w:t>
      </w:r>
      <w:r w:rsidRPr="00F0720E">
        <w:rPr>
          <w:sz w:val="24"/>
          <w:szCs w:val="24"/>
        </w:rPr>
        <w:t>, alongside Ibalizumab, were labeled with APC and evaluated for their specificity in targeting CD4</w:t>
      </w:r>
      <w:r w:rsidRPr="00935480">
        <w:rPr>
          <w:sz w:val="24"/>
          <w:szCs w:val="24"/>
          <w:vertAlign w:val="superscript"/>
        </w:rPr>
        <w:t>+</w:t>
      </w:r>
      <w:r w:rsidRPr="00F0720E">
        <w:rPr>
          <w:sz w:val="24"/>
          <w:szCs w:val="24"/>
        </w:rPr>
        <w:t xml:space="preserve"> T cells within peripheral blood mononuclear cells (PBMC) using Flow Cytometry.</w:t>
      </w:r>
      <w:r w:rsidRPr="00615AD0">
        <w:rPr>
          <w:sz w:val="24"/>
          <w:szCs w:val="24"/>
        </w:rPr>
        <w:t xml:space="preserve"> Dead cells were identified by staining with FSV-eFluor506 (eBioscience™ Fixable Viability Dye eFluor™ 506, Cat# 65-0866-14, Thermo Fisher). The gating strategy for CD3</w:t>
      </w:r>
      <w:r w:rsidRPr="00935480">
        <w:rPr>
          <w:sz w:val="24"/>
          <w:szCs w:val="24"/>
          <w:vertAlign w:val="superscript"/>
        </w:rPr>
        <w:t>+</w:t>
      </w:r>
      <w:r w:rsidRPr="00615AD0">
        <w:rPr>
          <w:sz w:val="24"/>
          <w:szCs w:val="24"/>
        </w:rPr>
        <w:t>CD8</w:t>
      </w:r>
      <w:r w:rsidRPr="00935480">
        <w:rPr>
          <w:sz w:val="24"/>
          <w:szCs w:val="24"/>
          <w:vertAlign w:val="superscript"/>
        </w:rPr>
        <w:t>-</w:t>
      </w:r>
      <w:r w:rsidRPr="00615AD0">
        <w:rPr>
          <w:sz w:val="24"/>
          <w:szCs w:val="24"/>
        </w:rPr>
        <w:t>CD4</w:t>
      </w:r>
      <w:r w:rsidRPr="00935480">
        <w:rPr>
          <w:sz w:val="24"/>
          <w:szCs w:val="24"/>
          <w:vertAlign w:val="superscript"/>
        </w:rPr>
        <w:t>+</w:t>
      </w:r>
      <w:r w:rsidRPr="00615AD0">
        <w:rPr>
          <w:sz w:val="24"/>
          <w:szCs w:val="24"/>
        </w:rPr>
        <w:t xml:space="preserve"> cells is shown in the left panel. In the right panel, the X-axis represents the fluorescence intensity of CD3</w:t>
      </w:r>
      <w:r w:rsidRPr="00935480">
        <w:rPr>
          <w:sz w:val="24"/>
          <w:szCs w:val="24"/>
          <w:vertAlign w:val="superscript"/>
        </w:rPr>
        <w:t>+</w:t>
      </w:r>
      <w:r w:rsidRPr="00615AD0">
        <w:rPr>
          <w:sz w:val="24"/>
          <w:szCs w:val="24"/>
        </w:rPr>
        <w:t>CD8</w:t>
      </w:r>
      <w:r w:rsidRPr="00935480">
        <w:rPr>
          <w:sz w:val="24"/>
          <w:szCs w:val="24"/>
          <w:vertAlign w:val="superscript"/>
        </w:rPr>
        <w:t>-</w:t>
      </w:r>
      <w:r w:rsidRPr="00615AD0">
        <w:rPr>
          <w:sz w:val="24"/>
          <w:szCs w:val="24"/>
        </w:rPr>
        <w:t>CD4</w:t>
      </w:r>
      <w:r w:rsidRPr="00935480">
        <w:rPr>
          <w:sz w:val="24"/>
          <w:szCs w:val="24"/>
          <w:vertAlign w:val="superscript"/>
        </w:rPr>
        <w:t>+</w:t>
      </w:r>
      <w:r w:rsidRPr="00615AD0">
        <w:rPr>
          <w:sz w:val="24"/>
          <w:szCs w:val="24"/>
        </w:rPr>
        <w:t xml:space="preserve"> cells, while the Y-axis illustrates the fluorescence intensity of Nb434-APC, Nb457-APC, or Ibalizumab-APC. The upper right quadrant indicates the percentage of double-positive CD3</w:t>
      </w:r>
      <w:r w:rsidRPr="00935480">
        <w:rPr>
          <w:sz w:val="24"/>
          <w:szCs w:val="24"/>
          <w:vertAlign w:val="superscript"/>
        </w:rPr>
        <w:t>+</w:t>
      </w:r>
      <w:r w:rsidRPr="00615AD0">
        <w:rPr>
          <w:sz w:val="24"/>
          <w:szCs w:val="24"/>
        </w:rPr>
        <w:t>CD8</w:t>
      </w:r>
      <w:r w:rsidRPr="00935480">
        <w:rPr>
          <w:sz w:val="24"/>
          <w:szCs w:val="24"/>
          <w:vertAlign w:val="superscript"/>
        </w:rPr>
        <w:t>-</w:t>
      </w:r>
      <w:r w:rsidRPr="00615AD0">
        <w:rPr>
          <w:sz w:val="24"/>
          <w:szCs w:val="24"/>
        </w:rPr>
        <w:t>CD4</w:t>
      </w:r>
      <w:r w:rsidRPr="00935480">
        <w:rPr>
          <w:sz w:val="24"/>
          <w:szCs w:val="24"/>
          <w:vertAlign w:val="superscript"/>
        </w:rPr>
        <w:t>+</w:t>
      </w:r>
      <w:r w:rsidRPr="00615AD0">
        <w:rPr>
          <w:sz w:val="24"/>
          <w:szCs w:val="24"/>
        </w:rPr>
        <w:t xml:space="preserve"> cells with labeling by Nb434-APC, Nb457-APC, or Ibalizumab-APC.</w:t>
      </w:r>
    </w:p>
    <w:p w14:paraId="1904AE28" w14:textId="77777777" w:rsidR="00674143" w:rsidRPr="00F0720E" w:rsidRDefault="00674143" w:rsidP="00674143">
      <w:pPr>
        <w:rPr>
          <w:b/>
          <w:sz w:val="24"/>
          <w:szCs w:val="24"/>
        </w:rPr>
      </w:pPr>
    </w:p>
    <w:p w14:paraId="6399F87D" w14:textId="77777777" w:rsidR="00674143" w:rsidRPr="00F0720E" w:rsidRDefault="00674143" w:rsidP="00674143">
      <w:pPr>
        <w:rPr>
          <w:b/>
          <w:sz w:val="24"/>
          <w:szCs w:val="24"/>
        </w:rPr>
      </w:pPr>
      <w:r w:rsidRPr="00F0720E">
        <w:rPr>
          <w:b/>
          <w:sz w:val="24"/>
          <w:szCs w:val="24"/>
        </w:rPr>
        <w:t xml:space="preserve">Supplementary Figure 7. Determination of Nbs recognizing CD4 protein by BLI. </w:t>
      </w:r>
      <w:r w:rsidRPr="00F0720E">
        <w:rPr>
          <w:sz w:val="24"/>
          <w:szCs w:val="24"/>
        </w:rPr>
        <w:t>(</w:t>
      </w:r>
      <w:r w:rsidRPr="00F0720E">
        <w:rPr>
          <w:b/>
          <w:sz w:val="24"/>
          <w:szCs w:val="24"/>
        </w:rPr>
        <w:t>A-C</w:t>
      </w:r>
      <w:r w:rsidRPr="00F0720E">
        <w:rPr>
          <w:sz w:val="24"/>
          <w:szCs w:val="24"/>
        </w:rPr>
        <w:t>) Kinetic binding curve of Nb</w:t>
      </w:r>
      <w:r w:rsidRPr="002E712D">
        <w:rPr>
          <w:sz w:val="24"/>
          <w:szCs w:val="24"/>
          <w:vertAlign w:val="subscript"/>
        </w:rPr>
        <w:t>434</w:t>
      </w:r>
      <w:r>
        <w:rPr>
          <w:sz w:val="24"/>
          <w:szCs w:val="24"/>
        </w:rPr>
        <w:t>-Fc</w:t>
      </w:r>
      <w:r w:rsidRPr="00F0720E">
        <w:rPr>
          <w:sz w:val="24"/>
          <w:szCs w:val="24"/>
        </w:rPr>
        <w:t xml:space="preserve"> (A), Nb</w:t>
      </w:r>
      <w:r w:rsidRPr="002E712D">
        <w:rPr>
          <w:sz w:val="24"/>
          <w:szCs w:val="24"/>
          <w:vertAlign w:val="subscript"/>
        </w:rPr>
        <w:t>457</w:t>
      </w:r>
      <w:r>
        <w:rPr>
          <w:sz w:val="24"/>
          <w:szCs w:val="24"/>
        </w:rPr>
        <w:t>-Fc</w:t>
      </w:r>
      <w:r w:rsidRPr="00F0720E">
        <w:rPr>
          <w:sz w:val="24"/>
          <w:szCs w:val="24"/>
        </w:rPr>
        <w:t xml:space="preserve"> (</w:t>
      </w:r>
      <w:r w:rsidRPr="00F0720E">
        <w:rPr>
          <w:b/>
          <w:sz w:val="24"/>
          <w:szCs w:val="24"/>
        </w:rPr>
        <w:t>B</w:t>
      </w:r>
      <w:r w:rsidRPr="00F0720E">
        <w:rPr>
          <w:sz w:val="24"/>
          <w:szCs w:val="24"/>
        </w:rPr>
        <w:t>) and Ibalizumab (</w:t>
      </w:r>
      <w:r w:rsidRPr="00F0720E">
        <w:rPr>
          <w:b/>
          <w:sz w:val="24"/>
          <w:szCs w:val="24"/>
        </w:rPr>
        <w:t>C</w:t>
      </w:r>
      <w:r w:rsidRPr="00F0720E">
        <w:rPr>
          <w:sz w:val="24"/>
          <w:szCs w:val="24"/>
        </w:rPr>
        <w:t>) with CD4 at various concentrations (300 nM, 100 nM, 33.3 nM, 11.1 nM, 3.7 nM, 1.2 nM, and 0.4 nM) using BLI. The binding curve is depicted in black, and the fit of the data to a 1:1 binding model is shown in red. (</w:t>
      </w:r>
      <w:r w:rsidRPr="00F0720E">
        <w:rPr>
          <w:b/>
          <w:sz w:val="24"/>
          <w:szCs w:val="24"/>
        </w:rPr>
        <w:t>D</w:t>
      </w:r>
      <w:r w:rsidRPr="00F0720E">
        <w:rPr>
          <w:sz w:val="24"/>
          <w:szCs w:val="24"/>
        </w:rPr>
        <w:t>) The table summarizes the information of the kinetic binding curves presented in the above panels, providing crucial details about the interactions between Nbs (Nb</w:t>
      </w:r>
      <w:r w:rsidRPr="002E712D">
        <w:rPr>
          <w:sz w:val="24"/>
          <w:szCs w:val="24"/>
          <w:vertAlign w:val="subscript"/>
        </w:rPr>
        <w:t>434</w:t>
      </w:r>
      <w:r>
        <w:rPr>
          <w:sz w:val="24"/>
          <w:szCs w:val="24"/>
        </w:rPr>
        <w:t>-Fc</w:t>
      </w:r>
      <w:r w:rsidRPr="00F0720E">
        <w:rPr>
          <w:sz w:val="24"/>
          <w:szCs w:val="24"/>
        </w:rPr>
        <w:t xml:space="preserve"> and Nb</w:t>
      </w:r>
      <w:r w:rsidRPr="002E712D">
        <w:rPr>
          <w:sz w:val="24"/>
          <w:szCs w:val="24"/>
          <w:vertAlign w:val="subscript"/>
        </w:rPr>
        <w:t>457</w:t>
      </w:r>
      <w:r>
        <w:rPr>
          <w:sz w:val="24"/>
          <w:szCs w:val="24"/>
        </w:rPr>
        <w:t>-Fc</w:t>
      </w:r>
      <w:r w:rsidRPr="00F0720E">
        <w:rPr>
          <w:sz w:val="24"/>
          <w:szCs w:val="24"/>
        </w:rPr>
        <w:t>) and Ibalizumab with CD4 protein as determined by BLI.</w:t>
      </w:r>
    </w:p>
    <w:p w14:paraId="24DEC9F3" w14:textId="77777777" w:rsidR="00674143" w:rsidRDefault="00674143" w:rsidP="00674143">
      <w:pPr>
        <w:rPr>
          <w:b/>
          <w:sz w:val="24"/>
          <w:szCs w:val="24"/>
        </w:rPr>
      </w:pPr>
    </w:p>
    <w:p w14:paraId="11F63065" w14:textId="77777777" w:rsidR="00674143" w:rsidRPr="00F0720E" w:rsidRDefault="00674143" w:rsidP="00674143">
      <w:pPr>
        <w:rPr>
          <w:b/>
          <w:sz w:val="24"/>
          <w:szCs w:val="24"/>
        </w:rPr>
      </w:pPr>
      <w:r w:rsidRPr="00F0720E">
        <w:rPr>
          <w:b/>
          <w:sz w:val="24"/>
          <w:szCs w:val="24"/>
        </w:rPr>
        <w:t>Supplementary Figure 8. Neutralizing activity of Nbs against multiple subtypes of HIV-1 Pseudoviruses.</w:t>
      </w:r>
      <w:r w:rsidRPr="00F0720E">
        <w:rPr>
          <w:sz w:val="24"/>
          <w:szCs w:val="24"/>
        </w:rPr>
        <w:t xml:space="preserve"> (</w:t>
      </w:r>
      <w:r w:rsidRPr="00F0720E">
        <w:rPr>
          <w:b/>
          <w:sz w:val="24"/>
          <w:szCs w:val="24"/>
        </w:rPr>
        <w:t>A-C</w:t>
      </w:r>
      <w:r w:rsidRPr="00F0720E">
        <w:rPr>
          <w:sz w:val="24"/>
          <w:szCs w:val="24"/>
        </w:rPr>
        <w:t>) Graphs showing the IC</w:t>
      </w:r>
      <w:r w:rsidRPr="00F0720E">
        <w:rPr>
          <w:sz w:val="24"/>
          <w:szCs w:val="24"/>
          <w:vertAlign w:val="subscript"/>
        </w:rPr>
        <w:t>50</w:t>
      </w:r>
      <w:r w:rsidRPr="00F0720E">
        <w:rPr>
          <w:sz w:val="24"/>
          <w:szCs w:val="24"/>
        </w:rPr>
        <w:t xml:space="preserve"> values of Nb</w:t>
      </w:r>
      <w:r w:rsidRPr="002E712D">
        <w:rPr>
          <w:sz w:val="24"/>
          <w:szCs w:val="24"/>
          <w:vertAlign w:val="subscript"/>
        </w:rPr>
        <w:t>434</w:t>
      </w:r>
      <w:r>
        <w:rPr>
          <w:sz w:val="24"/>
          <w:szCs w:val="24"/>
        </w:rPr>
        <w:t>-Fc</w:t>
      </w:r>
      <w:r w:rsidRPr="00F0720E">
        <w:rPr>
          <w:sz w:val="24"/>
          <w:szCs w:val="24"/>
        </w:rPr>
        <w:t xml:space="preserve"> (</w:t>
      </w:r>
      <w:r w:rsidRPr="00F0720E">
        <w:rPr>
          <w:b/>
          <w:sz w:val="24"/>
          <w:szCs w:val="24"/>
        </w:rPr>
        <w:t>A</w:t>
      </w:r>
      <w:r w:rsidRPr="00F0720E">
        <w:rPr>
          <w:sz w:val="24"/>
          <w:szCs w:val="24"/>
        </w:rPr>
        <w:t>), Nb</w:t>
      </w:r>
      <w:r w:rsidRPr="002E712D">
        <w:rPr>
          <w:sz w:val="24"/>
          <w:szCs w:val="24"/>
          <w:vertAlign w:val="subscript"/>
        </w:rPr>
        <w:t>457</w:t>
      </w:r>
      <w:r w:rsidRPr="00F0720E">
        <w:rPr>
          <w:sz w:val="24"/>
          <w:szCs w:val="24"/>
        </w:rPr>
        <w:t xml:space="preserve"> </w:t>
      </w:r>
      <w:r>
        <w:rPr>
          <w:sz w:val="24"/>
          <w:szCs w:val="24"/>
        </w:rPr>
        <w:t xml:space="preserve">–Fc </w:t>
      </w:r>
      <w:r w:rsidRPr="00F0720E">
        <w:rPr>
          <w:sz w:val="24"/>
          <w:szCs w:val="24"/>
        </w:rPr>
        <w:t>(</w:t>
      </w:r>
      <w:r w:rsidRPr="00F0720E">
        <w:rPr>
          <w:b/>
          <w:sz w:val="24"/>
          <w:szCs w:val="24"/>
        </w:rPr>
        <w:t>B</w:t>
      </w:r>
      <w:r w:rsidRPr="00F0720E">
        <w:rPr>
          <w:sz w:val="24"/>
          <w:szCs w:val="24"/>
        </w:rPr>
        <w:t>) and Ibalizumab (</w:t>
      </w:r>
      <w:r w:rsidRPr="00F0720E">
        <w:rPr>
          <w:b/>
          <w:sz w:val="24"/>
          <w:szCs w:val="24"/>
        </w:rPr>
        <w:t>C</w:t>
      </w:r>
      <w:r w:rsidRPr="00F0720E">
        <w:rPr>
          <w:sz w:val="24"/>
          <w:szCs w:val="24"/>
        </w:rPr>
        <w:t xml:space="preserve">) in neutralizing various subtypes of HIV-1 pseudoviruses infection, as determined by the neutralization results from </w:t>
      </w:r>
      <w:r w:rsidRPr="00F0720E">
        <w:rPr>
          <w:b/>
          <w:sz w:val="24"/>
          <w:szCs w:val="24"/>
        </w:rPr>
        <w:t>Figure</w:t>
      </w:r>
      <w:r w:rsidRPr="00F0720E">
        <w:rPr>
          <w:sz w:val="24"/>
          <w:szCs w:val="24"/>
        </w:rPr>
        <w:t xml:space="preserve"> </w:t>
      </w:r>
      <w:r w:rsidRPr="00F0720E">
        <w:rPr>
          <w:b/>
          <w:sz w:val="24"/>
          <w:szCs w:val="24"/>
        </w:rPr>
        <w:t>3 A</w:t>
      </w:r>
      <w:r w:rsidRPr="00F0720E">
        <w:rPr>
          <w:sz w:val="24"/>
          <w:szCs w:val="24"/>
        </w:rPr>
        <w:t>.</w:t>
      </w:r>
    </w:p>
    <w:p w14:paraId="2CAB4040" w14:textId="77777777" w:rsidR="00674143" w:rsidRPr="0037669B" w:rsidRDefault="00674143" w:rsidP="00674143">
      <w:pPr>
        <w:rPr>
          <w:b/>
          <w:sz w:val="24"/>
          <w:szCs w:val="24"/>
        </w:rPr>
      </w:pPr>
    </w:p>
    <w:p w14:paraId="40CC9B83" w14:textId="77777777" w:rsidR="00674143" w:rsidRPr="00E424B1" w:rsidRDefault="00674143" w:rsidP="00674143">
      <w:pPr>
        <w:rPr>
          <w:sz w:val="24"/>
          <w:szCs w:val="24"/>
        </w:rPr>
      </w:pPr>
      <w:r w:rsidRPr="00F0720E">
        <w:rPr>
          <w:b/>
          <w:sz w:val="24"/>
          <w:szCs w:val="24"/>
        </w:rPr>
        <w:t>Supplementary Figure 9. Structural analysis of amino acid residues mediating interactions.</w:t>
      </w:r>
      <w:r w:rsidRPr="00F0720E">
        <w:rPr>
          <w:b/>
          <w:sz w:val="24"/>
          <w:szCs w:val="24"/>
        </w:rPr>
        <w:br/>
      </w:r>
      <w:r w:rsidRPr="006A1379">
        <w:rPr>
          <w:sz w:val="24"/>
          <w:szCs w:val="24"/>
        </w:rPr>
        <w:t>(</w:t>
      </w:r>
      <w:r w:rsidRPr="006A1379">
        <w:rPr>
          <w:b/>
          <w:sz w:val="24"/>
          <w:szCs w:val="24"/>
        </w:rPr>
        <w:t>A</w:t>
      </w:r>
      <w:r w:rsidRPr="006A1379">
        <w:rPr>
          <w:sz w:val="24"/>
          <w:szCs w:val="24"/>
        </w:rPr>
        <w:t>) Amino acid residues implicated in interactions within the CD4-Nb457 complex. The hydrogen bonds are depicted as cyan dashed line. (</w:t>
      </w:r>
      <w:r w:rsidRPr="006A1379">
        <w:rPr>
          <w:b/>
          <w:sz w:val="24"/>
          <w:szCs w:val="24"/>
        </w:rPr>
        <w:t>B</w:t>
      </w:r>
      <w:r w:rsidRPr="006A1379">
        <w:rPr>
          <w:sz w:val="24"/>
          <w:szCs w:val="24"/>
        </w:rPr>
        <w:t>) Amino acid residues participating in interactions within the CD4-gp120 complex. (</w:t>
      </w:r>
      <w:r w:rsidRPr="006A1379">
        <w:rPr>
          <w:b/>
          <w:sz w:val="24"/>
          <w:szCs w:val="24"/>
        </w:rPr>
        <w:t>C</w:t>
      </w:r>
      <w:r w:rsidRPr="006A1379">
        <w:rPr>
          <w:sz w:val="24"/>
          <w:szCs w:val="24"/>
        </w:rPr>
        <w:t>) Amino acid residues engaged in interactions within the CD4-gp120 complex subsequent to the binding event of Nb457 to CD4</w:t>
      </w:r>
      <w:r w:rsidRPr="00F0720E">
        <w:rPr>
          <w:sz w:val="24"/>
          <w:szCs w:val="24"/>
        </w:rPr>
        <w:t>.</w:t>
      </w:r>
    </w:p>
    <w:p w14:paraId="0476B647" w14:textId="77777777" w:rsidR="00674143" w:rsidRPr="00F0720E" w:rsidRDefault="00674143" w:rsidP="00674143">
      <w:pPr>
        <w:rPr>
          <w:sz w:val="24"/>
          <w:szCs w:val="24"/>
        </w:rPr>
      </w:pPr>
    </w:p>
    <w:p w14:paraId="593B726C" w14:textId="77777777" w:rsidR="00674143" w:rsidRPr="00F0720E" w:rsidRDefault="00674143" w:rsidP="00674143">
      <w:pPr>
        <w:rPr>
          <w:sz w:val="24"/>
          <w:szCs w:val="24"/>
        </w:rPr>
      </w:pPr>
      <w:r w:rsidRPr="00F0720E">
        <w:rPr>
          <w:b/>
          <w:sz w:val="24"/>
          <w:szCs w:val="24"/>
        </w:rPr>
        <w:t>Supplementary Figure 10. Structural insights into the CD4 epitope interactions with diverse antibodies and proteins.</w:t>
      </w:r>
      <w:r w:rsidRPr="00F0720E">
        <w:rPr>
          <w:sz w:val="24"/>
          <w:szCs w:val="24"/>
        </w:rPr>
        <w:t xml:space="preserve"> (</w:t>
      </w:r>
      <w:r w:rsidRPr="00F0720E">
        <w:rPr>
          <w:b/>
          <w:sz w:val="24"/>
          <w:szCs w:val="24"/>
        </w:rPr>
        <w:t>A</w:t>
      </w:r>
      <w:r w:rsidRPr="00F0720E">
        <w:rPr>
          <w:sz w:val="24"/>
          <w:szCs w:val="24"/>
        </w:rPr>
        <w:t>) Spatial alignment of the binding sites of Nb457 and gp120 on the D1-D2 segment of CD4. The gp120 binding region is delineated by a green line, while the Nb457 binding region is vividly represented in pink. The region of convergence is demarcated by ellipses accompanied by outlines. (</w:t>
      </w:r>
      <w:r w:rsidRPr="00F0720E">
        <w:rPr>
          <w:b/>
          <w:sz w:val="24"/>
          <w:szCs w:val="24"/>
        </w:rPr>
        <w:t>B</w:t>
      </w:r>
      <w:r w:rsidRPr="00F0720E">
        <w:rPr>
          <w:sz w:val="24"/>
          <w:szCs w:val="24"/>
        </w:rPr>
        <w:t>) Comparative visualization of the binding sites of Nb457 and Ibalizumab within the D1-D2 segment of CD4. The Ibalizumab binding locale is portrayed through a cyan line, harmoniously juxtaposed with the distinctive Nb457 binding area portrayed in pink. (</w:t>
      </w:r>
      <w:r w:rsidRPr="00F0720E">
        <w:rPr>
          <w:b/>
          <w:sz w:val="24"/>
          <w:szCs w:val="24"/>
        </w:rPr>
        <w:t>C</w:t>
      </w:r>
      <w:r w:rsidRPr="00F0720E">
        <w:rPr>
          <w:sz w:val="24"/>
          <w:szCs w:val="24"/>
        </w:rPr>
        <w:t xml:space="preserve">) Concurrent representation of the binding locales of Nb457 and MHC-II on the D1-D2 region of CD4. The MHC-II binding region is elegantly highlighted in </w:t>
      </w:r>
      <w:r>
        <w:rPr>
          <w:sz w:val="24"/>
          <w:szCs w:val="24"/>
        </w:rPr>
        <w:t>blue</w:t>
      </w:r>
      <w:r w:rsidRPr="00F0720E">
        <w:rPr>
          <w:sz w:val="24"/>
          <w:szCs w:val="24"/>
        </w:rPr>
        <w:t>, harmonizing with the visually striking depiction of the Nb457 binding region in pink.</w:t>
      </w:r>
    </w:p>
    <w:p w14:paraId="58A16EA7" w14:textId="77777777" w:rsidR="00674143" w:rsidRPr="00F0720E" w:rsidRDefault="00674143" w:rsidP="00674143">
      <w:pPr>
        <w:rPr>
          <w:b/>
          <w:sz w:val="24"/>
          <w:szCs w:val="24"/>
        </w:rPr>
      </w:pPr>
    </w:p>
    <w:p w14:paraId="441ED934" w14:textId="77777777" w:rsidR="00674143" w:rsidRPr="00FF4357" w:rsidRDefault="00674143" w:rsidP="00FF4357">
      <w:pPr>
        <w:rPr>
          <w:sz w:val="24"/>
          <w:szCs w:val="24"/>
        </w:rPr>
      </w:pPr>
      <w:bookmarkStart w:id="0" w:name="_GoBack"/>
      <w:bookmarkEnd w:id="0"/>
      <w:r w:rsidRPr="00FF4357">
        <w:rPr>
          <w:b/>
          <w:sz w:val="24"/>
          <w:szCs w:val="24"/>
        </w:rPr>
        <w:t xml:space="preserve">Supplementary Figure 11. Epitope competition investigation within CD4 via flow cytometry analysis. </w:t>
      </w:r>
      <w:r w:rsidRPr="00FF4357">
        <w:rPr>
          <w:sz w:val="24"/>
          <w:szCs w:val="24"/>
        </w:rPr>
        <w:t>(</w:t>
      </w:r>
      <w:r w:rsidRPr="00FF4357">
        <w:rPr>
          <w:b/>
          <w:sz w:val="24"/>
          <w:szCs w:val="24"/>
        </w:rPr>
        <w:t>A</w:t>
      </w:r>
      <w:r w:rsidRPr="00FF4357">
        <w:rPr>
          <w:sz w:val="24"/>
          <w:szCs w:val="24"/>
        </w:rPr>
        <w:t>) Histogram depicting the inhibitory impact of 5 μg Nb</w:t>
      </w:r>
      <w:r w:rsidRPr="00FF4357">
        <w:rPr>
          <w:sz w:val="24"/>
          <w:szCs w:val="24"/>
          <w:vertAlign w:val="subscript"/>
        </w:rPr>
        <w:t>457</w:t>
      </w:r>
      <w:r w:rsidRPr="00FF4357">
        <w:rPr>
          <w:sz w:val="24"/>
          <w:szCs w:val="24"/>
        </w:rPr>
        <w:t>-Fc or Ibalizumab on Ibalizumab-FITC (1μg) binding to CD4</w:t>
      </w:r>
      <w:r w:rsidRPr="00FF4357">
        <w:rPr>
          <w:sz w:val="24"/>
          <w:szCs w:val="24"/>
          <w:vertAlign w:val="superscript"/>
        </w:rPr>
        <w:t>+</w:t>
      </w:r>
      <w:r w:rsidRPr="00FF4357">
        <w:rPr>
          <w:sz w:val="24"/>
          <w:szCs w:val="24"/>
        </w:rPr>
        <w:t xml:space="preserve"> T cells (human PBMC), as evaluated using flow cytometry.</w:t>
      </w:r>
      <w:r w:rsidRPr="00FF4357">
        <w:rPr>
          <w:b/>
          <w:sz w:val="24"/>
          <w:szCs w:val="24"/>
        </w:rPr>
        <w:t xml:space="preserve"> </w:t>
      </w:r>
      <w:r w:rsidRPr="00FF4357">
        <w:rPr>
          <w:sz w:val="24"/>
          <w:szCs w:val="24"/>
        </w:rPr>
        <w:t>(</w:t>
      </w:r>
      <w:r w:rsidRPr="00FF4357">
        <w:rPr>
          <w:b/>
          <w:sz w:val="24"/>
          <w:szCs w:val="24"/>
        </w:rPr>
        <w:t>B</w:t>
      </w:r>
      <w:r w:rsidRPr="00FF4357">
        <w:rPr>
          <w:sz w:val="24"/>
          <w:szCs w:val="24"/>
        </w:rPr>
        <w:t>) Bar chart succinctly presenting the summarized results extracted from panel A.</w:t>
      </w:r>
      <w:r w:rsidRPr="00FF4357">
        <w:rPr>
          <w:b/>
          <w:sz w:val="24"/>
          <w:szCs w:val="24"/>
        </w:rPr>
        <w:t xml:space="preserve"> </w:t>
      </w:r>
      <w:r w:rsidRPr="00FF4357">
        <w:rPr>
          <w:sz w:val="24"/>
          <w:szCs w:val="24"/>
        </w:rPr>
        <w:t>(</w:t>
      </w:r>
      <w:r w:rsidRPr="00FF4357">
        <w:rPr>
          <w:b/>
          <w:sz w:val="24"/>
          <w:szCs w:val="24"/>
        </w:rPr>
        <w:t>C</w:t>
      </w:r>
      <w:r w:rsidRPr="00FF4357">
        <w:rPr>
          <w:sz w:val="24"/>
          <w:szCs w:val="24"/>
        </w:rPr>
        <w:t>) Histogram illustrating the suppressive effect of 5 μg Nb</w:t>
      </w:r>
      <w:r w:rsidRPr="00FF4357">
        <w:rPr>
          <w:sz w:val="24"/>
          <w:szCs w:val="24"/>
          <w:vertAlign w:val="subscript"/>
        </w:rPr>
        <w:t>457</w:t>
      </w:r>
      <w:r w:rsidRPr="00FF4357">
        <w:rPr>
          <w:sz w:val="24"/>
          <w:szCs w:val="24"/>
        </w:rPr>
        <w:t>-Fc or Ibalizumab on Nb</w:t>
      </w:r>
      <w:r w:rsidRPr="00FF4357">
        <w:rPr>
          <w:sz w:val="24"/>
          <w:szCs w:val="24"/>
          <w:vertAlign w:val="subscript"/>
        </w:rPr>
        <w:t>457</w:t>
      </w:r>
      <w:r w:rsidRPr="00FF4357">
        <w:rPr>
          <w:sz w:val="24"/>
          <w:szCs w:val="24"/>
        </w:rPr>
        <w:t>-Fc-FITC (1μg) binding to CD4</w:t>
      </w:r>
      <w:r w:rsidRPr="00FF4357">
        <w:rPr>
          <w:sz w:val="24"/>
          <w:szCs w:val="24"/>
          <w:vertAlign w:val="superscript"/>
        </w:rPr>
        <w:t>+</w:t>
      </w:r>
      <w:r w:rsidRPr="00FF4357">
        <w:rPr>
          <w:sz w:val="24"/>
          <w:szCs w:val="24"/>
        </w:rPr>
        <w:t>T cells (MT-2), assessed through flow cytometry.</w:t>
      </w:r>
      <w:r w:rsidRPr="00FF4357">
        <w:rPr>
          <w:b/>
          <w:sz w:val="24"/>
          <w:szCs w:val="24"/>
        </w:rPr>
        <w:t xml:space="preserve"> </w:t>
      </w:r>
      <w:r w:rsidRPr="00FF4357">
        <w:rPr>
          <w:sz w:val="24"/>
          <w:szCs w:val="24"/>
        </w:rPr>
        <w:t>(</w:t>
      </w:r>
      <w:r w:rsidRPr="00FF4357">
        <w:rPr>
          <w:b/>
          <w:sz w:val="24"/>
          <w:szCs w:val="24"/>
        </w:rPr>
        <w:t>D</w:t>
      </w:r>
      <w:r w:rsidRPr="00FF4357">
        <w:rPr>
          <w:sz w:val="24"/>
          <w:szCs w:val="24"/>
        </w:rPr>
        <w:t>) Bar chart offering a concise overview of the observations delineated in panel C.</w:t>
      </w:r>
    </w:p>
    <w:p w14:paraId="6E7F863D" w14:textId="77777777" w:rsidR="00674143" w:rsidRDefault="00674143" w:rsidP="00674143">
      <w:pPr>
        <w:pStyle w:val="af0"/>
        <w:ind w:firstLine="480"/>
        <w:rPr>
          <w:sz w:val="24"/>
          <w:szCs w:val="24"/>
        </w:rPr>
      </w:pPr>
    </w:p>
    <w:p w14:paraId="2D4DD702" w14:textId="77777777" w:rsidR="00674143" w:rsidRPr="00F0720E" w:rsidRDefault="00674143" w:rsidP="00674143">
      <w:pPr>
        <w:rPr>
          <w:b/>
          <w:sz w:val="24"/>
          <w:szCs w:val="24"/>
        </w:rPr>
      </w:pPr>
    </w:p>
    <w:p w14:paraId="1E3E4384" w14:textId="77777777" w:rsidR="00674143" w:rsidRDefault="00674143" w:rsidP="00674143">
      <w:pPr>
        <w:rPr>
          <w:sz w:val="24"/>
          <w:szCs w:val="24"/>
        </w:rPr>
      </w:pPr>
      <w:r w:rsidRPr="00F0720E">
        <w:rPr>
          <w:b/>
          <w:sz w:val="24"/>
          <w:szCs w:val="24"/>
        </w:rPr>
        <w:t>Supplementary Figure 12. Impact of</w:t>
      </w:r>
      <w:r>
        <w:rPr>
          <w:b/>
          <w:sz w:val="24"/>
          <w:szCs w:val="24"/>
        </w:rPr>
        <w:t xml:space="preserve"> Nb457 on CD4 binding to MHC-II on Daudi c</w:t>
      </w:r>
      <w:r w:rsidRPr="00F0720E">
        <w:rPr>
          <w:b/>
          <w:sz w:val="24"/>
          <w:szCs w:val="24"/>
        </w:rPr>
        <w:t>ells</w:t>
      </w:r>
      <w:r>
        <w:rPr>
          <w:b/>
          <w:sz w:val="24"/>
          <w:szCs w:val="24"/>
        </w:rPr>
        <w:t>.</w:t>
      </w:r>
      <w:r w:rsidRPr="00B66364">
        <w:rPr>
          <w:b/>
          <w:sz w:val="24"/>
          <w:szCs w:val="24"/>
        </w:rPr>
        <w:t xml:space="preserve"> </w:t>
      </w:r>
      <w:r w:rsidRPr="00B66364">
        <w:rPr>
          <w:sz w:val="24"/>
          <w:szCs w:val="24"/>
        </w:rPr>
        <w:t>(</w:t>
      </w:r>
      <w:r w:rsidRPr="00B66364">
        <w:rPr>
          <w:b/>
          <w:sz w:val="24"/>
          <w:szCs w:val="24"/>
        </w:rPr>
        <w:t>A</w:t>
      </w:r>
      <w:r w:rsidRPr="00B66364">
        <w:rPr>
          <w:sz w:val="24"/>
          <w:szCs w:val="24"/>
        </w:rPr>
        <w:t>) Histogram illustrating the dose-dependent interaction of CD4-rFc with MHC-II on Daudi cells. A range of CD4-rFc concentrations (0.01 μg/ml to 2.2 μg/ml) was added to Daudi cells, followed by detection using an anti-rabbit-Fc secondary antibody labeled with FITC. (</w:t>
      </w:r>
      <w:r w:rsidRPr="00B66364">
        <w:rPr>
          <w:b/>
          <w:sz w:val="24"/>
          <w:szCs w:val="24"/>
        </w:rPr>
        <w:t>B</w:t>
      </w:r>
      <w:r w:rsidRPr="00B66364">
        <w:rPr>
          <w:sz w:val="24"/>
          <w:szCs w:val="24"/>
        </w:rPr>
        <w:t>) Binding curve depicting the binding of Daudi cells by 0.1 μg of CD4-rFc pre-incubated with Nb457, Ibalizumab, or Nb CTL at the specified concentrations. This assessment was conducted using flow cytometry. The curve highlights the comparative impact of these agents on the CD4-MHC-II interaction.</w:t>
      </w:r>
    </w:p>
    <w:p w14:paraId="55B0E5FC" w14:textId="77777777" w:rsidR="00674143" w:rsidRDefault="00674143" w:rsidP="00674143"/>
    <w:p w14:paraId="7E73D5E0" w14:textId="77777777" w:rsidR="00674143" w:rsidRPr="00F0720E" w:rsidRDefault="00674143" w:rsidP="00674143">
      <w:pPr>
        <w:rPr>
          <w:sz w:val="24"/>
          <w:szCs w:val="24"/>
        </w:rPr>
      </w:pPr>
      <w:r w:rsidRPr="00F0720E">
        <w:rPr>
          <w:b/>
          <w:sz w:val="24"/>
          <w:szCs w:val="24"/>
        </w:rPr>
        <w:t>Supplementary Figure 13. Determination of Nb</w:t>
      </w:r>
      <w:r w:rsidRPr="006A1379">
        <w:rPr>
          <w:b/>
          <w:sz w:val="24"/>
          <w:szCs w:val="24"/>
          <w:vertAlign w:val="subscript"/>
        </w:rPr>
        <w:t>457</w:t>
      </w:r>
      <w:r w:rsidRPr="00F0720E">
        <w:rPr>
          <w:b/>
          <w:sz w:val="24"/>
          <w:szCs w:val="24"/>
        </w:rPr>
        <w:t>-Nb</w:t>
      </w:r>
      <w:r w:rsidRPr="006A1379">
        <w:rPr>
          <w:b/>
          <w:sz w:val="24"/>
          <w:szCs w:val="24"/>
          <w:vertAlign w:val="subscript"/>
        </w:rPr>
        <w:t>HSA</w:t>
      </w:r>
      <w:r w:rsidRPr="00F0720E">
        <w:rPr>
          <w:b/>
          <w:sz w:val="24"/>
          <w:szCs w:val="24"/>
        </w:rPr>
        <w:t>-Nb</w:t>
      </w:r>
      <w:r w:rsidRPr="006A1379">
        <w:rPr>
          <w:b/>
          <w:sz w:val="24"/>
          <w:szCs w:val="24"/>
          <w:vertAlign w:val="subscript"/>
        </w:rPr>
        <w:t>457</w:t>
      </w:r>
      <w:r>
        <w:rPr>
          <w:b/>
          <w:sz w:val="24"/>
          <w:szCs w:val="24"/>
        </w:rPr>
        <w:t xml:space="preserve"> r</w:t>
      </w:r>
      <w:r w:rsidRPr="00F0720E">
        <w:rPr>
          <w:b/>
          <w:sz w:val="24"/>
          <w:szCs w:val="24"/>
        </w:rPr>
        <w:t>ecognizing CD4 and HSA Protein by BLI.</w:t>
      </w:r>
      <w:r w:rsidRPr="00F0720E">
        <w:rPr>
          <w:sz w:val="24"/>
          <w:szCs w:val="24"/>
        </w:rPr>
        <w:t xml:space="preserve"> (</w:t>
      </w:r>
      <w:r w:rsidRPr="00F0720E">
        <w:rPr>
          <w:b/>
          <w:sz w:val="24"/>
          <w:szCs w:val="24"/>
        </w:rPr>
        <w:t>A</w:t>
      </w:r>
      <w:r w:rsidRPr="00F0720E">
        <w:rPr>
          <w:sz w:val="24"/>
          <w:szCs w:val="24"/>
        </w:rPr>
        <w:t>) Kinetic binding curve of Nb</w:t>
      </w:r>
      <w:r w:rsidRPr="000E0097">
        <w:rPr>
          <w:sz w:val="24"/>
          <w:szCs w:val="24"/>
          <w:vertAlign w:val="subscript"/>
        </w:rPr>
        <w:t>457</w:t>
      </w:r>
      <w:r w:rsidRPr="00F0720E">
        <w:rPr>
          <w:sz w:val="24"/>
          <w:szCs w:val="24"/>
        </w:rPr>
        <w:t>-Nb</w:t>
      </w:r>
      <w:r w:rsidRPr="000E0097">
        <w:rPr>
          <w:sz w:val="24"/>
          <w:szCs w:val="24"/>
          <w:vertAlign w:val="subscript"/>
        </w:rPr>
        <w:t>HSA</w:t>
      </w:r>
      <w:r w:rsidRPr="00F0720E">
        <w:rPr>
          <w:sz w:val="24"/>
          <w:szCs w:val="24"/>
        </w:rPr>
        <w:t>-Nb</w:t>
      </w:r>
      <w:r w:rsidRPr="000E0097">
        <w:rPr>
          <w:sz w:val="24"/>
          <w:szCs w:val="24"/>
          <w:vertAlign w:val="subscript"/>
        </w:rPr>
        <w:t>457</w:t>
      </w:r>
      <w:r>
        <w:rPr>
          <w:sz w:val="24"/>
          <w:szCs w:val="24"/>
          <w:vertAlign w:val="subscript"/>
        </w:rPr>
        <w:t xml:space="preserve"> </w:t>
      </w:r>
      <w:r w:rsidRPr="00F0720E">
        <w:rPr>
          <w:sz w:val="24"/>
          <w:szCs w:val="24"/>
        </w:rPr>
        <w:t>with CD4 at various concentrations (300 nM, 100 nM, 33.3 nM, 11.1 nM, 3.7 nM, 1.2 nM, and 0.4 nM) using BLI. The binding curve is depicted in black, and the fit of the data to a 1:1 binding model is shown in red. (</w:t>
      </w:r>
      <w:r w:rsidRPr="00F0720E">
        <w:rPr>
          <w:b/>
          <w:sz w:val="24"/>
          <w:szCs w:val="24"/>
        </w:rPr>
        <w:t>B</w:t>
      </w:r>
      <w:r w:rsidRPr="00F0720E">
        <w:rPr>
          <w:sz w:val="24"/>
          <w:szCs w:val="24"/>
        </w:rPr>
        <w:t>) Kinetic binding curve of Nb</w:t>
      </w:r>
      <w:r w:rsidRPr="000E0097">
        <w:rPr>
          <w:sz w:val="24"/>
          <w:szCs w:val="24"/>
          <w:vertAlign w:val="subscript"/>
        </w:rPr>
        <w:t>457</w:t>
      </w:r>
      <w:r w:rsidRPr="00F0720E">
        <w:rPr>
          <w:sz w:val="24"/>
          <w:szCs w:val="24"/>
        </w:rPr>
        <w:t>-Nb</w:t>
      </w:r>
      <w:r w:rsidRPr="000E0097">
        <w:rPr>
          <w:sz w:val="24"/>
          <w:szCs w:val="24"/>
          <w:vertAlign w:val="subscript"/>
        </w:rPr>
        <w:t>HSA</w:t>
      </w:r>
      <w:r w:rsidRPr="00F0720E">
        <w:rPr>
          <w:sz w:val="24"/>
          <w:szCs w:val="24"/>
        </w:rPr>
        <w:t>-Nb</w:t>
      </w:r>
      <w:r w:rsidRPr="000E0097">
        <w:rPr>
          <w:sz w:val="24"/>
          <w:szCs w:val="24"/>
          <w:vertAlign w:val="subscript"/>
        </w:rPr>
        <w:t>457</w:t>
      </w:r>
      <w:r w:rsidRPr="00F0720E">
        <w:rPr>
          <w:sz w:val="24"/>
          <w:szCs w:val="24"/>
        </w:rPr>
        <w:t xml:space="preserve"> with HSA at various concentrations (300 nM, 100 nM, 33.3 nM, 11.1 nM, 3.7 nM, 1.2 nM, and 0.4 nM) using BLI. The binding curve is represented in black, and the fit of the data to a 1:1 binding model is indicated in red. (</w:t>
      </w:r>
      <w:r w:rsidRPr="00F0720E">
        <w:rPr>
          <w:b/>
          <w:sz w:val="24"/>
          <w:szCs w:val="24"/>
        </w:rPr>
        <w:t>C</w:t>
      </w:r>
      <w:r w:rsidRPr="00F0720E">
        <w:rPr>
          <w:sz w:val="24"/>
          <w:szCs w:val="24"/>
        </w:rPr>
        <w:t>) The table summarizes the information of the kinetic binding curves presented in the above panels, providing crucial details about the interactions between Nb</w:t>
      </w:r>
      <w:r w:rsidRPr="009328C6">
        <w:rPr>
          <w:sz w:val="24"/>
          <w:szCs w:val="24"/>
          <w:vertAlign w:val="subscript"/>
        </w:rPr>
        <w:t>457</w:t>
      </w:r>
      <w:r w:rsidRPr="00F0720E">
        <w:rPr>
          <w:sz w:val="24"/>
          <w:szCs w:val="24"/>
        </w:rPr>
        <w:t>-Nb</w:t>
      </w:r>
      <w:r w:rsidRPr="009328C6">
        <w:rPr>
          <w:sz w:val="24"/>
          <w:szCs w:val="24"/>
          <w:vertAlign w:val="subscript"/>
        </w:rPr>
        <w:t>HSA</w:t>
      </w:r>
      <w:r w:rsidRPr="00F0720E">
        <w:rPr>
          <w:sz w:val="24"/>
          <w:szCs w:val="24"/>
        </w:rPr>
        <w:t>-Nb</w:t>
      </w:r>
      <w:r w:rsidRPr="009328C6">
        <w:rPr>
          <w:sz w:val="24"/>
          <w:szCs w:val="24"/>
          <w:vertAlign w:val="subscript"/>
        </w:rPr>
        <w:t>457</w:t>
      </w:r>
      <w:r w:rsidRPr="00F0720E">
        <w:rPr>
          <w:sz w:val="24"/>
          <w:szCs w:val="24"/>
        </w:rPr>
        <w:t xml:space="preserve"> with CD4 and HSA proteins as determined by BLI. </w:t>
      </w:r>
    </w:p>
    <w:p w14:paraId="3CE0F0B4" w14:textId="77777777" w:rsidR="00674143" w:rsidRDefault="00674143" w:rsidP="00674143">
      <w:pPr>
        <w:rPr>
          <w:color w:val="000000"/>
          <w:kern w:val="0"/>
          <w:sz w:val="24"/>
          <w:szCs w:val="24"/>
        </w:rPr>
      </w:pPr>
      <w:r>
        <w:rPr>
          <w:b/>
          <w:bCs/>
          <w:color w:val="000000"/>
          <w:kern w:val="0"/>
          <w:sz w:val="24"/>
          <w:szCs w:val="24"/>
        </w:rPr>
        <w:t>Supplementary Figure 14. MD simulation revealed</w:t>
      </w:r>
      <w:r w:rsidRPr="003F6135">
        <w:rPr>
          <w:b/>
          <w:bCs/>
          <w:color w:val="000000"/>
          <w:kern w:val="0"/>
          <w:sz w:val="24"/>
          <w:szCs w:val="24"/>
        </w:rPr>
        <w:t xml:space="preserve"> </w:t>
      </w:r>
      <w:r>
        <w:rPr>
          <w:b/>
          <w:bCs/>
          <w:color w:val="000000"/>
          <w:kern w:val="0"/>
          <w:sz w:val="24"/>
          <w:szCs w:val="24"/>
        </w:rPr>
        <w:t xml:space="preserve">the </w:t>
      </w:r>
      <w:r>
        <w:rPr>
          <w:rFonts w:hint="eastAsia"/>
          <w:b/>
          <w:bCs/>
          <w:color w:val="000000"/>
          <w:kern w:val="0"/>
          <w:sz w:val="24"/>
          <w:szCs w:val="24"/>
        </w:rPr>
        <w:t>mol</w:t>
      </w:r>
      <w:r>
        <w:rPr>
          <w:b/>
          <w:bCs/>
          <w:color w:val="000000"/>
          <w:kern w:val="0"/>
          <w:sz w:val="24"/>
          <w:szCs w:val="24"/>
        </w:rPr>
        <w:t>ecular mechanism underlying the</w:t>
      </w:r>
      <w:r w:rsidRPr="003F6135">
        <w:rPr>
          <w:b/>
          <w:bCs/>
          <w:color w:val="000000"/>
          <w:kern w:val="0"/>
          <w:sz w:val="24"/>
          <w:szCs w:val="24"/>
        </w:rPr>
        <w:t xml:space="preserve"> </w:t>
      </w:r>
      <w:r>
        <w:rPr>
          <w:b/>
          <w:bCs/>
          <w:color w:val="000000"/>
          <w:kern w:val="0"/>
          <w:sz w:val="24"/>
          <w:szCs w:val="24"/>
        </w:rPr>
        <w:t>effect</w:t>
      </w:r>
      <w:r w:rsidRPr="003F6135">
        <w:rPr>
          <w:b/>
          <w:bCs/>
          <w:color w:val="000000"/>
          <w:kern w:val="0"/>
          <w:sz w:val="24"/>
          <w:szCs w:val="24"/>
        </w:rPr>
        <w:t xml:space="preserve"> of Nb</w:t>
      </w:r>
      <w:r w:rsidRPr="00DF2424">
        <w:rPr>
          <w:b/>
          <w:bCs/>
          <w:color w:val="000000"/>
          <w:kern w:val="0"/>
          <w:sz w:val="24"/>
          <w:szCs w:val="24"/>
          <w:vertAlign w:val="subscript"/>
        </w:rPr>
        <w:t>457</w:t>
      </w:r>
      <w:r w:rsidRPr="003F6135">
        <w:rPr>
          <w:b/>
          <w:bCs/>
          <w:color w:val="000000"/>
          <w:kern w:val="0"/>
          <w:sz w:val="24"/>
          <w:szCs w:val="24"/>
        </w:rPr>
        <w:t>-Fc and Nb</w:t>
      </w:r>
      <w:r w:rsidRPr="00DF2424">
        <w:rPr>
          <w:b/>
          <w:bCs/>
          <w:color w:val="000000"/>
          <w:kern w:val="0"/>
          <w:sz w:val="24"/>
          <w:szCs w:val="24"/>
          <w:vertAlign w:val="subscript"/>
        </w:rPr>
        <w:t>457</w:t>
      </w:r>
      <w:r w:rsidRPr="003F6135">
        <w:rPr>
          <w:b/>
          <w:bCs/>
          <w:color w:val="000000"/>
          <w:kern w:val="0"/>
          <w:sz w:val="24"/>
          <w:szCs w:val="24"/>
        </w:rPr>
        <w:t>-Nb</w:t>
      </w:r>
      <w:r w:rsidRPr="00DF2424">
        <w:rPr>
          <w:b/>
          <w:bCs/>
          <w:color w:val="000000"/>
          <w:kern w:val="0"/>
          <w:sz w:val="24"/>
          <w:szCs w:val="24"/>
          <w:vertAlign w:val="subscript"/>
        </w:rPr>
        <w:t>HSA</w:t>
      </w:r>
      <w:r w:rsidRPr="003F6135">
        <w:rPr>
          <w:b/>
          <w:bCs/>
          <w:color w:val="000000"/>
          <w:kern w:val="0"/>
          <w:sz w:val="24"/>
          <w:szCs w:val="24"/>
        </w:rPr>
        <w:t>-Nb</w:t>
      </w:r>
      <w:r w:rsidRPr="00DF2424">
        <w:rPr>
          <w:b/>
          <w:bCs/>
          <w:color w:val="000000"/>
          <w:kern w:val="0"/>
          <w:sz w:val="24"/>
          <w:szCs w:val="24"/>
          <w:vertAlign w:val="subscript"/>
        </w:rPr>
        <w:t>457</w:t>
      </w:r>
      <w:r w:rsidRPr="003F6135">
        <w:rPr>
          <w:b/>
          <w:bCs/>
          <w:color w:val="000000"/>
          <w:kern w:val="0"/>
          <w:sz w:val="24"/>
          <w:szCs w:val="24"/>
        </w:rPr>
        <w:t xml:space="preserve">. </w:t>
      </w:r>
      <w:r w:rsidRPr="003F6135">
        <w:rPr>
          <w:color w:val="000000"/>
          <w:kern w:val="0"/>
          <w:sz w:val="24"/>
          <w:szCs w:val="24"/>
        </w:rPr>
        <w:t>(</w:t>
      </w:r>
      <w:r w:rsidRPr="003F6135">
        <w:rPr>
          <w:b/>
          <w:bCs/>
          <w:color w:val="000000"/>
          <w:kern w:val="0"/>
          <w:sz w:val="24"/>
          <w:szCs w:val="24"/>
        </w:rPr>
        <w:t>A-C</w:t>
      </w:r>
      <w:r w:rsidRPr="003F6135">
        <w:rPr>
          <w:color w:val="000000"/>
          <w:kern w:val="0"/>
          <w:sz w:val="24"/>
          <w:szCs w:val="24"/>
        </w:rPr>
        <w:t xml:space="preserve">) The left </w:t>
      </w:r>
      <w:r>
        <w:rPr>
          <w:color w:val="000000"/>
          <w:kern w:val="0"/>
          <w:sz w:val="24"/>
          <w:szCs w:val="24"/>
        </w:rPr>
        <w:t>graph</w:t>
      </w:r>
      <w:r w:rsidRPr="003F6135">
        <w:rPr>
          <w:color w:val="000000"/>
          <w:kern w:val="0"/>
          <w:sz w:val="24"/>
          <w:szCs w:val="24"/>
        </w:rPr>
        <w:t xml:space="preserve"> shows the most probable conformation of three </w:t>
      </w:r>
      <w:r>
        <w:rPr>
          <w:color w:val="000000"/>
          <w:kern w:val="0"/>
          <w:sz w:val="24"/>
          <w:szCs w:val="24"/>
        </w:rPr>
        <w:t xml:space="preserve">protein complex </w:t>
      </w:r>
      <w:r w:rsidRPr="003F6135">
        <w:rPr>
          <w:color w:val="000000"/>
          <w:kern w:val="0"/>
          <w:sz w:val="24"/>
          <w:szCs w:val="24"/>
        </w:rPr>
        <w:t>systems, namely (</w:t>
      </w:r>
      <w:r w:rsidRPr="003F6135">
        <w:rPr>
          <w:b/>
          <w:bCs/>
          <w:color w:val="000000"/>
          <w:kern w:val="0"/>
          <w:sz w:val="24"/>
          <w:szCs w:val="24"/>
        </w:rPr>
        <w:t>A</w:t>
      </w:r>
      <w:r w:rsidRPr="003F6135">
        <w:rPr>
          <w:color w:val="000000"/>
          <w:kern w:val="0"/>
          <w:sz w:val="24"/>
          <w:szCs w:val="24"/>
        </w:rPr>
        <w:t>) CD4 (yellow) and gp120 (green), (</w:t>
      </w:r>
      <w:r w:rsidRPr="003F6135">
        <w:rPr>
          <w:b/>
          <w:bCs/>
          <w:color w:val="000000"/>
          <w:kern w:val="0"/>
          <w:sz w:val="24"/>
          <w:szCs w:val="24"/>
        </w:rPr>
        <w:t>B</w:t>
      </w:r>
      <w:r w:rsidRPr="003F6135">
        <w:rPr>
          <w:color w:val="000000"/>
          <w:kern w:val="0"/>
          <w:sz w:val="24"/>
          <w:szCs w:val="24"/>
        </w:rPr>
        <w:t>) CD4, gp120, and Nb457-Fc (pink), (</w:t>
      </w:r>
      <w:r w:rsidRPr="003F6135">
        <w:rPr>
          <w:b/>
          <w:bCs/>
          <w:color w:val="000000"/>
          <w:kern w:val="0"/>
          <w:sz w:val="24"/>
          <w:szCs w:val="24"/>
        </w:rPr>
        <w:t>C</w:t>
      </w:r>
      <w:r w:rsidRPr="003F6135">
        <w:rPr>
          <w:color w:val="000000"/>
          <w:kern w:val="0"/>
          <w:sz w:val="24"/>
          <w:szCs w:val="24"/>
        </w:rPr>
        <w:t>) CD4, gp120,</w:t>
      </w:r>
      <w:r>
        <w:rPr>
          <w:color w:val="000000"/>
          <w:kern w:val="0"/>
          <w:sz w:val="24"/>
          <w:szCs w:val="24"/>
        </w:rPr>
        <w:t xml:space="preserve"> </w:t>
      </w:r>
      <w:r w:rsidRPr="003F6135">
        <w:rPr>
          <w:color w:val="000000"/>
          <w:kern w:val="0"/>
          <w:sz w:val="24"/>
          <w:szCs w:val="24"/>
        </w:rPr>
        <w:t xml:space="preserve">and Nb457-NbHSA-Nb457 (red). </w:t>
      </w:r>
      <w:r w:rsidRPr="005243A7">
        <w:t>The right panel provides a detailed view of the main-chain hydrogen bonds.</w:t>
      </w:r>
      <w:r w:rsidRPr="003F6135">
        <w:rPr>
          <w:color w:val="000000"/>
          <w:kern w:val="0"/>
          <w:sz w:val="24"/>
          <w:szCs w:val="24"/>
        </w:rPr>
        <w:t xml:space="preserve"> (</w:t>
      </w:r>
      <w:r w:rsidRPr="003F6135">
        <w:rPr>
          <w:b/>
          <w:bCs/>
          <w:color w:val="000000"/>
          <w:kern w:val="0"/>
          <w:sz w:val="24"/>
          <w:szCs w:val="24"/>
        </w:rPr>
        <w:t>A</w:t>
      </w:r>
      <w:r w:rsidRPr="003F6135">
        <w:rPr>
          <w:color w:val="000000"/>
          <w:kern w:val="0"/>
          <w:sz w:val="24"/>
          <w:szCs w:val="24"/>
        </w:rPr>
        <w:t xml:space="preserve">) shows two main-chain hydrogen bonds between CD4 and gp120, </w:t>
      </w:r>
      <w:r>
        <w:rPr>
          <w:color w:val="000000"/>
          <w:kern w:val="0"/>
          <w:sz w:val="24"/>
          <w:szCs w:val="24"/>
        </w:rPr>
        <w:t xml:space="preserve">one </w:t>
      </w:r>
      <w:r w:rsidRPr="003F6135">
        <w:rPr>
          <w:color w:val="000000"/>
          <w:kern w:val="0"/>
          <w:sz w:val="24"/>
          <w:szCs w:val="24"/>
        </w:rPr>
        <w:t xml:space="preserve">between K46 of CD4 and G330 of gp120, </w:t>
      </w:r>
      <w:r>
        <w:rPr>
          <w:color w:val="000000"/>
          <w:kern w:val="0"/>
          <w:sz w:val="24"/>
          <w:szCs w:val="24"/>
        </w:rPr>
        <w:t>and the other</w:t>
      </w:r>
      <w:r w:rsidRPr="003F6135">
        <w:rPr>
          <w:color w:val="000000"/>
          <w:kern w:val="0"/>
          <w:sz w:val="24"/>
          <w:szCs w:val="24"/>
        </w:rPr>
        <w:t xml:space="preserve"> between L44 of CD4 and D332 of gp120. (</w:t>
      </w:r>
      <w:r w:rsidRPr="003F6135">
        <w:rPr>
          <w:b/>
          <w:bCs/>
          <w:color w:val="000000"/>
          <w:kern w:val="0"/>
          <w:sz w:val="24"/>
          <w:szCs w:val="24"/>
        </w:rPr>
        <w:t>B</w:t>
      </w:r>
      <w:r w:rsidRPr="003F6135">
        <w:rPr>
          <w:color w:val="000000"/>
          <w:kern w:val="0"/>
          <w:sz w:val="24"/>
          <w:szCs w:val="24"/>
        </w:rPr>
        <w:t>) shows one main-chain hydrogen bond between CD4 and gp120, specifically between K46 of CD4 and G331 of gp120. (</w:t>
      </w:r>
      <w:r w:rsidRPr="003F6135">
        <w:rPr>
          <w:b/>
          <w:bCs/>
          <w:color w:val="000000"/>
          <w:kern w:val="0"/>
          <w:sz w:val="24"/>
          <w:szCs w:val="24"/>
        </w:rPr>
        <w:t>C</w:t>
      </w:r>
      <w:r w:rsidRPr="003F6135">
        <w:rPr>
          <w:color w:val="000000"/>
          <w:kern w:val="0"/>
          <w:sz w:val="24"/>
          <w:szCs w:val="24"/>
        </w:rPr>
        <w:t>) shows one main-chain hydrogen bond between CD4 and gp120, specifically between Q33 of CD4 and G415 of gp120. (</w:t>
      </w:r>
      <w:r w:rsidRPr="003F6135">
        <w:rPr>
          <w:b/>
          <w:bCs/>
          <w:color w:val="000000"/>
          <w:kern w:val="0"/>
          <w:sz w:val="24"/>
          <w:szCs w:val="24"/>
        </w:rPr>
        <w:t>D</w:t>
      </w:r>
      <w:r w:rsidRPr="003F6135">
        <w:rPr>
          <w:color w:val="000000"/>
          <w:kern w:val="0"/>
          <w:sz w:val="24"/>
          <w:szCs w:val="24"/>
        </w:rPr>
        <w:t xml:space="preserve">) The </w:t>
      </w:r>
      <w:r>
        <w:rPr>
          <w:color w:val="000000"/>
          <w:kern w:val="0"/>
          <w:sz w:val="24"/>
          <w:szCs w:val="24"/>
        </w:rPr>
        <w:t xml:space="preserve">first </w:t>
      </w:r>
      <w:r w:rsidRPr="003F6135">
        <w:rPr>
          <w:color w:val="000000"/>
          <w:kern w:val="0"/>
          <w:sz w:val="24"/>
          <w:szCs w:val="24"/>
        </w:rPr>
        <w:t xml:space="preserve">three </w:t>
      </w:r>
      <w:r>
        <w:rPr>
          <w:color w:val="000000"/>
          <w:kern w:val="0"/>
          <w:sz w:val="24"/>
          <w:szCs w:val="24"/>
        </w:rPr>
        <w:t xml:space="preserve">graphs </w:t>
      </w:r>
      <w:r w:rsidRPr="003F6135">
        <w:rPr>
          <w:color w:val="000000"/>
          <w:kern w:val="0"/>
          <w:sz w:val="24"/>
          <w:szCs w:val="24"/>
        </w:rPr>
        <w:t xml:space="preserve">show </w:t>
      </w:r>
      <w:r>
        <w:rPr>
          <w:color w:val="000000"/>
          <w:kern w:val="0"/>
          <w:sz w:val="24"/>
          <w:szCs w:val="24"/>
        </w:rPr>
        <w:t xml:space="preserve">the </w:t>
      </w:r>
      <w:r w:rsidRPr="003F6135">
        <w:rPr>
          <w:color w:val="000000"/>
          <w:kern w:val="0"/>
          <w:sz w:val="24"/>
          <w:szCs w:val="24"/>
        </w:rPr>
        <w:t xml:space="preserve">temporal variations of </w:t>
      </w:r>
      <w:r>
        <w:rPr>
          <w:color w:val="000000"/>
          <w:kern w:val="0"/>
          <w:sz w:val="24"/>
          <w:szCs w:val="24"/>
        </w:rPr>
        <w:t xml:space="preserve">the </w:t>
      </w:r>
      <w:r w:rsidRPr="003F6135">
        <w:rPr>
          <w:color w:val="000000"/>
          <w:kern w:val="0"/>
          <w:sz w:val="24"/>
          <w:szCs w:val="24"/>
        </w:rPr>
        <w:t xml:space="preserve">main-chain hydrogen bond between CD4 and gp120 in the three systems. The </w:t>
      </w:r>
      <w:r>
        <w:rPr>
          <w:color w:val="000000"/>
          <w:kern w:val="0"/>
          <w:sz w:val="24"/>
          <w:szCs w:val="24"/>
        </w:rPr>
        <w:t>last graph</w:t>
      </w:r>
      <w:r w:rsidRPr="003F6135">
        <w:rPr>
          <w:color w:val="000000"/>
          <w:kern w:val="0"/>
          <w:sz w:val="24"/>
          <w:szCs w:val="24"/>
        </w:rPr>
        <w:t xml:space="preserve"> is a histogram depicting the number of main-chain hydrogen bonds greater than or equal to 1 in each system. (</w:t>
      </w:r>
      <w:r w:rsidRPr="003F6135">
        <w:rPr>
          <w:b/>
          <w:bCs/>
          <w:color w:val="000000"/>
          <w:kern w:val="0"/>
          <w:sz w:val="24"/>
          <w:szCs w:val="24"/>
        </w:rPr>
        <w:t>E</w:t>
      </w:r>
      <w:r w:rsidRPr="003F6135">
        <w:rPr>
          <w:color w:val="000000"/>
          <w:kern w:val="0"/>
          <w:sz w:val="24"/>
          <w:szCs w:val="24"/>
        </w:rPr>
        <w:t>) The RMSF value for D1 of CD4. The dashed box outlines the binding site where CD4 and gp120 interact.</w:t>
      </w:r>
    </w:p>
    <w:p w14:paraId="1C7F0CD3" w14:textId="77777777" w:rsidR="00674143" w:rsidRPr="00F0720E" w:rsidRDefault="00674143" w:rsidP="00674143">
      <w:pPr>
        <w:rPr>
          <w:sz w:val="24"/>
          <w:szCs w:val="24"/>
        </w:rPr>
      </w:pPr>
    </w:p>
    <w:p w14:paraId="511BAF8D" w14:textId="77777777" w:rsidR="00674143" w:rsidRPr="00F0720E" w:rsidRDefault="00674143" w:rsidP="00674143">
      <w:pPr>
        <w:rPr>
          <w:b/>
          <w:sz w:val="24"/>
          <w:szCs w:val="24"/>
        </w:rPr>
      </w:pPr>
      <w:r>
        <w:rPr>
          <w:b/>
          <w:sz w:val="24"/>
          <w:szCs w:val="24"/>
        </w:rPr>
        <w:t>Supplementary Figure 15</w:t>
      </w:r>
      <w:r w:rsidRPr="00F0720E">
        <w:rPr>
          <w:b/>
          <w:sz w:val="24"/>
          <w:szCs w:val="24"/>
        </w:rPr>
        <w:t>. Influenc</w:t>
      </w:r>
      <w:r>
        <w:rPr>
          <w:b/>
          <w:sz w:val="24"/>
          <w:szCs w:val="24"/>
        </w:rPr>
        <w:t>e of Nb457 nanobodies on CD4 T c</w:t>
      </w:r>
      <w:r w:rsidRPr="00F0720E">
        <w:rPr>
          <w:b/>
          <w:sz w:val="24"/>
          <w:szCs w:val="24"/>
        </w:rPr>
        <w:t xml:space="preserve">ell function. </w:t>
      </w:r>
      <w:r>
        <w:rPr>
          <w:sz w:val="24"/>
          <w:szCs w:val="24"/>
        </w:rPr>
        <w:t>PBMCs</w:t>
      </w:r>
      <w:r w:rsidRPr="00F0720E">
        <w:rPr>
          <w:sz w:val="24"/>
          <w:szCs w:val="24"/>
        </w:rPr>
        <w:t xml:space="preserve"> were cultured both with and without phytohemagglutinin (PHA) stimulation, followed by treatment with various nanobodies, including Nb457, or Ibalizumab, as indicated. After a 48-hour treatment period, the functional assessment of CD4 T cells was performed using Flow cytometry. The following key parameters were investigated: (</w:t>
      </w:r>
      <w:r w:rsidRPr="00F0720E">
        <w:rPr>
          <w:b/>
          <w:sz w:val="24"/>
          <w:szCs w:val="24"/>
        </w:rPr>
        <w:t>A</w:t>
      </w:r>
      <w:r w:rsidRPr="00F0720E">
        <w:rPr>
          <w:sz w:val="24"/>
          <w:szCs w:val="24"/>
        </w:rPr>
        <w:t>) Ki67 Expression, (</w:t>
      </w:r>
      <w:r w:rsidRPr="00F0720E">
        <w:rPr>
          <w:b/>
          <w:sz w:val="24"/>
          <w:szCs w:val="24"/>
        </w:rPr>
        <w:t>B</w:t>
      </w:r>
      <w:r w:rsidRPr="00F0720E">
        <w:rPr>
          <w:sz w:val="24"/>
          <w:szCs w:val="24"/>
        </w:rPr>
        <w:t>) CD69 Expression, (</w:t>
      </w:r>
      <w:r w:rsidRPr="00F0720E">
        <w:rPr>
          <w:b/>
          <w:sz w:val="24"/>
          <w:szCs w:val="24"/>
        </w:rPr>
        <w:t>C</w:t>
      </w:r>
      <w:r w:rsidRPr="00F0720E">
        <w:rPr>
          <w:sz w:val="24"/>
          <w:szCs w:val="24"/>
        </w:rPr>
        <w:t>) CD25 Expression, (</w:t>
      </w:r>
      <w:r w:rsidRPr="00F0720E">
        <w:rPr>
          <w:b/>
          <w:sz w:val="24"/>
          <w:szCs w:val="24"/>
        </w:rPr>
        <w:t>D</w:t>
      </w:r>
      <w:r w:rsidRPr="00F0720E">
        <w:rPr>
          <w:sz w:val="24"/>
          <w:szCs w:val="24"/>
        </w:rPr>
        <w:t>) Intracellular IL-2 Production, (</w:t>
      </w:r>
      <w:r w:rsidRPr="00F0720E">
        <w:rPr>
          <w:b/>
          <w:sz w:val="24"/>
          <w:szCs w:val="24"/>
        </w:rPr>
        <w:t>E</w:t>
      </w:r>
      <w:r w:rsidRPr="00F0720E">
        <w:rPr>
          <w:sz w:val="24"/>
          <w:szCs w:val="24"/>
        </w:rPr>
        <w:t>) Intracellular IFN-γ Production, and (</w:t>
      </w:r>
      <w:r w:rsidRPr="00F0720E">
        <w:rPr>
          <w:b/>
          <w:sz w:val="24"/>
          <w:szCs w:val="24"/>
        </w:rPr>
        <w:t>F</w:t>
      </w:r>
      <w:r w:rsidRPr="00F0720E">
        <w:rPr>
          <w:sz w:val="24"/>
          <w:szCs w:val="24"/>
        </w:rPr>
        <w:t>) Intracellular TNF-α Production. Statistical analysis was conducted using one-way ANOVA with Bonferroni’s multiple comparison test, comparing the treatment groups to the Mock group or Nb Ctl group. Notably, no statistically significant differences were obse</w:t>
      </w:r>
      <w:r>
        <w:rPr>
          <w:sz w:val="24"/>
          <w:szCs w:val="24"/>
        </w:rPr>
        <w:t>rved between conditions with or</w:t>
      </w:r>
      <w:r w:rsidRPr="00F0720E">
        <w:rPr>
          <w:sz w:val="24"/>
          <w:szCs w:val="24"/>
        </w:rPr>
        <w:t xml:space="preserve"> without PHA stimulation.</w:t>
      </w:r>
    </w:p>
    <w:p w14:paraId="2E2A9734" w14:textId="77777777" w:rsidR="00674143" w:rsidRDefault="00674143" w:rsidP="00674143">
      <w:pPr>
        <w:pStyle w:val="af0"/>
        <w:rPr>
          <w:sz w:val="24"/>
          <w:szCs w:val="24"/>
        </w:rPr>
      </w:pPr>
    </w:p>
    <w:p w14:paraId="7C8D2FD6" w14:textId="77777777" w:rsidR="00674143" w:rsidRDefault="00674143" w:rsidP="00674143">
      <w:pPr>
        <w:rPr>
          <w:sz w:val="24"/>
          <w:szCs w:val="24"/>
        </w:rPr>
      </w:pPr>
      <w:r>
        <w:rPr>
          <w:b/>
          <w:sz w:val="24"/>
          <w:szCs w:val="24"/>
        </w:rPr>
        <w:t>Supplementary Figure 16</w:t>
      </w:r>
      <w:r w:rsidRPr="0032007B">
        <w:rPr>
          <w:b/>
          <w:sz w:val="24"/>
          <w:szCs w:val="24"/>
        </w:rPr>
        <w:t>.</w:t>
      </w:r>
      <w:r>
        <w:rPr>
          <w:b/>
          <w:sz w:val="24"/>
          <w:szCs w:val="24"/>
        </w:rPr>
        <w:t xml:space="preserve"> </w:t>
      </w:r>
      <w:r w:rsidRPr="0032007B">
        <w:rPr>
          <w:b/>
          <w:sz w:val="24"/>
          <w:szCs w:val="24"/>
        </w:rPr>
        <w:t>Bioavailability and T1/2 (half-life) of Nb457 and Ibalizumab in NDG-huPBL mice.</w:t>
      </w:r>
      <w:r w:rsidRPr="0032007B">
        <w:rPr>
          <w:sz w:val="24"/>
          <w:szCs w:val="24"/>
        </w:rPr>
        <w:t xml:space="preserve"> Nb</w:t>
      </w:r>
      <w:r w:rsidRPr="0032007B">
        <w:rPr>
          <w:sz w:val="24"/>
          <w:szCs w:val="24"/>
          <w:vertAlign w:val="subscript"/>
        </w:rPr>
        <w:t>457</w:t>
      </w:r>
      <w:r w:rsidRPr="0032007B">
        <w:rPr>
          <w:sz w:val="24"/>
          <w:szCs w:val="24"/>
        </w:rPr>
        <w:t>-Nb</w:t>
      </w:r>
      <w:r w:rsidRPr="0032007B">
        <w:rPr>
          <w:sz w:val="24"/>
          <w:szCs w:val="24"/>
          <w:vertAlign w:val="subscript"/>
        </w:rPr>
        <w:t>HSA</w:t>
      </w:r>
      <w:r w:rsidRPr="0032007B">
        <w:rPr>
          <w:sz w:val="24"/>
          <w:szCs w:val="24"/>
        </w:rPr>
        <w:t>-Nb</w:t>
      </w:r>
      <w:r w:rsidRPr="0032007B">
        <w:rPr>
          <w:sz w:val="24"/>
          <w:szCs w:val="24"/>
          <w:vertAlign w:val="subscript"/>
        </w:rPr>
        <w:t>457</w:t>
      </w:r>
      <w:r>
        <w:rPr>
          <w:sz w:val="24"/>
          <w:szCs w:val="24"/>
          <w:vertAlign w:val="subscript"/>
        </w:rPr>
        <w:t xml:space="preserve"> </w:t>
      </w:r>
      <w:r w:rsidRPr="0032007B">
        <w:rPr>
          <w:sz w:val="24"/>
          <w:szCs w:val="24"/>
        </w:rPr>
        <w:t>(</w:t>
      </w:r>
      <w:r w:rsidRPr="0032007B">
        <w:rPr>
          <w:b/>
          <w:sz w:val="24"/>
          <w:szCs w:val="24"/>
        </w:rPr>
        <w:t>A</w:t>
      </w:r>
      <w:r w:rsidRPr="0032007B">
        <w:rPr>
          <w:sz w:val="24"/>
          <w:szCs w:val="24"/>
        </w:rPr>
        <w:t>), Nb</w:t>
      </w:r>
      <w:r w:rsidRPr="002E712D">
        <w:rPr>
          <w:sz w:val="24"/>
          <w:szCs w:val="24"/>
          <w:vertAlign w:val="subscript"/>
        </w:rPr>
        <w:t>457</w:t>
      </w:r>
      <w:r w:rsidRPr="0032007B">
        <w:rPr>
          <w:sz w:val="24"/>
          <w:szCs w:val="24"/>
        </w:rPr>
        <w:t>-Fc (</w:t>
      </w:r>
      <w:r w:rsidRPr="0032007B">
        <w:rPr>
          <w:b/>
          <w:sz w:val="24"/>
          <w:szCs w:val="24"/>
        </w:rPr>
        <w:t>B</w:t>
      </w:r>
      <w:r w:rsidRPr="0032007B">
        <w:rPr>
          <w:sz w:val="24"/>
          <w:szCs w:val="24"/>
        </w:rPr>
        <w:t>) and Ibalizumab (</w:t>
      </w:r>
      <w:r w:rsidRPr="0032007B">
        <w:rPr>
          <w:b/>
          <w:sz w:val="24"/>
          <w:szCs w:val="24"/>
        </w:rPr>
        <w:t>C</w:t>
      </w:r>
      <w:r w:rsidRPr="0032007B">
        <w:rPr>
          <w:sz w:val="24"/>
          <w:szCs w:val="24"/>
        </w:rPr>
        <w:t>) were administered in to mice (n = 4, female) at 400 μg (average of 20mg/kg mice) via i.p. or s.c. ,respectively.</w:t>
      </w:r>
    </w:p>
    <w:p w14:paraId="37381D5E" w14:textId="77777777" w:rsidR="00674143" w:rsidRDefault="00674143" w:rsidP="00674143">
      <w:pPr>
        <w:rPr>
          <w:sz w:val="24"/>
          <w:szCs w:val="24"/>
        </w:rPr>
      </w:pPr>
    </w:p>
    <w:p w14:paraId="0B20B011" w14:textId="4F711DAD" w:rsidR="00B118E4" w:rsidRPr="003708C2" w:rsidRDefault="00B118E4" w:rsidP="00674143">
      <w:pPr>
        <w:rPr>
          <w:sz w:val="24"/>
          <w:szCs w:val="24"/>
        </w:rPr>
      </w:pPr>
      <w:r w:rsidRPr="0037669B">
        <w:rPr>
          <w:b/>
          <w:bCs/>
          <w:sz w:val="24"/>
          <w:szCs w:val="24"/>
        </w:rPr>
        <w:t>Supplementary Tables</w:t>
      </w:r>
      <w:r>
        <w:rPr>
          <w:b/>
          <w:bCs/>
          <w:sz w:val="24"/>
          <w:szCs w:val="24"/>
        </w:rPr>
        <w:t>:</w:t>
      </w:r>
    </w:p>
    <w:p w14:paraId="000F27DD" w14:textId="77777777" w:rsidR="00B118E4" w:rsidRPr="00B118E4" w:rsidRDefault="00B118E4" w:rsidP="00B118E4">
      <w:pPr>
        <w:jc w:val="left"/>
        <w:rPr>
          <w:sz w:val="24"/>
          <w:szCs w:val="24"/>
        </w:rPr>
      </w:pPr>
      <w:r w:rsidRPr="00B118E4">
        <w:rPr>
          <w:b/>
          <w:bCs/>
          <w:sz w:val="24"/>
          <w:szCs w:val="24"/>
        </w:rPr>
        <w:t>Supplementary Table 1</w:t>
      </w:r>
      <w:r w:rsidRPr="00B118E4">
        <w:rPr>
          <w:sz w:val="24"/>
          <w:szCs w:val="24"/>
        </w:rPr>
        <w:t xml:space="preserve">. </w:t>
      </w:r>
      <w:r w:rsidRPr="00B118E4">
        <w:rPr>
          <w:b/>
          <w:sz w:val="24"/>
          <w:szCs w:val="24"/>
        </w:rPr>
        <w:t>The summary of Nbs characterization by BLI, Neutralization and ELISA.</w:t>
      </w:r>
    </w:p>
    <w:p w14:paraId="6078F8CA" w14:textId="77777777" w:rsidR="00B118E4" w:rsidRPr="00B118E4" w:rsidRDefault="00B118E4" w:rsidP="00B118E4">
      <w:pPr>
        <w:jc w:val="left"/>
        <w:rPr>
          <w:sz w:val="24"/>
          <w:szCs w:val="24"/>
        </w:rPr>
      </w:pPr>
      <w:r w:rsidRPr="00B118E4">
        <w:rPr>
          <w:b/>
          <w:sz w:val="24"/>
          <w:szCs w:val="24"/>
        </w:rPr>
        <w:t>Supplementary table 2. Neutralization results of Nbs against 35 pseudoviruses of multiple HIV-1 subtypes.</w:t>
      </w:r>
      <w:r w:rsidRPr="00B118E4">
        <w:rPr>
          <w:sz w:val="24"/>
          <w:szCs w:val="24"/>
        </w:rPr>
        <w:t xml:space="preserve"> </w:t>
      </w:r>
    </w:p>
    <w:p w14:paraId="6E6DCE3D" w14:textId="1BED3D5F" w:rsidR="00BB4319" w:rsidRDefault="00B118E4" w:rsidP="00B118E4">
      <w:pPr>
        <w:rPr>
          <w:b/>
          <w:sz w:val="24"/>
          <w:szCs w:val="24"/>
        </w:rPr>
      </w:pPr>
      <w:r w:rsidRPr="00F0720E">
        <w:rPr>
          <w:b/>
          <w:sz w:val="24"/>
          <w:szCs w:val="24"/>
        </w:rPr>
        <w:t>Supplementary Table 3. Neutralization results of Nbs against 58 pseudoviruses of multiple HIV-1 subtypes.</w:t>
      </w:r>
    </w:p>
    <w:p w14:paraId="24AF95E4" w14:textId="7912CE20" w:rsidR="00B118E4" w:rsidRDefault="003708C2" w:rsidP="00B118E4">
      <w:pPr>
        <w:rPr>
          <w:b/>
          <w:sz w:val="24"/>
          <w:szCs w:val="24"/>
        </w:rPr>
      </w:pPr>
      <w:r w:rsidRPr="00F8021C">
        <w:rPr>
          <w:b/>
          <w:bCs/>
          <w:sz w:val="24"/>
          <w:szCs w:val="24"/>
        </w:rPr>
        <w:t>Supplementary Table 4. Data collection and refinement statistics</w:t>
      </w:r>
    </w:p>
    <w:p w14:paraId="6D57C05F" w14:textId="7226CF9C" w:rsidR="00B118E4" w:rsidRDefault="00B118E4" w:rsidP="00B118E4">
      <w:pPr>
        <w:rPr>
          <w:b/>
          <w:sz w:val="24"/>
          <w:szCs w:val="24"/>
        </w:rPr>
      </w:pPr>
      <w:r>
        <w:rPr>
          <w:b/>
          <w:noProof/>
          <w:sz w:val="24"/>
          <w:szCs w:val="24"/>
        </w:rPr>
        <w:drawing>
          <wp:inline distT="0" distB="0" distL="0" distR="0" wp14:anchorId="55F791C6" wp14:editId="4F5F5CFC">
            <wp:extent cx="4762500" cy="70713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幻灯片4.TIF"/>
                    <pic:cNvPicPr/>
                  </pic:nvPicPr>
                  <pic:blipFill rotWithShape="1">
                    <a:blip r:embed="rId14">
                      <a:extLst>
                        <a:ext uri="{28A0092B-C50C-407E-A947-70E740481C1C}">
                          <a14:useLocalDpi xmlns:a14="http://schemas.microsoft.com/office/drawing/2010/main" val="0"/>
                        </a:ext>
                      </a:extLst>
                    </a:blip>
                    <a:srcRect l="2345" t="7247" r="7423" b="-1"/>
                    <a:stretch/>
                  </pic:blipFill>
                  <pic:spPr bwMode="auto">
                    <a:xfrm>
                      <a:off x="0" y="0"/>
                      <a:ext cx="4762500" cy="7071360"/>
                    </a:xfrm>
                    <a:prstGeom prst="rect">
                      <a:avLst/>
                    </a:prstGeom>
                    <a:ln>
                      <a:noFill/>
                    </a:ln>
                    <a:extLst>
                      <a:ext uri="{53640926-AAD7-44D8-BBD7-CCE9431645EC}">
                        <a14:shadowObscured xmlns:a14="http://schemas.microsoft.com/office/drawing/2010/main"/>
                      </a:ext>
                    </a:extLst>
                  </pic:spPr>
                </pic:pic>
              </a:graphicData>
            </a:graphic>
          </wp:inline>
        </w:drawing>
      </w:r>
    </w:p>
    <w:p w14:paraId="60CAF0D1" w14:textId="77777777" w:rsidR="00B118E4" w:rsidRDefault="00B118E4" w:rsidP="00B118E4">
      <w:r w:rsidRPr="0037669B">
        <w:rPr>
          <w:b/>
          <w:sz w:val="24"/>
          <w:szCs w:val="24"/>
        </w:rPr>
        <w:t xml:space="preserve">Supplementary Figure 1. Biopanning and screening of CD4-VHH nanobody Phage Library. </w:t>
      </w:r>
      <w:r w:rsidRPr="0037669B">
        <w:rPr>
          <w:sz w:val="24"/>
          <w:szCs w:val="24"/>
        </w:rPr>
        <w:t>Summary of the CD4-VHH-library, showcasing the characteristics and components of the library. (</w:t>
      </w:r>
      <w:r w:rsidRPr="0037669B">
        <w:rPr>
          <w:b/>
          <w:sz w:val="24"/>
          <w:szCs w:val="24"/>
        </w:rPr>
        <w:t>B</w:t>
      </w:r>
      <w:r w:rsidRPr="0037669B">
        <w:rPr>
          <w:sz w:val="24"/>
          <w:szCs w:val="24"/>
        </w:rPr>
        <w:t>) Phage ELISA analysis of the binding between the phage library and CD4. The library represents the CD4-VHH phage library. "1st," "2nd," and "3rd" denote the phage library after one round, two rounds, and three rounds of CD4 enrichment, respectively. (</w:t>
      </w:r>
      <w:r w:rsidRPr="0037669B">
        <w:rPr>
          <w:b/>
          <w:sz w:val="24"/>
          <w:szCs w:val="24"/>
        </w:rPr>
        <w:t>C</w:t>
      </w:r>
      <w:r w:rsidRPr="0037669B">
        <w:rPr>
          <w:sz w:val="24"/>
          <w:szCs w:val="24"/>
        </w:rPr>
        <w:t>) Evaluation of 40 and 46 individual clones of phage from the CD4-VHH library after the 2nd and 3rd rounds of CD4 enrichment, conducted using phage ELISA. (</w:t>
      </w:r>
      <w:r w:rsidRPr="0037669B">
        <w:rPr>
          <w:b/>
          <w:sz w:val="24"/>
          <w:szCs w:val="24"/>
        </w:rPr>
        <w:t>D</w:t>
      </w:r>
      <w:r w:rsidRPr="0037669B">
        <w:rPr>
          <w:sz w:val="24"/>
          <w:szCs w:val="24"/>
        </w:rPr>
        <w:t>) Phylogenetic analysis of 429 VHHs using the Neighbor-Joining method. The tree is drawn to scale, with branch lengths corresponding to the evolutionary distances measured in the units of amino acid substitutions per site. Evolutionary distances were computed using the Poisson correction method, and positions containing gaps and missing data were excluded. The evolutionary analyses were performed using MEGA6 software.</w:t>
      </w:r>
    </w:p>
    <w:p w14:paraId="64856D25" w14:textId="73C3D91C" w:rsidR="00B118E4" w:rsidRDefault="00B118E4" w:rsidP="00B118E4">
      <w:pPr>
        <w:pStyle w:val="af0"/>
        <w:ind w:hanging="578"/>
        <w:rPr>
          <w:sz w:val="24"/>
          <w:szCs w:val="24"/>
        </w:rPr>
      </w:pPr>
      <w:r>
        <w:rPr>
          <w:noProof/>
          <w:sz w:val="24"/>
          <w:szCs w:val="24"/>
        </w:rPr>
        <w:drawing>
          <wp:inline distT="0" distB="0" distL="0" distR="0" wp14:anchorId="3B6CF012" wp14:editId="69EA0337">
            <wp:extent cx="4772025" cy="2028825"/>
            <wp:effectExtent l="0" t="0" r="9525"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幻灯片6.TIF"/>
                    <pic:cNvPicPr/>
                  </pic:nvPicPr>
                  <pic:blipFill rotWithShape="1">
                    <a:blip r:embed="rId15">
                      <a:extLst>
                        <a:ext uri="{28A0092B-C50C-407E-A947-70E740481C1C}">
                          <a14:useLocalDpi xmlns:a14="http://schemas.microsoft.com/office/drawing/2010/main" val="0"/>
                        </a:ext>
                      </a:extLst>
                    </a:blip>
                    <a:srcRect l="5594" t="18241" r="3994" b="55148"/>
                    <a:stretch/>
                  </pic:blipFill>
                  <pic:spPr bwMode="auto">
                    <a:xfrm>
                      <a:off x="0" y="0"/>
                      <a:ext cx="4772025" cy="2028825"/>
                    </a:xfrm>
                    <a:prstGeom prst="rect">
                      <a:avLst/>
                    </a:prstGeom>
                    <a:ln>
                      <a:noFill/>
                    </a:ln>
                    <a:extLst>
                      <a:ext uri="{53640926-AAD7-44D8-BBD7-CCE9431645EC}">
                        <a14:shadowObscured xmlns:a14="http://schemas.microsoft.com/office/drawing/2010/main"/>
                      </a:ext>
                    </a:extLst>
                  </pic:spPr>
                </pic:pic>
              </a:graphicData>
            </a:graphic>
          </wp:inline>
        </w:drawing>
      </w:r>
    </w:p>
    <w:p w14:paraId="6DB921DE" w14:textId="77777777" w:rsidR="00B118E4" w:rsidRPr="00F0720E" w:rsidRDefault="00B118E4" w:rsidP="00B118E4">
      <w:pPr>
        <w:rPr>
          <w:b/>
          <w:sz w:val="24"/>
          <w:szCs w:val="24"/>
        </w:rPr>
      </w:pPr>
      <w:r w:rsidRPr="00F0720E">
        <w:rPr>
          <w:b/>
          <w:sz w:val="24"/>
          <w:szCs w:val="24"/>
        </w:rPr>
        <w:t xml:space="preserve">Supplementary Figure 2. Analysis of cell supernatant binding to CD4 Protein. </w:t>
      </w:r>
      <w:r w:rsidRPr="00F0720E">
        <w:rPr>
          <w:sz w:val="24"/>
          <w:szCs w:val="24"/>
        </w:rPr>
        <w:t>The graph illustrates the relative binding of cell supernatant from 47 different Nb-Fcs with the CD4 protein</w:t>
      </w:r>
      <w:r>
        <w:rPr>
          <w:sz w:val="24"/>
          <w:szCs w:val="24"/>
        </w:rPr>
        <w:t xml:space="preserve"> tested by ELISA</w:t>
      </w:r>
      <w:r w:rsidRPr="00F0720E">
        <w:rPr>
          <w:sz w:val="24"/>
          <w:szCs w:val="24"/>
        </w:rPr>
        <w:t>. The y-axis represents the ratio of the CD4 binding readout to the blank binding readout. The dashed line denotes a five-fold increase in Nbs' binding to the CD4 protein compared to the binding to the blank control, indicating a positive and significant binding affinity.</w:t>
      </w:r>
    </w:p>
    <w:p w14:paraId="72554465" w14:textId="77777777" w:rsidR="00B118E4" w:rsidRDefault="00B118E4" w:rsidP="00B118E4">
      <w:pPr>
        <w:rPr>
          <w:sz w:val="24"/>
          <w:szCs w:val="24"/>
        </w:rPr>
      </w:pPr>
    </w:p>
    <w:p w14:paraId="47D20D9D" w14:textId="559CEE51" w:rsidR="00B118E4" w:rsidRPr="00F0720E" w:rsidRDefault="00B118E4" w:rsidP="00B118E4">
      <w:pPr>
        <w:rPr>
          <w:sz w:val="24"/>
          <w:szCs w:val="24"/>
        </w:rPr>
      </w:pPr>
      <w:r>
        <w:rPr>
          <w:rFonts w:hint="eastAsia"/>
          <w:noProof/>
          <w:sz w:val="24"/>
          <w:szCs w:val="24"/>
        </w:rPr>
        <w:drawing>
          <wp:inline distT="0" distB="0" distL="0" distR="0" wp14:anchorId="006F7E0F" wp14:editId="49E961D7">
            <wp:extent cx="5133975" cy="397192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幻灯片8.TIF"/>
                    <pic:cNvPicPr/>
                  </pic:nvPicPr>
                  <pic:blipFill rotWithShape="1">
                    <a:blip r:embed="rId16">
                      <a:extLst>
                        <a:ext uri="{28A0092B-C50C-407E-A947-70E740481C1C}">
                          <a14:useLocalDpi xmlns:a14="http://schemas.microsoft.com/office/drawing/2010/main" val="0"/>
                        </a:ext>
                      </a:extLst>
                    </a:blip>
                    <a:srcRect t="16117" r="2731" b="31784"/>
                    <a:stretch/>
                  </pic:blipFill>
                  <pic:spPr bwMode="auto">
                    <a:xfrm>
                      <a:off x="0" y="0"/>
                      <a:ext cx="5133975" cy="3971925"/>
                    </a:xfrm>
                    <a:prstGeom prst="rect">
                      <a:avLst/>
                    </a:prstGeom>
                    <a:ln>
                      <a:noFill/>
                    </a:ln>
                    <a:extLst>
                      <a:ext uri="{53640926-AAD7-44D8-BBD7-CCE9431645EC}">
                        <a14:shadowObscured xmlns:a14="http://schemas.microsoft.com/office/drawing/2010/main"/>
                      </a:ext>
                    </a:extLst>
                  </pic:spPr>
                </pic:pic>
              </a:graphicData>
            </a:graphic>
          </wp:inline>
        </w:drawing>
      </w:r>
    </w:p>
    <w:p w14:paraId="4C2DD58B" w14:textId="77777777" w:rsidR="00B118E4" w:rsidRPr="00F0720E" w:rsidRDefault="00B118E4" w:rsidP="00B118E4">
      <w:pPr>
        <w:rPr>
          <w:b/>
          <w:sz w:val="24"/>
          <w:szCs w:val="24"/>
        </w:rPr>
      </w:pPr>
      <w:r w:rsidRPr="00F0720E">
        <w:rPr>
          <w:b/>
          <w:sz w:val="24"/>
          <w:szCs w:val="24"/>
        </w:rPr>
        <w:t>Supplementary</w:t>
      </w:r>
      <w:r>
        <w:rPr>
          <w:b/>
          <w:sz w:val="24"/>
          <w:szCs w:val="24"/>
        </w:rPr>
        <w:t xml:space="preserve"> Figure 3. Characterization of p</w:t>
      </w:r>
      <w:r w:rsidRPr="00F0720E">
        <w:rPr>
          <w:b/>
          <w:sz w:val="24"/>
          <w:szCs w:val="24"/>
        </w:rPr>
        <w:t>urified Nb</w:t>
      </w:r>
      <w:r w:rsidRPr="00B118E4">
        <w:rPr>
          <w:b/>
          <w:sz w:val="24"/>
          <w:szCs w:val="24"/>
          <w:vertAlign w:val="subscript"/>
        </w:rPr>
        <w:t>434</w:t>
      </w:r>
      <w:r>
        <w:rPr>
          <w:b/>
          <w:sz w:val="24"/>
          <w:szCs w:val="24"/>
        </w:rPr>
        <w:t>-Fc</w:t>
      </w:r>
      <w:r w:rsidRPr="00F0720E">
        <w:rPr>
          <w:b/>
          <w:sz w:val="24"/>
          <w:szCs w:val="24"/>
        </w:rPr>
        <w:t xml:space="preserve"> and Nb</w:t>
      </w:r>
      <w:r w:rsidRPr="002E712D">
        <w:rPr>
          <w:b/>
          <w:sz w:val="24"/>
          <w:szCs w:val="24"/>
          <w:vertAlign w:val="subscript"/>
        </w:rPr>
        <w:t>457</w:t>
      </w:r>
      <w:r>
        <w:rPr>
          <w:b/>
          <w:sz w:val="24"/>
          <w:szCs w:val="24"/>
        </w:rPr>
        <w:t>-Fc</w:t>
      </w:r>
      <w:r w:rsidRPr="00F0720E">
        <w:rPr>
          <w:b/>
          <w:sz w:val="24"/>
          <w:szCs w:val="24"/>
        </w:rPr>
        <w:t>.</w:t>
      </w:r>
    </w:p>
    <w:p w14:paraId="15662345" w14:textId="77777777" w:rsidR="00B118E4" w:rsidRPr="00F0720E" w:rsidRDefault="00B118E4" w:rsidP="00B118E4">
      <w:pPr>
        <w:rPr>
          <w:sz w:val="24"/>
          <w:szCs w:val="24"/>
        </w:rPr>
      </w:pPr>
      <w:r w:rsidRPr="00F0720E">
        <w:rPr>
          <w:sz w:val="24"/>
          <w:szCs w:val="24"/>
        </w:rPr>
        <w:t>(</w:t>
      </w:r>
      <w:r w:rsidRPr="00F0720E">
        <w:rPr>
          <w:b/>
          <w:sz w:val="24"/>
          <w:szCs w:val="24"/>
        </w:rPr>
        <w:t>A</w:t>
      </w:r>
      <w:r w:rsidRPr="00F0720E">
        <w:rPr>
          <w:sz w:val="24"/>
          <w:szCs w:val="24"/>
        </w:rPr>
        <w:t>) SDS-PAGE analysis of purified Nb434</w:t>
      </w:r>
      <w:r>
        <w:rPr>
          <w:sz w:val="24"/>
          <w:szCs w:val="24"/>
        </w:rPr>
        <w:t>-Fc</w:t>
      </w:r>
      <w:r w:rsidRPr="00F0720E">
        <w:rPr>
          <w:sz w:val="24"/>
          <w:szCs w:val="24"/>
        </w:rPr>
        <w:t xml:space="preserve"> and Nb</w:t>
      </w:r>
      <w:r w:rsidRPr="002E712D">
        <w:rPr>
          <w:sz w:val="24"/>
          <w:szCs w:val="24"/>
          <w:vertAlign w:val="subscript"/>
        </w:rPr>
        <w:t>457</w:t>
      </w:r>
      <w:r>
        <w:rPr>
          <w:sz w:val="24"/>
          <w:szCs w:val="24"/>
        </w:rPr>
        <w:t>-Fc</w:t>
      </w:r>
      <w:r w:rsidRPr="00F0720E">
        <w:rPr>
          <w:sz w:val="24"/>
          <w:szCs w:val="24"/>
        </w:rPr>
        <w:t xml:space="preserve"> under reducing (R) and non-reducing (NR) conditions. The gel electrophoresis was performed to assess the molecular weight and integrity of the purified Nbs. (</w:t>
      </w:r>
      <w:r w:rsidRPr="00F0720E">
        <w:rPr>
          <w:b/>
          <w:sz w:val="24"/>
          <w:szCs w:val="24"/>
        </w:rPr>
        <w:t>B</w:t>
      </w:r>
      <w:r w:rsidRPr="00F0720E">
        <w:rPr>
          <w:sz w:val="24"/>
          <w:szCs w:val="24"/>
        </w:rPr>
        <w:t>) Western blot analysis was performed to examine the binding of CD4 protein under reducing (R) and non-reducing (NR) conditions with Nb</w:t>
      </w:r>
      <w:r w:rsidRPr="002E712D">
        <w:rPr>
          <w:sz w:val="24"/>
          <w:szCs w:val="24"/>
          <w:vertAlign w:val="subscript"/>
        </w:rPr>
        <w:t>434</w:t>
      </w:r>
      <w:r>
        <w:rPr>
          <w:sz w:val="24"/>
          <w:szCs w:val="24"/>
        </w:rPr>
        <w:t>-Fc</w:t>
      </w:r>
      <w:r w:rsidRPr="00F0720E">
        <w:rPr>
          <w:sz w:val="24"/>
          <w:szCs w:val="24"/>
        </w:rPr>
        <w:t xml:space="preserve"> or Nb</w:t>
      </w:r>
      <w:r w:rsidRPr="002E712D">
        <w:rPr>
          <w:sz w:val="24"/>
          <w:szCs w:val="24"/>
          <w:vertAlign w:val="subscript"/>
        </w:rPr>
        <w:t>457</w:t>
      </w:r>
      <w:r>
        <w:rPr>
          <w:sz w:val="24"/>
          <w:szCs w:val="24"/>
        </w:rPr>
        <w:t>-Fc</w:t>
      </w:r>
      <w:r w:rsidRPr="00F0720E">
        <w:rPr>
          <w:sz w:val="24"/>
          <w:szCs w:val="24"/>
        </w:rPr>
        <w:t>.</w:t>
      </w:r>
    </w:p>
    <w:p w14:paraId="0A63C584" w14:textId="450B3AF3" w:rsidR="00B118E4" w:rsidRPr="00F0720E" w:rsidRDefault="00B118E4" w:rsidP="00B118E4">
      <w:pPr>
        <w:jc w:val="center"/>
        <w:rPr>
          <w:sz w:val="24"/>
          <w:szCs w:val="24"/>
        </w:rPr>
      </w:pPr>
      <w:r>
        <w:rPr>
          <w:noProof/>
          <w:sz w:val="24"/>
          <w:szCs w:val="24"/>
        </w:rPr>
        <w:drawing>
          <wp:inline distT="0" distB="0" distL="0" distR="0" wp14:anchorId="5AE149FA" wp14:editId="32345A51">
            <wp:extent cx="3781425" cy="379095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幻灯片9.TIF"/>
                    <pic:cNvPicPr/>
                  </pic:nvPicPr>
                  <pic:blipFill rotWithShape="1">
                    <a:blip r:embed="rId17">
                      <a:extLst>
                        <a:ext uri="{28A0092B-C50C-407E-A947-70E740481C1C}">
                          <a14:useLocalDpi xmlns:a14="http://schemas.microsoft.com/office/drawing/2010/main" val="0"/>
                        </a:ext>
                      </a:extLst>
                    </a:blip>
                    <a:srcRect l="13715" t="13993" r="14641" b="36282"/>
                    <a:stretch/>
                  </pic:blipFill>
                  <pic:spPr bwMode="auto">
                    <a:xfrm>
                      <a:off x="0" y="0"/>
                      <a:ext cx="3781425" cy="3790950"/>
                    </a:xfrm>
                    <a:prstGeom prst="rect">
                      <a:avLst/>
                    </a:prstGeom>
                    <a:ln>
                      <a:noFill/>
                    </a:ln>
                    <a:extLst>
                      <a:ext uri="{53640926-AAD7-44D8-BBD7-CCE9431645EC}">
                        <a14:shadowObscured xmlns:a14="http://schemas.microsoft.com/office/drawing/2010/main"/>
                      </a:ext>
                    </a:extLst>
                  </pic:spPr>
                </pic:pic>
              </a:graphicData>
            </a:graphic>
          </wp:inline>
        </w:drawing>
      </w:r>
    </w:p>
    <w:p w14:paraId="309D1C51" w14:textId="77777777" w:rsidR="00B118E4" w:rsidRPr="00F0720E" w:rsidRDefault="00B118E4" w:rsidP="00B118E4">
      <w:pPr>
        <w:rPr>
          <w:b/>
          <w:sz w:val="24"/>
          <w:szCs w:val="24"/>
        </w:rPr>
      </w:pPr>
      <w:r w:rsidRPr="00F0720E">
        <w:rPr>
          <w:b/>
          <w:sz w:val="24"/>
          <w:szCs w:val="24"/>
        </w:rPr>
        <w:t xml:space="preserve">Supplementary Figure 4. Characterization of Nbs binding to CD4 protein by ELISA. </w:t>
      </w:r>
      <w:r w:rsidRPr="00F0720E">
        <w:rPr>
          <w:sz w:val="24"/>
          <w:szCs w:val="24"/>
        </w:rPr>
        <w:t xml:space="preserve">The figure presents the dose-dependent binding curves of </w:t>
      </w:r>
      <w:r>
        <w:rPr>
          <w:sz w:val="24"/>
          <w:szCs w:val="24"/>
        </w:rPr>
        <w:t xml:space="preserve">Nbs to CD4 protein tested by </w:t>
      </w:r>
      <w:r w:rsidRPr="00F0720E">
        <w:rPr>
          <w:sz w:val="24"/>
          <w:szCs w:val="24"/>
        </w:rPr>
        <w:t>ELISA. Each Nb is indicated by a color line on the graph. Ibalizumab was used as the positive binding control, and Nb Ctl (Nb15-Fc</w:t>
      </w:r>
      <w:r>
        <w:rPr>
          <w:sz w:val="24"/>
          <w:szCs w:val="24"/>
        </w:rPr>
        <w:t xml:space="preserve"> binding to RBD of SARS-CoV-2</w:t>
      </w:r>
      <w:r w:rsidRPr="00F0720E">
        <w:rPr>
          <w:sz w:val="24"/>
          <w:szCs w:val="24"/>
        </w:rPr>
        <w:t>) served as the Nb negative control. The EC</w:t>
      </w:r>
      <w:r w:rsidRPr="00F0720E">
        <w:rPr>
          <w:sz w:val="24"/>
          <w:szCs w:val="24"/>
          <w:vertAlign w:val="subscript"/>
        </w:rPr>
        <w:t>50</w:t>
      </w:r>
      <w:r w:rsidRPr="00F0720E">
        <w:rPr>
          <w:sz w:val="24"/>
          <w:szCs w:val="24"/>
        </w:rPr>
        <w:t xml:space="preserve"> values, representing the half-maximal effective concentration of each Nb, are summarized below the figure. </w:t>
      </w:r>
    </w:p>
    <w:p w14:paraId="505BFF82" w14:textId="77777777" w:rsidR="00B118E4" w:rsidRDefault="00B118E4" w:rsidP="00B118E4">
      <w:pPr>
        <w:rPr>
          <w:sz w:val="24"/>
          <w:szCs w:val="24"/>
        </w:rPr>
      </w:pPr>
    </w:p>
    <w:p w14:paraId="16540E38" w14:textId="40F05DD2" w:rsidR="00B118E4" w:rsidRPr="00F0720E" w:rsidRDefault="00B118E4" w:rsidP="00B118E4">
      <w:pPr>
        <w:rPr>
          <w:sz w:val="24"/>
          <w:szCs w:val="24"/>
        </w:rPr>
      </w:pPr>
      <w:r>
        <w:rPr>
          <w:noProof/>
          <w:sz w:val="24"/>
          <w:szCs w:val="24"/>
        </w:rPr>
        <w:drawing>
          <wp:inline distT="0" distB="0" distL="0" distR="0" wp14:anchorId="604C0626" wp14:editId="5ECDF74B">
            <wp:extent cx="5076825" cy="266700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幻灯片10.TIF"/>
                    <pic:cNvPicPr/>
                  </pic:nvPicPr>
                  <pic:blipFill rotWithShape="1">
                    <a:blip r:embed="rId18">
                      <a:extLst>
                        <a:ext uri="{28A0092B-C50C-407E-A947-70E740481C1C}">
                          <a14:useLocalDpi xmlns:a14="http://schemas.microsoft.com/office/drawing/2010/main" val="0"/>
                        </a:ext>
                      </a:extLst>
                    </a:blip>
                    <a:srcRect l="1986" t="17844" r="1828" b="47460"/>
                    <a:stretch/>
                  </pic:blipFill>
                  <pic:spPr bwMode="auto">
                    <a:xfrm>
                      <a:off x="0" y="0"/>
                      <a:ext cx="5076825" cy="2667000"/>
                    </a:xfrm>
                    <a:prstGeom prst="rect">
                      <a:avLst/>
                    </a:prstGeom>
                    <a:ln>
                      <a:noFill/>
                    </a:ln>
                    <a:extLst>
                      <a:ext uri="{53640926-AAD7-44D8-BBD7-CCE9431645EC}">
                        <a14:shadowObscured xmlns:a14="http://schemas.microsoft.com/office/drawing/2010/main"/>
                      </a:ext>
                    </a:extLst>
                  </pic:spPr>
                </pic:pic>
              </a:graphicData>
            </a:graphic>
          </wp:inline>
        </w:drawing>
      </w:r>
      <w:r w:rsidRPr="00F0720E">
        <w:rPr>
          <w:sz w:val="24"/>
          <w:szCs w:val="24"/>
        </w:rPr>
        <w:br/>
      </w:r>
      <w:r w:rsidRPr="00F0720E">
        <w:rPr>
          <w:b/>
          <w:sz w:val="24"/>
          <w:szCs w:val="24"/>
        </w:rPr>
        <w:t>Supplementary Figure 5. Visual</w:t>
      </w:r>
      <w:r>
        <w:rPr>
          <w:b/>
          <w:sz w:val="24"/>
          <w:szCs w:val="24"/>
        </w:rPr>
        <w:t>ization of Nbs targeting CD4 T cells in tissue sections via i</w:t>
      </w:r>
      <w:r w:rsidRPr="00F0720E">
        <w:rPr>
          <w:b/>
          <w:sz w:val="24"/>
          <w:szCs w:val="24"/>
        </w:rPr>
        <w:t>mmunofluorescence assay.</w:t>
      </w:r>
      <w:r w:rsidRPr="00F0720E">
        <w:rPr>
          <w:sz w:val="24"/>
          <w:szCs w:val="24"/>
        </w:rPr>
        <w:t xml:space="preserve"> The immun</w:t>
      </w:r>
      <w:r>
        <w:rPr>
          <w:sz w:val="24"/>
          <w:szCs w:val="24"/>
        </w:rPr>
        <w:t>ofluorescence assay was conducted</w:t>
      </w:r>
      <w:r w:rsidRPr="00F0720E">
        <w:rPr>
          <w:sz w:val="24"/>
          <w:szCs w:val="24"/>
        </w:rPr>
        <w:t xml:space="preserve"> to investigate the interaction between Nbs and CD4 T cells within spleen t</w:t>
      </w:r>
      <w:r>
        <w:rPr>
          <w:sz w:val="24"/>
          <w:szCs w:val="24"/>
        </w:rPr>
        <w:t>issue sections from humanized ND</w:t>
      </w:r>
      <w:r w:rsidRPr="00F0720E">
        <w:rPr>
          <w:sz w:val="24"/>
          <w:szCs w:val="24"/>
        </w:rPr>
        <w:t>G-HuPBL mice, enriched with human CD4 T cells, alongside Mo</w:t>
      </w:r>
      <w:r>
        <w:rPr>
          <w:sz w:val="24"/>
          <w:szCs w:val="24"/>
        </w:rPr>
        <w:t>ck NDG mice. A</w:t>
      </w:r>
      <w:r w:rsidRPr="00F0720E">
        <w:rPr>
          <w:sz w:val="24"/>
          <w:szCs w:val="24"/>
        </w:rPr>
        <w:t>ntibodies, as specified in the figure, were employed for staining purposes. Ibalizumab served as the positive binding control, while Nb Ctl (Nb15-Fc) functioned as the negative Nb control within the immunofluorescence assay. DAPI staining highlighted cell nuclei, and the affirmative signal from antibody binding was represented in green. Images were captured using a ×20 objective.</w:t>
      </w:r>
      <w:r w:rsidRPr="00F0720E">
        <w:rPr>
          <w:b/>
          <w:sz w:val="24"/>
          <w:szCs w:val="24"/>
        </w:rPr>
        <w:t xml:space="preserve"> </w:t>
      </w:r>
    </w:p>
    <w:p w14:paraId="31B23610" w14:textId="77777777" w:rsidR="00B118E4" w:rsidRDefault="00B118E4" w:rsidP="00B118E4">
      <w:pPr>
        <w:rPr>
          <w:b/>
          <w:sz w:val="24"/>
          <w:szCs w:val="24"/>
        </w:rPr>
      </w:pPr>
    </w:p>
    <w:p w14:paraId="68B6365D" w14:textId="35B22483" w:rsidR="00B118E4" w:rsidRPr="00F0720E" w:rsidRDefault="008F6F68" w:rsidP="00B118E4">
      <w:pPr>
        <w:rPr>
          <w:b/>
          <w:sz w:val="24"/>
          <w:szCs w:val="24"/>
        </w:rPr>
      </w:pPr>
      <w:r>
        <w:rPr>
          <w:rFonts w:hint="eastAsia"/>
          <w:b/>
          <w:noProof/>
          <w:sz w:val="24"/>
          <w:szCs w:val="24"/>
        </w:rPr>
        <w:drawing>
          <wp:inline distT="0" distB="0" distL="0" distR="0" wp14:anchorId="0E2F8970" wp14:editId="03BBCB97">
            <wp:extent cx="5278120" cy="479107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幻灯片11.TIF"/>
                    <pic:cNvPicPr/>
                  </pic:nvPicPr>
                  <pic:blipFill rotWithShape="1">
                    <a:blip r:embed="rId19">
                      <a:extLst>
                        <a:ext uri="{28A0092B-C50C-407E-A947-70E740481C1C}">
                          <a14:useLocalDpi xmlns:a14="http://schemas.microsoft.com/office/drawing/2010/main" val="0"/>
                        </a:ext>
                      </a:extLst>
                    </a:blip>
                    <a:srcRect b="37157"/>
                    <a:stretch/>
                  </pic:blipFill>
                  <pic:spPr bwMode="auto">
                    <a:xfrm>
                      <a:off x="0" y="0"/>
                      <a:ext cx="5278120" cy="4791075"/>
                    </a:xfrm>
                    <a:prstGeom prst="rect">
                      <a:avLst/>
                    </a:prstGeom>
                    <a:ln>
                      <a:noFill/>
                    </a:ln>
                    <a:extLst>
                      <a:ext uri="{53640926-AAD7-44D8-BBD7-CCE9431645EC}">
                        <a14:shadowObscured xmlns:a14="http://schemas.microsoft.com/office/drawing/2010/main"/>
                      </a:ext>
                    </a:extLst>
                  </pic:spPr>
                </pic:pic>
              </a:graphicData>
            </a:graphic>
          </wp:inline>
        </w:drawing>
      </w:r>
    </w:p>
    <w:p w14:paraId="1CD0D4BD" w14:textId="77777777" w:rsidR="00B118E4" w:rsidRDefault="00B118E4" w:rsidP="00B118E4">
      <w:pPr>
        <w:rPr>
          <w:b/>
          <w:sz w:val="24"/>
          <w:szCs w:val="24"/>
        </w:rPr>
      </w:pPr>
      <w:r w:rsidRPr="00F0720E">
        <w:rPr>
          <w:b/>
          <w:sz w:val="24"/>
          <w:szCs w:val="24"/>
        </w:rPr>
        <w:t>Supplementary Figure 6: Characterization of Nbs targeting CD4+ T Cell in PBMC using Flow Cytometry</w:t>
      </w:r>
      <w:r>
        <w:rPr>
          <w:b/>
          <w:sz w:val="24"/>
          <w:szCs w:val="24"/>
        </w:rPr>
        <w:t>.</w:t>
      </w:r>
      <w:r>
        <w:rPr>
          <w:rFonts w:hint="eastAsia"/>
          <w:b/>
          <w:sz w:val="24"/>
          <w:szCs w:val="24"/>
        </w:rPr>
        <w:t xml:space="preserve"> </w:t>
      </w:r>
      <w:r w:rsidRPr="00F0720E">
        <w:rPr>
          <w:sz w:val="24"/>
          <w:szCs w:val="24"/>
        </w:rPr>
        <w:t>Nanobodies (Nbs), including Nb434</w:t>
      </w:r>
      <w:r>
        <w:rPr>
          <w:sz w:val="24"/>
          <w:szCs w:val="24"/>
        </w:rPr>
        <w:t>-Fc</w:t>
      </w:r>
      <w:r w:rsidRPr="00F0720E">
        <w:rPr>
          <w:sz w:val="24"/>
          <w:szCs w:val="24"/>
        </w:rPr>
        <w:t xml:space="preserve"> and Nb</w:t>
      </w:r>
      <w:r w:rsidRPr="002E712D">
        <w:rPr>
          <w:sz w:val="24"/>
          <w:szCs w:val="24"/>
          <w:vertAlign w:val="subscript"/>
        </w:rPr>
        <w:t>457</w:t>
      </w:r>
      <w:r>
        <w:rPr>
          <w:sz w:val="24"/>
          <w:szCs w:val="24"/>
        </w:rPr>
        <w:t>-Fc</w:t>
      </w:r>
      <w:r w:rsidRPr="00F0720E">
        <w:rPr>
          <w:sz w:val="24"/>
          <w:szCs w:val="24"/>
        </w:rPr>
        <w:t>, alongside Ibalizumab, were labeled with APC and evaluated for their specificity in targeting CD4</w:t>
      </w:r>
      <w:r w:rsidRPr="00935480">
        <w:rPr>
          <w:sz w:val="24"/>
          <w:szCs w:val="24"/>
          <w:vertAlign w:val="superscript"/>
        </w:rPr>
        <w:t>+</w:t>
      </w:r>
      <w:r w:rsidRPr="00F0720E">
        <w:rPr>
          <w:sz w:val="24"/>
          <w:szCs w:val="24"/>
        </w:rPr>
        <w:t xml:space="preserve"> T cells within peripheral blood mononuclear cells (PBMC) using Flow Cytometry.</w:t>
      </w:r>
      <w:r w:rsidRPr="00615AD0">
        <w:rPr>
          <w:sz w:val="24"/>
          <w:szCs w:val="24"/>
        </w:rPr>
        <w:t xml:space="preserve"> Dead cells were identified by staining with FSV-eFluor506 (eBioscience™ Fixable Viability Dye eFluor™ 506, Cat# 65-0866-14, Thermo Fisher). The gating strategy for CD3</w:t>
      </w:r>
      <w:r w:rsidRPr="00935480">
        <w:rPr>
          <w:sz w:val="24"/>
          <w:szCs w:val="24"/>
          <w:vertAlign w:val="superscript"/>
        </w:rPr>
        <w:t>+</w:t>
      </w:r>
      <w:r w:rsidRPr="00615AD0">
        <w:rPr>
          <w:sz w:val="24"/>
          <w:szCs w:val="24"/>
        </w:rPr>
        <w:t>CD8</w:t>
      </w:r>
      <w:r w:rsidRPr="00935480">
        <w:rPr>
          <w:sz w:val="24"/>
          <w:szCs w:val="24"/>
          <w:vertAlign w:val="superscript"/>
        </w:rPr>
        <w:t>-</w:t>
      </w:r>
      <w:r w:rsidRPr="00615AD0">
        <w:rPr>
          <w:sz w:val="24"/>
          <w:szCs w:val="24"/>
        </w:rPr>
        <w:t>CD4</w:t>
      </w:r>
      <w:r w:rsidRPr="00935480">
        <w:rPr>
          <w:sz w:val="24"/>
          <w:szCs w:val="24"/>
          <w:vertAlign w:val="superscript"/>
        </w:rPr>
        <w:t>+</w:t>
      </w:r>
      <w:r w:rsidRPr="00615AD0">
        <w:rPr>
          <w:sz w:val="24"/>
          <w:szCs w:val="24"/>
        </w:rPr>
        <w:t xml:space="preserve"> cells is shown in the left panel. In the right panel, the X-axis represents the fluorescence intensity of CD3</w:t>
      </w:r>
      <w:r w:rsidRPr="00935480">
        <w:rPr>
          <w:sz w:val="24"/>
          <w:szCs w:val="24"/>
          <w:vertAlign w:val="superscript"/>
        </w:rPr>
        <w:t>+</w:t>
      </w:r>
      <w:r w:rsidRPr="00615AD0">
        <w:rPr>
          <w:sz w:val="24"/>
          <w:szCs w:val="24"/>
        </w:rPr>
        <w:t>CD8</w:t>
      </w:r>
      <w:r w:rsidRPr="00935480">
        <w:rPr>
          <w:sz w:val="24"/>
          <w:szCs w:val="24"/>
          <w:vertAlign w:val="superscript"/>
        </w:rPr>
        <w:t>-</w:t>
      </w:r>
      <w:r w:rsidRPr="00615AD0">
        <w:rPr>
          <w:sz w:val="24"/>
          <w:szCs w:val="24"/>
        </w:rPr>
        <w:t>CD4</w:t>
      </w:r>
      <w:r w:rsidRPr="00935480">
        <w:rPr>
          <w:sz w:val="24"/>
          <w:szCs w:val="24"/>
          <w:vertAlign w:val="superscript"/>
        </w:rPr>
        <w:t>+</w:t>
      </w:r>
      <w:r w:rsidRPr="00615AD0">
        <w:rPr>
          <w:sz w:val="24"/>
          <w:szCs w:val="24"/>
        </w:rPr>
        <w:t xml:space="preserve"> cells, while the Y-axis illustrates the fluorescence intensity of Nb434-APC, Nb457-APC, or Ibalizumab-APC. The upper right quadrant indicates the percentage of double-positive CD3</w:t>
      </w:r>
      <w:r w:rsidRPr="00935480">
        <w:rPr>
          <w:sz w:val="24"/>
          <w:szCs w:val="24"/>
          <w:vertAlign w:val="superscript"/>
        </w:rPr>
        <w:t>+</w:t>
      </w:r>
      <w:r w:rsidRPr="00615AD0">
        <w:rPr>
          <w:sz w:val="24"/>
          <w:szCs w:val="24"/>
        </w:rPr>
        <w:t>CD8</w:t>
      </w:r>
      <w:r w:rsidRPr="00935480">
        <w:rPr>
          <w:sz w:val="24"/>
          <w:szCs w:val="24"/>
          <w:vertAlign w:val="superscript"/>
        </w:rPr>
        <w:t>-</w:t>
      </w:r>
      <w:r w:rsidRPr="00615AD0">
        <w:rPr>
          <w:sz w:val="24"/>
          <w:szCs w:val="24"/>
        </w:rPr>
        <w:t>CD4</w:t>
      </w:r>
      <w:r w:rsidRPr="00935480">
        <w:rPr>
          <w:sz w:val="24"/>
          <w:szCs w:val="24"/>
          <w:vertAlign w:val="superscript"/>
        </w:rPr>
        <w:t>+</w:t>
      </w:r>
      <w:r w:rsidRPr="00615AD0">
        <w:rPr>
          <w:sz w:val="24"/>
          <w:szCs w:val="24"/>
        </w:rPr>
        <w:t xml:space="preserve"> cells with labeling by Nb434-APC, Nb457-APC, or Ibalizumab-APC.</w:t>
      </w:r>
    </w:p>
    <w:p w14:paraId="127E10BC" w14:textId="77777777" w:rsidR="00B118E4" w:rsidRDefault="00B118E4" w:rsidP="00B118E4">
      <w:pPr>
        <w:rPr>
          <w:b/>
          <w:sz w:val="24"/>
          <w:szCs w:val="24"/>
        </w:rPr>
      </w:pPr>
    </w:p>
    <w:p w14:paraId="0F067302" w14:textId="77777777" w:rsidR="008F6F68" w:rsidRDefault="008F6F68" w:rsidP="00B118E4">
      <w:pPr>
        <w:rPr>
          <w:b/>
          <w:sz w:val="24"/>
          <w:szCs w:val="24"/>
        </w:rPr>
      </w:pPr>
    </w:p>
    <w:p w14:paraId="23DD4E67" w14:textId="6673719C" w:rsidR="008F6F68" w:rsidRPr="00F0720E" w:rsidRDefault="008F6F68" w:rsidP="00B118E4">
      <w:pPr>
        <w:rPr>
          <w:b/>
          <w:sz w:val="24"/>
          <w:szCs w:val="24"/>
        </w:rPr>
      </w:pPr>
      <w:r>
        <w:rPr>
          <w:rFonts w:hint="eastAsia"/>
          <w:b/>
          <w:noProof/>
          <w:sz w:val="24"/>
          <w:szCs w:val="24"/>
        </w:rPr>
        <w:drawing>
          <wp:inline distT="0" distB="0" distL="0" distR="0" wp14:anchorId="75DA4868" wp14:editId="761DCD77">
            <wp:extent cx="4724400" cy="70866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幻灯片12.TIF"/>
                    <pic:cNvPicPr/>
                  </pic:nvPicPr>
                  <pic:blipFill rotWithShape="1">
                    <a:blip r:embed="rId20">
                      <a:extLst>
                        <a:ext uri="{28A0092B-C50C-407E-A947-70E740481C1C}">
                          <a14:useLocalDpi xmlns:a14="http://schemas.microsoft.com/office/drawing/2010/main" val="0"/>
                        </a:ext>
                      </a:extLst>
                    </a:blip>
                    <a:srcRect l="3789" t="5122" r="6701" b="1925"/>
                    <a:stretch/>
                  </pic:blipFill>
                  <pic:spPr bwMode="auto">
                    <a:xfrm>
                      <a:off x="0" y="0"/>
                      <a:ext cx="4724400" cy="7086600"/>
                    </a:xfrm>
                    <a:prstGeom prst="rect">
                      <a:avLst/>
                    </a:prstGeom>
                    <a:ln>
                      <a:noFill/>
                    </a:ln>
                    <a:extLst>
                      <a:ext uri="{53640926-AAD7-44D8-BBD7-CCE9431645EC}">
                        <a14:shadowObscured xmlns:a14="http://schemas.microsoft.com/office/drawing/2010/main"/>
                      </a:ext>
                    </a:extLst>
                  </pic:spPr>
                </pic:pic>
              </a:graphicData>
            </a:graphic>
          </wp:inline>
        </w:drawing>
      </w:r>
    </w:p>
    <w:p w14:paraId="0954A702" w14:textId="77777777" w:rsidR="00B118E4" w:rsidRPr="00F0720E" w:rsidRDefault="00B118E4" w:rsidP="00B118E4">
      <w:pPr>
        <w:rPr>
          <w:b/>
          <w:sz w:val="24"/>
          <w:szCs w:val="24"/>
        </w:rPr>
      </w:pPr>
      <w:r w:rsidRPr="00F0720E">
        <w:rPr>
          <w:b/>
          <w:sz w:val="24"/>
          <w:szCs w:val="24"/>
        </w:rPr>
        <w:t xml:space="preserve">Supplementary Figure 7. Determination of Nbs recognizing CD4 protein by BLI. </w:t>
      </w:r>
      <w:r w:rsidRPr="00F0720E">
        <w:rPr>
          <w:sz w:val="24"/>
          <w:szCs w:val="24"/>
        </w:rPr>
        <w:t>(</w:t>
      </w:r>
      <w:r w:rsidRPr="00F0720E">
        <w:rPr>
          <w:b/>
          <w:sz w:val="24"/>
          <w:szCs w:val="24"/>
        </w:rPr>
        <w:t>A-C</w:t>
      </w:r>
      <w:r w:rsidRPr="00F0720E">
        <w:rPr>
          <w:sz w:val="24"/>
          <w:szCs w:val="24"/>
        </w:rPr>
        <w:t>) Kinetic binding curve of Nb</w:t>
      </w:r>
      <w:r w:rsidRPr="002E712D">
        <w:rPr>
          <w:sz w:val="24"/>
          <w:szCs w:val="24"/>
          <w:vertAlign w:val="subscript"/>
        </w:rPr>
        <w:t>434</w:t>
      </w:r>
      <w:r>
        <w:rPr>
          <w:sz w:val="24"/>
          <w:szCs w:val="24"/>
        </w:rPr>
        <w:t>-Fc</w:t>
      </w:r>
      <w:r w:rsidRPr="00F0720E">
        <w:rPr>
          <w:sz w:val="24"/>
          <w:szCs w:val="24"/>
        </w:rPr>
        <w:t xml:space="preserve"> (A), Nb</w:t>
      </w:r>
      <w:r w:rsidRPr="002E712D">
        <w:rPr>
          <w:sz w:val="24"/>
          <w:szCs w:val="24"/>
          <w:vertAlign w:val="subscript"/>
        </w:rPr>
        <w:t>457</w:t>
      </w:r>
      <w:r>
        <w:rPr>
          <w:sz w:val="24"/>
          <w:szCs w:val="24"/>
        </w:rPr>
        <w:t>-Fc</w:t>
      </w:r>
      <w:r w:rsidRPr="00F0720E">
        <w:rPr>
          <w:sz w:val="24"/>
          <w:szCs w:val="24"/>
        </w:rPr>
        <w:t xml:space="preserve"> (</w:t>
      </w:r>
      <w:r w:rsidRPr="00F0720E">
        <w:rPr>
          <w:b/>
          <w:sz w:val="24"/>
          <w:szCs w:val="24"/>
        </w:rPr>
        <w:t>B</w:t>
      </w:r>
      <w:r w:rsidRPr="00F0720E">
        <w:rPr>
          <w:sz w:val="24"/>
          <w:szCs w:val="24"/>
        </w:rPr>
        <w:t>) and Ibalizumab (</w:t>
      </w:r>
      <w:r w:rsidRPr="00F0720E">
        <w:rPr>
          <w:b/>
          <w:sz w:val="24"/>
          <w:szCs w:val="24"/>
        </w:rPr>
        <w:t>C</w:t>
      </w:r>
      <w:r w:rsidRPr="00F0720E">
        <w:rPr>
          <w:sz w:val="24"/>
          <w:szCs w:val="24"/>
        </w:rPr>
        <w:t>) with CD4 at various concentrations (300 nM, 100 nM, 33.3 nM, 11.1 nM, 3.7 nM, 1.2 nM, and 0.4 nM) using BLI. The binding curve is depicted in black, and the fit of the data to a 1:1 binding model is shown in red. (</w:t>
      </w:r>
      <w:r w:rsidRPr="00F0720E">
        <w:rPr>
          <w:b/>
          <w:sz w:val="24"/>
          <w:szCs w:val="24"/>
        </w:rPr>
        <w:t>D</w:t>
      </w:r>
      <w:r w:rsidRPr="00F0720E">
        <w:rPr>
          <w:sz w:val="24"/>
          <w:szCs w:val="24"/>
        </w:rPr>
        <w:t>) The table summarizes the information of the kinetic binding curves presented in the above panels, providing crucial details about the interactions between Nbs (Nb</w:t>
      </w:r>
      <w:r w:rsidRPr="002E712D">
        <w:rPr>
          <w:sz w:val="24"/>
          <w:szCs w:val="24"/>
          <w:vertAlign w:val="subscript"/>
        </w:rPr>
        <w:t>434</w:t>
      </w:r>
      <w:r>
        <w:rPr>
          <w:sz w:val="24"/>
          <w:szCs w:val="24"/>
        </w:rPr>
        <w:t>-Fc</w:t>
      </w:r>
      <w:r w:rsidRPr="00F0720E">
        <w:rPr>
          <w:sz w:val="24"/>
          <w:szCs w:val="24"/>
        </w:rPr>
        <w:t xml:space="preserve"> and Nb</w:t>
      </w:r>
      <w:r w:rsidRPr="002E712D">
        <w:rPr>
          <w:sz w:val="24"/>
          <w:szCs w:val="24"/>
          <w:vertAlign w:val="subscript"/>
        </w:rPr>
        <w:t>457</w:t>
      </w:r>
      <w:r>
        <w:rPr>
          <w:sz w:val="24"/>
          <w:szCs w:val="24"/>
        </w:rPr>
        <w:t>-Fc</w:t>
      </w:r>
      <w:r w:rsidRPr="00F0720E">
        <w:rPr>
          <w:sz w:val="24"/>
          <w:szCs w:val="24"/>
        </w:rPr>
        <w:t>) and Ibalizumab with CD4 protein as determined by BLI.</w:t>
      </w:r>
    </w:p>
    <w:p w14:paraId="0F97BFBC" w14:textId="77777777" w:rsidR="00B118E4" w:rsidRDefault="00B118E4" w:rsidP="00B118E4">
      <w:pPr>
        <w:rPr>
          <w:b/>
          <w:sz w:val="24"/>
          <w:szCs w:val="24"/>
        </w:rPr>
      </w:pPr>
    </w:p>
    <w:p w14:paraId="5150BD47" w14:textId="77777777" w:rsidR="008F6F68" w:rsidRDefault="008F6F68" w:rsidP="00B118E4">
      <w:pPr>
        <w:rPr>
          <w:b/>
          <w:sz w:val="24"/>
          <w:szCs w:val="24"/>
        </w:rPr>
      </w:pPr>
    </w:p>
    <w:p w14:paraId="61177CC5" w14:textId="32A537C5" w:rsidR="008F6F68" w:rsidRDefault="008F6F68" w:rsidP="00B118E4">
      <w:pPr>
        <w:rPr>
          <w:b/>
          <w:sz w:val="24"/>
          <w:szCs w:val="24"/>
        </w:rPr>
      </w:pPr>
      <w:r>
        <w:rPr>
          <w:rFonts w:hint="eastAsia"/>
          <w:b/>
          <w:noProof/>
          <w:sz w:val="24"/>
          <w:szCs w:val="24"/>
        </w:rPr>
        <w:drawing>
          <wp:inline distT="0" distB="0" distL="0" distR="0" wp14:anchorId="07595889" wp14:editId="40ADFBAE">
            <wp:extent cx="3981450" cy="65913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幻灯片15.TIF"/>
                    <pic:cNvPicPr/>
                  </pic:nvPicPr>
                  <pic:blipFill rotWithShape="1">
                    <a:blip r:embed="rId21">
                      <a:extLst>
                        <a:ext uri="{28A0092B-C50C-407E-A947-70E740481C1C}">
                          <a14:useLocalDpi xmlns:a14="http://schemas.microsoft.com/office/drawing/2010/main" val="0"/>
                        </a:ext>
                      </a:extLst>
                    </a:blip>
                    <a:srcRect l="9927" t="11370" r="14641" b="2174"/>
                    <a:stretch/>
                  </pic:blipFill>
                  <pic:spPr bwMode="auto">
                    <a:xfrm>
                      <a:off x="0" y="0"/>
                      <a:ext cx="3981450" cy="6591300"/>
                    </a:xfrm>
                    <a:prstGeom prst="rect">
                      <a:avLst/>
                    </a:prstGeom>
                    <a:ln>
                      <a:noFill/>
                    </a:ln>
                    <a:extLst>
                      <a:ext uri="{53640926-AAD7-44D8-BBD7-CCE9431645EC}">
                        <a14:shadowObscured xmlns:a14="http://schemas.microsoft.com/office/drawing/2010/main"/>
                      </a:ext>
                    </a:extLst>
                  </pic:spPr>
                </pic:pic>
              </a:graphicData>
            </a:graphic>
          </wp:inline>
        </w:drawing>
      </w:r>
    </w:p>
    <w:p w14:paraId="4BA35820" w14:textId="77777777" w:rsidR="00B118E4" w:rsidRPr="00F0720E" w:rsidRDefault="00B118E4" w:rsidP="00B118E4">
      <w:pPr>
        <w:rPr>
          <w:b/>
          <w:sz w:val="24"/>
          <w:szCs w:val="24"/>
        </w:rPr>
      </w:pPr>
      <w:r w:rsidRPr="00F0720E">
        <w:rPr>
          <w:b/>
          <w:sz w:val="24"/>
          <w:szCs w:val="24"/>
        </w:rPr>
        <w:t>Supplementary Figure 8. Neutralizing activity of Nbs against multiple subtypes of HIV-1 Pseudoviruses.</w:t>
      </w:r>
      <w:r w:rsidRPr="00F0720E">
        <w:rPr>
          <w:sz w:val="24"/>
          <w:szCs w:val="24"/>
        </w:rPr>
        <w:t xml:space="preserve"> (</w:t>
      </w:r>
      <w:r w:rsidRPr="00F0720E">
        <w:rPr>
          <w:b/>
          <w:sz w:val="24"/>
          <w:szCs w:val="24"/>
        </w:rPr>
        <w:t>A-C</w:t>
      </w:r>
      <w:r w:rsidRPr="00F0720E">
        <w:rPr>
          <w:sz w:val="24"/>
          <w:szCs w:val="24"/>
        </w:rPr>
        <w:t>) Graphs showing the IC</w:t>
      </w:r>
      <w:r w:rsidRPr="00F0720E">
        <w:rPr>
          <w:sz w:val="24"/>
          <w:szCs w:val="24"/>
          <w:vertAlign w:val="subscript"/>
        </w:rPr>
        <w:t>50</w:t>
      </w:r>
      <w:r w:rsidRPr="00F0720E">
        <w:rPr>
          <w:sz w:val="24"/>
          <w:szCs w:val="24"/>
        </w:rPr>
        <w:t xml:space="preserve"> values of Nb</w:t>
      </w:r>
      <w:r w:rsidRPr="002E712D">
        <w:rPr>
          <w:sz w:val="24"/>
          <w:szCs w:val="24"/>
          <w:vertAlign w:val="subscript"/>
        </w:rPr>
        <w:t>434</w:t>
      </w:r>
      <w:r>
        <w:rPr>
          <w:sz w:val="24"/>
          <w:szCs w:val="24"/>
        </w:rPr>
        <w:t>-Fc</w:t>
      </w:r>
      <w:r w:rsidRPr="00F0720E">
        <w:rPr>
          <w:sz w:val="24"/>
          <w:szCs w:val="24"/>
        </w:rPr>
        <w:t xml:space="preserve"> (</w:t>
      </w:r>
      <w:r w:rsidRPr="00F0720E">
        <w:rPr>
          <w:b/>
          <w:sz w:val="24"/>
          <w:szCs w:val="24"/>
        </w:rPr>
        <w:t>A</w:t>
      </w:r>
      <w:r w:rsidRPr="00F0720E">
        <w:rPr>
          <w:sz w:val="24"/>
          <w:szCs w:val="24"/>
        </w:rPr>
        <w:t>), Nb</w:t>
      </w:r>
      <w:r w:rsidRPr="002E712D">
        <w:rPr>
          <w:sz w:val="24"/>
          <w:szCs w:val="24"/>
          <w:vertAlign w:val="subscript"/>
        </w:rPr>
        <w:t>457</w:t>
      </w:r>
      <w:r w:rsidRPr="00F0720E">
        <w:rPr>
          <w:sz w:val="24"/>
          <w:szCs w:val="24"/>
        </w:rPr>
        <w:t xml:space="preserve"> </w:t>
      </w:r>
      <w:r>
        <w:rPr>
          <w:sz w:val="24"/>
          <w:szCs w:val="24"/>
        </w:rPr>
        <w:t xml:space="preserve">–Fc </w:t>
      </w:r>
      <w:r w:rsidRPr="00F0720E">
        <w:rPr>
          <w:sz w:val="24"/>
          <w:szCs w:val="24"/>
        </w:rPr>
        <w:t>(</w:t>
      </w:r>
      <w:r w:rsidRPr="00F0720E">
        <w:rPr>
          <w:b/>
          <w:sz w:val="24"/>
          <w:szCs w:val="24"/>
        </w:rPr>
        <w:t>B</w:t>
      </w:r>
      <w:r w:rsidRPr="00F0720E">
        <w:rPr>
          <w:sz w:val="24"/>
          <w:szCs w:val="24"/>
        </w:rPr>
        <w:t>) and Ibalizumab (</w:t>
      </w:r>
      <w:r w:rsidRPr="00F0720E">
        <w:rPr>
          <w:b/>
          <w:sz w:val="24"/>
          <w:szCs w:val="24"/>
        </w:rPr>
        <w:t>C</w:t>
      </w:r>
      <w:r w:rsidRPr="00F0720E">
        <w:rPr>
          <w:sz w:val="24"/>
          <w:szCs w:val="24"/>
        </w:rPr>
        <w:t xml:space="preserve">) in neutralizing various subtypes of HIV-1 pseudoviruses infection, as determined by the neutralization results from </w:t>
      </w:r>
      <w:r w:rsidRPr="00F0720E">
        <w:rPr>
          <w:b/>
          <w:sz w:val="24"/>
          <w:szCs w:val="24"/>
        </w:rPr>
        <w:t>Figure</w:t>
      </w:r>
      <w:r w:rsidRPr="00F0720E">
        <w:rPr>
          <w:sz w:val="24"/>
          <w:szCs w:val="24"/>
        </w:rPr>
        <w:t xml:space="preserve"> </w:t>
      </w:r>
      <w:r w:rsidRPr="00F0720E">
        <w:rPr>
          <w:b/>
          <w:sz w:val="24"/>
          <w:szCs w:val="24"/>
        </w:rPr>
        <w:t>3 A</w:t>
      </w:r>
      <w:r w:rsidRPr="00F0720E">
        <w:rPr>
          <w:sz w:val="24"/>
          <w:szCs w:val="24"/>
        </w:rPr>
        <w:t>.</w:t>
      </w:r>
    </w:p>
    <w:p w14:paraId="5478B2BE" w14:textId="77777777" w:rsidR="00B118E4" w:rsidRDefault="00B118E4" w:rsidP="00B118E4">
      <w:pPr>
        <w:rPr>
          <w:b/>
          <w:sz w:val="24"/>
          <w:szCs w:val="24"/>
        </w:rPr>
      </w:pPr>
    </w:p>
    <w:p w14:paraId="748B5B2B" w14:textId="4EC67A26" w:rsidR="008F6F68" w:rsidRPr="0037669B" w:rsidRDefault="008F6F68" w:rsidP="00B118E4">
      <w:pPr>
        <w:rPr>
          <w:b/>
          <w:sz w:val="24"/>
          <w:szCs w:val="24"/>
        </w:rPr>
      </w:pPr>
      <w:r>
        <w:rPr>
          <w:rFonts w:hint="eastAsia"/>
          <w:b/>
          <w:noProof/>
          <w:sz w:val="24"/>
          <w:szCs w:val="24"/>
        </w:rPr>
        <w:drawing>
          <wp:inline distT="0" distB="0" distL="0" distR="0" wp14:anchorId="2F48D5DA" wp14:editId="6A9D9A9B">
            <wp:extent cx="5173345" cy="4962525"/>
            <wp:effectExtent l="0" t="0" r="8255"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幻灯片18.TIF"/>
                    <pic:cNvPicPr/>
                  </pic:nvPicPr>
                  <pic:blipFill rotWithShape="1">
                    <a:blip r:embed="rId22">
                      <a:extLst>
                        <a:ext uri="{28A0092B-C50C-407E-A947-70E740481C1C}">
                          <a14:useLocalDpi xmlns:a14="http://schemas.microsoft.com/office/drawing/2010/main" val="0"/>
                        </a:ext>
                      </a:extLst>
                    </a:blip>
                    <a:srcRect l="1985" t="13994" b="20914"/>
                    <a:stretch/>
                  </pic:blipFill>
                  <pic:spPr bwMode="auto">
                    <a:xfrm>
                      <a:off x="0" y="0"/>
                      <a:ext cx="5173345" cy="4962525"/>
                    </a:xfrm>
                    <a:prstGeom prst="rect">
                      <a:avLst/>
                    </a:prstGeom>
                    <a:ln>
                      <a:noFill/>
                    </a:ln>
                    <a:extLst>
                      <a:ext uri="{53640926-AAD7-44D8-BBD7-CCE9431645EC}">
                        <a14:shadowObscured xmlns:a14="http://schemas.microsoft.com/office/drawing/2010/main"/>
                      </a:ext>
                    </a:extLst>
                  </pic:spPr>
                </pic:pic>
              </a:graphicData>
            </a:graphic>
          </wp:inline>
        </w:drawing>
      </w:r>
    </w:p>
    <w:p w14:paraId="356E0B2D" w14:textId="77777777" w:rsidR="00B118E4" w:rsidRPr="00E424B1" w:rsidRDefault="00B118E4" w:rsidP="00B118E4">
      <w:pPr>
        <w:rPr>
          <w:sz w:val="24"/>
          <w:szCs w:val="24"/>
        </w:rPr>
      </w:pPr>
      <w:r w:rsidRPr="00F0720E">
        <w:rPr>
          <w:b/>
          <w:sz w:val="24"/>
          <w:szCs w:val="24"/>
        </w:rPr>
        <w:t>Supplementary Figure 9. Structural analysis of amino acid residues mediating interactions.</w:t>
      </w:r>
      <w:r w:rsidRPr="00F0720E">
        <w:rPr>
          <w:b/>
          <w:sz w:val="24"/>
          <w:szCs w:val="24"/>
        </w:rPr>
        <w:br/>
      </w:r>
      <w:r w:rsidRPr="006A1379">
        <w:rPr>
          <w:sz w:val="24"/>
          <w:szCs w:val="24"/>
        </w:rPr>
        <w:t>(</w:t>
      </w:r>
      <w:r w:rsidRPr="006A1379">
        <w:rPr>
          <w:b/>
          <w:sz w:val="24"/>
          <w:szCs w:val="24"/>
        </w:rPr>
        <w:t>A</w:t>
      </w:r>
      <w:r w:rsidRPr="006A1379">
        <w:rPr>
          <w:sz w:val="24"/>
          <w:szCs w:val="24"/>
        </w:rPr>
        <w:t>) Amino acid residues implicated in interactions within the CD4-Nb457 complex. The hydrogen bonds are depicted as cyan dashed line. (</w:t>
      </w:r>
      <w:r w:rsidRPr="006A1379">
        <w:rPr>
          <w:b/>
          <w:sz w:val="24"/>
          <w:szCs w:val="24"/>
        </w:rPr>
        <w:t>B</w:t>
      </w:r>
      <w:r w:rsidRPr="006A1379">
        <w:rPr>
          <w:sz w:val="24"/>
          <w:szCs w:val="24"/>
        </w:rPr>
        <w:t>) Amino acid residues participating in interactions within the CD4-gp120 complex. (</w:t>
      </w:r>
      <w:r w:rsidRPr="006A1379">
        <w:rPr>
          <w:b/>
          <w:sz w:val="24"/>
          <w:szCs w:val="24"/>
        </w:rPr>
        <w:t>C</w:t>
      </w:r>
      <w:r w:rsidRPr="006A1379">
        <w:rPr>
          <w:sz w:val="24"/>
          <w:szCs w:val="24"/>
        </w:rPr>
        <w:t>) Amino acid residues engaged in interactions within the CD4-gp120 complex subsequent to the binding event of Nb457 to CD4</w:t>
      </w:r>
      <w:r w:rsidRPr="00F0720E">
        <w:rPr>
          <w:sz w:val="24"/>
          <w:szCs w:val="24"/>
        </w:rPr>
        <w:t>.</w:t>
      </w:r>
    </w:p>
    <w:p w14:paraId="59AF8341" w14:textId="77777777" w:rsidR="00B118E4" w:rsidRDefault="00B118E4" w:rsidP="00B118E4">
      <w:pPr>
        <w:rPr>
          <w:sz w:val="24"/>
          <w:szCs w:val="24"/>
        </w:rPr>
      </w:pPr>
    </w:p>
    <w:p w14:paraId="75ED3255" w14:textId="7067E630" w:rsidR="008F6F68" w:rsidRPr="00F0720E" w:rsidRDefault="008F6F68" w:rsidP="00B118E4">
      <w:pPr>
        <w:rPr>
          <w:sz w:val="24"/>
          <w:szCs w:val="24"/>
        </w:rPr>
      </w:pPr>
      <w:r>
        <w:rPr>
          <w:rFonts w:hint="eastAsia"/>
          <w:noProof/>
          <w:sz w:val="24"/>
          <w:szCs w:val="24"/>
        </w:rPr>
        <w:drawing>
          <wp:inline distT="0" distB="0" distL="0" distR="0" wp14:anchorId="5CF6BEBD" wp14:editId="53057243">
            <wp:extent cx="5038725" cy="6362700"/>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幻灯片19.TIF"/>
                    <pic:cNvPicPr/>
                  </pic:nvPicPr>
                  <pic:blipFill rotWithShape="1">
                    <a:blip r:embed="rId23">
                      <a:extLst>
                        <a:ext uri="{28A0092B-C50C-407E-A947-70E740481C1C}">
                          <a14:useLocalDpi xmlns:a14="http://schemas.microsoft.com/office/drawing/2010/main" val="0"/>
                        </a:ext>
                      </a:extLst>
                    </a:blip>
                    <a:srcRect l="1082" t="5872" r="3453" b="10669"/>
                    <a:stretch/>
                  </pic:blipFill>
                  <pic:spPr bwMode="auto">
                    <a:xfrm>
                      <a:off x="0" y="0"/>
                      <a:ext cx="5038725" cy="6362700"/>
                    </a:xfrm>
                    <a:prstGeom prst="rect">
                      <a:avLst/>
                    </a:prstGeom>
                    <a:ln>
                      <a:noFill/>
                    </a:ln>
                    <a:extLst>
                      <a:ext uri="{53640926-AAD7-44D8-BBD7-CCE9431645EC}">
                        <a14:shadowObscured xmlns:a14="http://schemas.microsoft.com/office/drawing/2010/main"/>
                      </a:ext>
                    </a:extLst>
                  </pic:spPr>
                </pic:pic>
              </a:graphicData>
            </a:graphic>
          </wp:inline>
        </w:drawing>
      </w:r>
    </w:p>
    <w:p w14:paraId="3D4B4083" w14:textId="77777777" w:rsidR="00B118E4" w:rsidRPr="00F0720E" w:rsidRDefault="00B118E4" w:rsidP="00B118E4">
      <w:pPr>
        <w:rPr>
          <w:sz w:val="24"/>
          <w:szCs w:val="24"/>
        </w:rPr>
      </w:pPr>
      <w:r w:rsidRPr="00F0720E">
        <w:rPr>
          <w:b/>
          <w:sz w:val="24"/>
          <w:szCs w:val="24"/>
        </w:rPr>
        <w:t>Supplementary Figure 10. Structural insights into the CD4 epitope interactions with diverse antibodies and proteins.</w:t>
      </w:r>
      <w:r w:rsidRPr="00F0720E">
        <w:rPr>
          <w:sz w:val="24"/>
          <w:szCs w:val="24"/>
        </w:rPr>
        <w:t xml:space="preserve"> (</w:t>
      </w:r>
      <w:r w:rsidRPr="00F0720E">
        <w:rPr>
          <w:b/>
          <w:sz w:val="24"/>
          <w:szCs w:val="24"/>
        </w:rPr>
        <w:t>A</w:t>
      </w:r>
      <w:r w:rsidRPr="00F0720E">
        <w:rPr>
          <w:sz w:val="24"/>
          <w:szCs w:val="24"/>
        </w:rPr>
        <w:t>) Spatial alignment of the binding sites of Nb457 and gp120 on the D1-D2 segment of CD4. The gp120 binding region is delineated by a green line, while the Nb457 binding region is vividly represented in pink. The region of convergence is demarcated by ellipses accompanied by outlines. (</w:t>
      </w:r>
      <w:r w:rsidRPr="00F0720E">
        <w:rPr>
          <w:b/>
          <w:sz w:val="24"/>
          <w:szCs w:val="24"/>
        </w:rPr>
        <w:t>B</w:t>
      </w:r>
      <w:r w:rsidRPr="00F0720E">
        <w:rPr>
          <w:sz w:val="24"/>
          <w:szCs w:val="24"/>
        </w:rPr>
        <w:t>) Comparative visualization of the binding sites of Nb457 and Ibalizumab within the D1-D2 segment of CD4. The Ibalizumab binding locale is portrayed through a cyan line, harmoniously juxtaposed with the distinctive Nb457 binding area portrayed in pink. (</w:t>
      </w:r>
      <w:r w:rsidRPr="00F0720E">
        <w:rPr>
          <w:b/>
          <w:sz w:val="24"/>
          <w:szCs w:val="24"/>
        </w:rPr>
        <w:t>C</w:t>
      </w:r>
      <w:r w:rsidRPr="00F0720E">
        <w:rPr>
          <w:sz w:val="24"/>
          <w:szCs w:val="24"/>
        </w:rPr>
        <w:t xml:space="preserve">) Concurrent representation of the binding locales of Nb457 and MHC-II on the D1-D2 region of CD4. The MHC-II binding region is elegantly highlighted in </w:t>
      </w:r>
      <w:r>
        <w:rPr>
          <w:sz w:val="24"/>
          <w:szCs w:val="24"/>
        </w:rPr>
        <w:t>blue</w:t>
      </w:r>
      <w:r w:rsidRPr="00F0720E">
        <w:rPr>
          <w:sz w:val="24"/>
          <w:szCs w:val="24"/>
        </w:rPr>
        <w:t>, harmonizing with the visually striking depiction of the Nb457 binding region in pink.</w:t>
      </w:r>
    </w:p>
    <w:p w14:paraId="0AF6AAA6" w14:textId="77777777" w:rsidR="00B118E4" w:rsidRDefault="00B118E4" w:rsidP="00B118E4">
      <w:pPr>
        <w:rPr>
          <w:b/>
          <w:sz w:val="24"/>
          <w:szCs w:val="24"/>
        </w:rPr>
      </w:pPr>
    </w:p>
    <w:p w14:paraId="686C4233" w14:textId="77777777" w:rsidR="008F6F68" w:rsidRDefault="008F6F68" w:rsidP="00B118E4">
      <w:pPr>
        <w:rPr>
          <w:b/>
          <w:sz w:val="24"/>
          <w:szCs w:val="24"/>
        </w:rPr>
      </w:pPr>
    </w:p>
    <w:p w14:paraId="4899C41E" w14:textId="77777777" w:rsidR="008F6F68" w:rsidRDefault="008F6F68" w:rsidP="00B118E4">
      <w:pPr>
        <w:rPr>
          <w:b/>
          <w:sz w:val="24"/>
          <w:szCs w:val="24"/>
        </w:rPr>
      </w:pPr>
    </w:p>
    <w:p w14:paraId="587F3227" w14:textId="7303C8B3" w:rsidR="008F6F68" w:rsidRPr="00F0720E" w:rsidRDefault="008F6F68" w:rsidP="00B118E4">
      <w:pPr>
        <w:rPr>
          <w:b/>
          <w:sz w:val="24"/>
          <w:szCs w:val="24"/>
        </w:rPr>
      </w:pPr>
      <w:r>
        <w:rPr>
          <w:rFonts w:hint="eastAsia"/>
          <w:b/>
          <w:noProof/>
          <w:sz w:val="24"/>
          <w:szCs w:val="24"/>
        </w:rPr>
        <w:drawing>
          <wp:inline distT="0" distB="0" distL="0" distR="0" wp14:anchorId="73376FEA" wp14:editId="60F48DBA">
            <wp:extent cx="4876800" cy="55435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幻灯片20.TIF"/>
                    <pic:cNvPicPr/>
                  </pic:nvPicPr>
                  <pic:blipFill rotWithShape="1">
                    <a:blip r:embed="rId24">
                      <a:extLst>
                        <a:ext uri="{28A0092B-C50C-407E-A947-70E740481C1C}">
                          <a14:useLocalDpi xmlns:a14="http://schemas.microsoft.com/office/drawing/2010/main" val="0"/>
                        </a:ext>
                      </a:extLst>
                    </a:blip>
                    <a:srcRect l="3970" t="10994" r="3633" b="16292"/>
                    <a:stretch/>
                  </pic:blipFill>
                  <pic:spPr bwMode="auto">
                    <a:xfrm>
                      <a:off x="0" y="0"/>
                      <a:ext cx="4876800" cy="5543550"/>
                    </a:xfrm>
                    <a:prstGeom prst="rect">
                      <a:avLst/>
                    </a:prstGeom>
                    <a:ln>
                      <a:noFill/>
                    </a:ln>
                    <a:extLst>
                      <a:ext uri="{53640926-AAD7-44D8-BBD7-CCE9431645EC}">
                        <a14:shadowObscured xmlns:a14="http://schemas.microsoft.com/office/drawing/2010/main"/>
                      </a:ext>
                    </a:extLst>
                  </pic:spPr>
                </pic:pic>
              </a:graphicData>
            </a:graphic>
          </wp:inline>
        </w:drawing>
      </w:r>
    </w:p>
    <w:p w14:paraId="33FD599A" w14:textId="77777777" w:rsidR="00B118E4" w:rsidRPr="00B118E4" w:rsidRDefault="00B118E4" w:rsidP="00B118E4">
      <w:pPr>
        <w:rPr>
          <w:sz w:val="24"/>
          <w:szCs w:val="24"/>
        </w:rPr>
      </w:pPr>
      <w:r w:rsidRPr="00B118E4">
        <w:rPr>
          <w:b/>
          <w:sz w:val="24"/>
          <w:szCs w:val="24"/>
        </w:rPr>
        <w:t xml:space="preserve">Supplementary Figure 11. Epitope competition investigation within CD4 via flow cytometry analysis. </w:t>
      </w:r>
      <w:r w:rsidRPr="00B118E4">
        <w:rPr>
          <w:sz w:val="24"/>
          <w:szCs w:val="24"/>
        </w:rPr>
        <w:t>(</w:t>
      </w:r>
      <w:r w:rsidRPr="00B118E4">
        <w:rPr>
          <w:b/>
          <w:sz w:val="24"/>
          <w:szCs w:val="24"/>
        </w:rPr>
        <w:t>A</w:t>
      </w:r>
      <w:r w:rsidRPr="00B118E4">
        <w:rPr>
          <w:sz w:val="24"/>
          <w:szCs w:val="24"/>
        </w:rPr>
        <w:t>) Histogram depicting the inhibitory impact of 5 μg Nb</w:t>
      </w:r>
      <w:r w:rsidRPr="00B118E4">
        <w:rPr>
          <w:sz w:val="24"/>
          <w:szCs w:val="24"/>
          <w:vertAlign w:val="subscript"/>
        </w:rPr>
        <w:t>457</w:t>
      </w:r>
      <w:r w:rsidRPr="00B118E4">
        <w:rPr>
          <w:sz w:val="24"/>
          <w:szCs w:val="24"/>
        </w:rPr>
        <w:t>-Fc or Ibalizumab on Ibalizumab-FITC (1μg) binding to CD4</w:t>
      </w:r>
      <w:r w:rsidRPr="00B118E4">
        <w:rPr>
          <w:sz w:val="24"/>
          <w:szCs w:val="24"/>
          <w:vertAlign w:val="superscript"/>
        </w:rPr>
        <w:t>+</w:t>
      </w:r>
      <w:r w:rsidRPr="00B118E4">
        <w:rPr>
          <w:sz w:val="24"/>
          <w:szCs w:val="24"/>
        </w:rPr>
        <w:t xml:space="preserve"> T cells (human PBMC), as evaluated using flow cytometry.</w:t>
      </w:r>
      <w:r w:rsidRPr="00B118E4">
        <w:rPr>
          <w:b/>
          <w:sz w:val="24"/>
          <w:szCs w:val="24"/>
        </w:rPr>
        <w:t xml:space="preserve"> </w:t>
      </w:r>
      <w:r w:rsidRPr="00B118E4">
        <w:rPr>
          <w:sz w:val="24"/>
          <w:szCs w:val="24"/>
        </w:rPr>
        <w:t>(</w:t>
      </w:r>
      <w:r w:rsidRPr="00B118E4">
        <w:rPr>
          <w:b/>
          <w:sz w:val="24"/>
          <w:szCs w:val="24"/>
        </w:rPr>
        <w:t>B</w:t>
      </w:r>
      <w:r w:rsidRPr="00B118E4">
        <w:rPr>
          <w:sz w:val="24"/>
          <w:szCs w:val="24"/>
        </w:rPr>
        <w:t>) Bar chart succinctly presenting the summarized results extracted from panel A.</w:t>
      </w:r>
      <w:r w:rsidRPr="00B118E4">
        <w:rPr>
          <w:b/>
          <w:sz w:val="24"/>
          <w:szCs w:val="24"/>
        </w:rPr>
        <w:t xml:space="preserve"> </w:t>
      </w:r>
      <w:r w:rsidRPr="00B118E4">
        <w:rPr>
          <w:sz w:val="24"/>
          <w:szCs w:val="24"/>
        </w:rPr>
        <w:t>(</w:t>
      </w:r>
      <w:r w:rsidRPr="00B118E4">
        <w:rPr>
          <w:b/>
          <w:sz w:val="24"/>
          <w:szCs w:val="24"/>
        </w:rPr>
        <w:t>C</w:t>
      </w:r>
      <w:r w:rsidRPr="00B118E4">
        <w:rPr>
          <w:sz w:val="24"/>
          <w:szCs w:val="24"/>
        </w:rPr>
        <w:t>) Histogram illustrating the suppressive effect of 5 μg Nb</w:t>
      </w:r>
      <w:r w:rsidRPr="00B118E4">
        <w:rPr>
          <w:sz w:val="24"/>
          <w:szCs w:val="24"/>
          <w:vertAlign w:val="subscript"/>
        </w:rPr>
        <w:t>457</w:t>
      </w:r>
      <w:r w:rsidRPr="00B118E4">
        <w:rPr>
          <w:sz w:val="24"/>
          <w:szCs w:val="24"/>
        </w:rPr>
        <w:t>-Fc or Ibalizumab on Nb</w:t>
      </w:r>
      <w:r w:rsidRPr="00B118E4">
        <w:rPr>
          <w:sz w:val="24"/>
          <w:szCs w:val="24"/>
          <w:vertAlign w:val="subscript"/>
        </w:rPr>
        <w:t>457</w:t>
      </w:r>
      <w:r w:rsidRPr="00B118E4">
        <w:rPr>
          <w:sz w:val="24"/>
          <w:szCs w:val="24"/>
        </w:rPr>
        <w:t>-Fc-FITC (1μg) binding to CD4</w:t>
      </w:r>
      <w:r w:rsidRPr="00B118E4">
        <w:rPr>
          <w:sz w:val="24"/>
          <w:szCs w:val="24"/>
          <w:vertAlign w:val="superscript"/>
        </w:rPr>
        <w:t>+</w:t>
      </w:r>
      <w:r w:rsidRPr="00B118E4">
        <w:rPr>
          <w:sz w:val="24"/>
          <w:szCs w:val="24"/>
        </w:rPr>
        <w:t>T cells (MT-2), assessed through flow cytometry.</w:t>
      </w:r>
      <w:r w:rsidRPr="00B118E4">
        <w:rPr>
          <w:b/>
          <w:sz w:val="24"/>
          <w:szCs w:val="24"/>
        </w:rPr>
        <w:t xml:space="preserve"> </w:t>
      </w:r>
      <w:r w:rsidRPr="00B118E4">
        <w:rPr>
          <w:sz w:val="24"/>
          <w:szCs w:val="24"/>
        </w:rPr>
        <w:t>(</w:t>
      </w:r>
      <w:r w:rsidRPr="00B118E4">
        <w:rPr>
          <w:b/>
          <w:sz w:val="24"/>
          <w:szCs w:val="24"/>
        </w:rPr>
        <w:t>D</w:t>
      </w:r>
      <w:r w:rsidRPr="00B118E4">
        <w:rPr>
          <w:sz w:val="24"/>
          <w:szCs w:val="24"/>
        </w:rPr>
        <w:t>) Bar chart offering a concise overview of the observations delineated in panel C.</w:t>
      </w:r>
    </w:p>
    <w:p w14:paraId="196344BC" w14:textId="77777777" w:rsidR="00B118E4" w:rsidRDefault="00B118E4" w:rsidP="00B118E4">
      <w:pPr>
        <w:pStyle w:val="af0"/>
        <w:ind w:firstLine="480"/>
        <w:rPr>
          <w:sz w:val="24"/>
          <w:szCs w:val="24"/>
        </w:rPr>
      </w:pPr>
    </w:p>
    <w:p w14:paraId="1050A755" w14:textId="77777777" w:rsidR="00B118E4" w:rsidRDefault="00B118E4" w:rsidP="00B118E4">
      <w:pPr>
        <w:rPr>
          <w:b/>
          <w:sz w:val="24"/>
          <w:szCs w:val="24"/>
        </w:rPr>
      </w:pPr>
    </w:p>
    <w:p w14:paraId="66CE6960" w14:textId="72A8CBA3" w:rsidR="008F6F68" w:rsidRPr="00F0720E" w:rsidRDefault="008F6F68" w:rsidP="00B118E4">
      <w:pPr>
        <w:rPr>
          <w:b/>
          <w:sz w:val="24"/>
          <w:szCs w:val="24"/>
        </w:rPr>
      </w:pPr>
      <w:r>
        <w:rPr>
          <w:rFonts w:hint="eastAsia"/>
          <w:b/>
          <w:noProof/>
          <w:sz w:val="24"/>
          <w:szCs w:val="24"/>
        </w:rPr>
        <w:drawing>
          <wp:inline distT="0" distB="0" distL="0" distR="0" wp14:anchorId="50992F0A" wp14:editId="275047EA">
            <wp:extent cx="4867275" cy="281940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幻灯片21.TIF"/>
                    <pic:cNvPicPr/>
                  </pic:nvPicPr>
                  <pic:blipFill rotWithShape="1">
                    <a:blip r:embed="rId25">
                      <a:extLst>
                        <a:ext uri="{28A0092B-C50C-407E-A947-70E740481C1C}">
                          <a14:useLocalDpi xmlns:a14="http://schemas.microsoft.com/office/drawing/2010/main" val="0"/>
                        </a:ext>
                      </a:extLst>
                    </a:blip>
                    <a:srcRect l="3609" t="21490" r="4175" b="41529"/>
                    <a:stretch/>
                  </pic:blipFill>
                  <pic:spPr bwMode="auto">
                    <a:xfrm>
                      <a:off x="0" y="0"/>
                      <a:ext cx="4867275" cy="2819400"/>
                    </a:xfrm>
                    <a:prstGeom prst="rect">
                      <a:avLst/>
                    </a:prstGeom>
                    <a:ln>
                      <a:noFill/>
                    </a:ln>
                    <a:extLst>
                      <a:ext uri="{53640926-AAD7-44D8-BBD7-CCE9431645EC}">
                        <a14:shadowObscured xmlns:a14="http://schemas.microsoft.com/office/drawing/2010/main"/>
                      </a:ext>
                    </a:extLst>
                  </pic:spPr>
                </pic:pic>
              </a:graphicData>
            </a:graphic>
          </wp:inline>
        </w:drawing>
      </w:r>
    </w:p>
    <w:p w14:paraId="013022DA" w14:textId="77777777" w:rsidR="00B118E4" w:rsidRDefault="00B118E4" w:rsidP="00B118E4">
      <w:pPr>
        <w:rPr>
          <w:sz w:val="24"/>
          <w:szCs w:val="24"/>
        </w:rPr>
      </w:pPr>
      <w:r w:rsidRPr="00B118E4">
        <w:rPr>
          <w:b/>
          <w:sz w:val="24"/>
          <w:szCs w:val="24"/>
        </w:rPr>
        <w:t xml:space="preserve">Supplementary Figure 12. Impact of Nb457 on CD4 binding to MHC-II on Daudi cells. </w:t>
      </w:r>
      <w:r w:rsidRPr="00B118E4">
        <w:rPr>
          <w:sz w:val="24"/>
          <w:szCs w:val="24"/>
        </w:rPr>
        <w:t>(</w:t>
      </w:r>
      <w:r w:rsidRPr="00B118E4">
        <w:rPr>
          <w:b/>
          <w:sz w:val="24"/>
          <w:szCs w:val="24"/>
        </w:rPr>
        <w:t>A</w:t>
      </w:r>
      <w:r w:rsidRPr="00B118E4">
        <w:rPr>
          <w:sz w:val="24"/>
          <w:szCs w:val="24"/>
        </w:rPr>
        <w:t>) Histogram illustrating the dose-dependent interaction of CD4-rFc with MHC-II on Daudi cells. A range of CD4-rFc concentrations (0.01 μg/ml to 2.2 μg/ml) was added to Daudi cells, followed by detection using an anti-rabbit-Fc secondary antibody labeled with FITC. (</w:t>
      </w:r>
      <w:r w:rsidRPr="00B118E4">
        <w:rPr>
          <w:b/>
          <w:sz w:val="24"/>
          <w:szCs w:val="24"/>
        </w:rPr>
        <w:t>B</w:t>
      </w:r>
      <w:r w:rsidRPr="00B118E4">
        <w:rPr>
          <w:sz w:val="24"/>
          <w:szCs w:val="24"/>
        </w:rPr>
        <w:t>) Binding curve depicting the binding of Daudi cells by 0.1 μg of CD4-rFc pre-incubated with Nb457, Ibalizumab, or Nb CTL at the specified concentrations. This assessment was conducted using flow cytometry. The curve highlights the comparative impact of these agents on the CD4-MHC-II interaction.</w:t>
      </w:r>
    </w:p>
    <w:p w14:paraId="2EB5B6CD" w14:textId="77777777" w:rsidR="00B118E4" w:rsidRDefault="00B118E4" w:rsidP="00B118E4">
      <w:pPr>
        <w:rPr>
          <w:sz w:val="24"/>
          <w:szCs w:val="24"/>
        </w:rPr>
      </w:pPr>
    </w:p>
    <w:p w14:paraId="4A0EEFE4" w14:textId="419C7FB0" w:rsidR="008F6F68" w:rsidRPr="00B118E4" w:rsidRDefault="008F6F68" w:rsidP="00B118E4">
      <w:pPr>
        <w:rPr>
          <w:sz w:val="24"/>
          <w:szCs w:val="24"/>
        </w:rPr>
      </w:pPr>
      <w:r>
        <w:rPr>
          <w:rFonts w:hint="eastAsia"/>
          <w:noProof/>
          <w:sz w:val="24"/>
          <w:szCs w:val="24"/>
        </w:rPr>
        <w:drawing>
          <wp:inline distT="0" distB="0" distL="0" distR="0" wp14:anchorId="2BDB5CB4" wp14:editId="62CDB08D">
            <wp:extent cx="4953000" cy="501015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幻灯片23.TIF"/>
                    <pic:cNvPicPr/>
                  </pic:nvPicPr>
                  <pic:blipFill rotWithShape="1">
                    <a:blip r:embed="rId26">
                      <a:extLst>
                        <a:ext uri="{28A0092B-C50C-407E-A947-70E740481C1C}">
                          <a14:useLocalDpi xmlns:a14="http://schemas.microsoft.com/office/drawing/2010/main" val="0"/>
                        </a:ext>
                      </a:extLst>
                    </a:blip>
                    <a:srcRect l="3067" t="12994" r="3092" b="21290"/>
                    <a:stretch/>
                  </pic:blipFill>
                  <pic:spPr bwMode="auto">
                    <a:xfrm>
                      <a:off x="0" y="0"/>
                      <a:ext cx="4953000" cy="5010150"/>
                    </a:xfrm>
                    <a:prstGeom prst="rect">
                      <a:avLst/>
                    </a:prstGeom>
                    <a:ln>
                      <a:noFill/>
                    </a:ln>
                    <a:extLst>
                      <a:ext uri="{53640926-AAD7-44D8-BBD7-CCE9431645EC}">
                        <a14:shadowObscured xmlns:a14="http://schemas.microsoft.com/office/drawing/2010/main"/>
                      </a:ext>
                    </a:extLst>
                  </pic:spPr>
                </pic:pic>
              </a:graphicData>
            </a:graphic>
          </wp:inline>
        </w:drawing>
      </w:r>
    </w:p>
    <w:p w14:paraId="0C329365" w14:textId="77777777" w:rsidR="00B118E4" w:rsidRDefault="00B118E4" w:rsidP="00B118E4">
      <w:pPr>
        <w:rPr>
          <w:sz w:val="24"/>
          <w:szCs w:val="24"/>
        </w:rPr>
      </w:pPr>
      <w:r w:rsidRPr="00F0720E">
        <w:rPr>
          <w:b/>
          <w:sz w:val="24"/>
          <w:szCs w:val="24"/>
        </w:rPr>
        <w:t>Supplementary Figure 13. Determination of Nb</w:t>
      </w:r>
      <w:r w:rsidRPr="006A1379">
        <w:rPr>
          <w:b/>
          <w:sz w:val="24"/>
          <w:szCs w:val="24"/>
          <w:vertAlign w:val="subscript"/>
        </w:rPr>
        <w:t>457</w:t>
      </w:r>
      <w:r w:rsidRPr="00F0720E">
        <w:rPr>
          <w:b/>
          <w:sz w:val="24"/>
          <w:szCs w:val="24"/>
        </w:rPr>
        <w:t>-Nb</w:t>
      </w:r>
      <w:r w:rsidRPr="006A1379">
        <w:rPr>
          <w:b/>
          <w:sz w:val="24"/>
          <w:szCs w:val="24"/>
          <w:vertAlign w:val="subscript"/>
        </w:rPr>
        <w:t>HSA</w:t>
      </w:r>
      <w:r w:rsidRPr="00F0720E">
        <w:rPr>
          <w:b/>
          <w:sz w:val="24"/>
          <w:szCs w:val="24"/>
        </w:rPr>
        <w:t>-Nb</w:t>
      </w:r>
      <w:r w:rsidRPr="006A1379">
        <w:rPr>
          <w:b/>
          <w:sz w:val="24"/>
          <w:szCs w:val="24"/>
          <w:vertAlign w:val="subscript"/>
        </w:rPr>
        <w:t>457</w:t>
      </w:r>
      <w:r>
        <w:rPr>
          <w:b/>
          <w:sz w:val="24"/>
          <w:szCs w:val="24"/>
        </w:rPr>
        <w:t xml:space="preserve"> r</w:t>
      </w:r>
      <w:r w:rsidRPr="00F0720E">
        <w:rPr>
          <w:b/>
          <w:sz w:val="24"/>
          <w:szCs w:val="24"/>
        </w:rPr>
        <w:t>ecognizing CD4 and HSA Protein by BLI.</w:t>
      </w:r>
      <w:r w:rsidRPr="00F0720E">
        <w:rPr>
          <w:sz w:val="24"/>
          <w:szCs w:val="24"/>
        </w:rPr>
        <w:t xml:space="preserve"> (</w:t>
      </w:r>
      <w:r w:rsidRPr="00F0720E">
        <w:rPr>
          <w:b/>
          <w:sz w:val="24"/>
          <w:szCs w:val="24"/>
        </w:rPr>
        <w:t>A</w:t>
      </w:r>
      <w:r w:rsidRPr="00F0720E">
        <w:rPr>
          <w:sz w:val="24"/>
          <w:szCs w:val="24"/>
        </w:rPr>
        <w:t>) Kinetic binding curve of Nb</w:t>
      </w:r>
      <w:r w:rsidRPr="000E0097">
        <w:rPr>
          <w:sz w:val="24"/>
          <w:szCs w:val="24"/>
          <w:vertAlign w:val="subscript"/>
        </w:rPr>
        <w:t>457</w:t>
      </w:r>
      <w:r w:rsidRPr="00F0720E">
        <w:rPr>
          <w:sz w:val="24"/>
          <w:szCs w:val="24"/>
        </w:rPr>
        <w:t>-Nb</w:t>
      </w:r>
      <w:r w:rsidRPr="000E0097">
        <w:rPr>
          <w:sz w:val="24"/>
          <w:szCs w:val="24"/>
          <w:vertAlign w:val="subscript"/>
        </w:rPr>
        <w:t>HSA</w:t>
      </w:r>
      <w:r w:rsidRPr="00F0720E">
        <w:rPr>
          <w:sz w:val="24"/>
          <w:szCs w:val="24"/>
        </w:rPr>
        <w:t>-Nb</w:t>
      </w:r>
      <w:r w:rsidRPr="000E0097">
        <w:rPr>
          <w:sz w:val="24"/>
          <w:szCs w:val="24"/>
          <w:vertAlign w:val="subscript"/>
        </w:rPr>
        <w:t>457</w:t>
      </w:r>
      <w:r>
        <w:rPr>
          <w:sz w:val="24"/>
          <w:szCs w:val="24"/>
          <w:vertAlign w:val="subscript"/>
        </w:rPr>
        <w:t xml:space="preserve"> </w:t>
      </w:r>
      <w:r w:rsidRPr="00F0720E">
        <w:rPr>
          <w:sz w:val="24"/>
          <w:szCs w:val="24"/>
        </w:rPr>
        <w:t>with CD4 at various concentrations (300 nM, 100 nM, 33.3 nM, 11.1 nM, 3.7 nM, 1.2 nM, and 0.4 nM) using BLI. The binding curve is depicted in black, and the fit of the data to a 1:1 binding model is shown in red. (</w:t>
      </w:r>
      <w:r w:rsidRPr="00F0720E">
        <w:rPr>
          <w:b/>
          <w:sz w:val="24"/>
          <w:szCs w:val="24"/>
        </w:rPr>
        <w:t>B</w:t>
      </w:r>
      <w:r w:rsidRPr="00F0720E">
        <w:rPr>
          <w:sz w:val="24"/>
          <w:szCs w:val="24"/>
        </w:rPr>
        <w:t>) Kinetic binding curve of Nb</w:t>
      </w:r>
      <w:r w:rsidRPr="000E0097">
        <w:rPr>
          <w:sz w:val="24"/>
          <w:szCs w:val="24"/>
          <w:vertAlign w:val="subscript"/>
        </w:rPr>
        <w:t>457</w:t>
      </w:r>
      <w:r w:rsidRPr="00F0720E">
        <w:rPr>
          <w:sz w:val="24"/>
          <w:szCs w:val="24"/>
        </w:rPr>
        <w:t>-Nb</w:t>
      </w:r>
      <w:r w:rsidRPr="000E0097">
        <w:rPr>
          <w:sz w:val="24"/>
          <w:szCs w:val="24"/>
          <w:vertAlign w:val="subscript"/>
        </w:rPr>
        <w:t>HSA</w:t>
      </w:r>
      <w:r w:rsidRPr="00F0720E">
        <w:rPr>
          <w:sz w:val="24"/>
          <w:szCs w:val="24"/>
        </w:rPr>
        <w:t>-Nb</w:t>
      </w:r>
      <w:r w:rsidRPr="000E0097">
        <w:rPr>
          <w:sz w:val="24"/>
          <w:szCs w:val="24"/>
          <w:vertAlign w:val="subscript"/>
        </w:rPr>
        <w:t>457</w:t>
      </w:r>
      <w:r w:rsidRPr="00F0720E">
        <w:rPr>
          <w:sz w:val="24"/>
          <w:szCs w:val="24"/>
        </w:rPr>
        <w:t xml:space="preserve"> with HSA at various concentrations (300 nM, 100 nM, 33.3 nM, 11.1 nM, 3.7 nM, 1.2 nM, and 0.4 nM) using BLI. The binding curve is represented in black, and the fit of the data to a 1:1 binding model is indicated in red. (</w:t>
      </w:r>
      <w:r w:rsidRPr="00F0720E">
        <w:rPr>
          <w:b/>
          <w:sz w:val="24"/>
          <w:szCs w:val="24"/>
        </w:rPr>
        <w:t>C</w:t>
      </w:r>
      <w:r w:rsidRPr="00F0720E">
        <w:rPr>
          <w:sz w:val="24"/>
          <w:szCs w:val="24"/>
        </w:rPr>
        <w:t>) The table summarizes the information of the kinetic binding curves presented in the above panels, providing crucial details about the interactions between Nb</w:t>
      </w:r>
      <w:r w:rsidRPr="009328C6">
        <w:rPr>
          <w:sz w:val="24"/>
          <w:szCs w:val="24"/>
          <w:vertAlign w:val="subscript"/>
        </w:rPr>
        <w:t>457</w:t>
      </w:r>
      <w:r w:rsidRPr="00F0720E">
        <w:rPr>
          <w:sz w:val="24"/>
          <w:szCs w:val="24"/>
        </w:rPr>
        <w:t>-Nb</w:t>
      </w:r>
      <w:r w:rsidRPr="009328C6">
        <w:rPr>
          <w:sz w:val="24"/>
          <w:szCs w:val="24"/>
          <w:vertAlign w:val="subscript"/>
        </w:rPr>
        <w:t>HSA</w:t>
      </w:r>
      <w:r w:rsidRPr="00F0720E">
        <w:rPr>
          <w:sz w:val="24"/>
          <w:szCs w:val="24"/>
        </w:rPr>
        <w:t>-Nb</w:t>
      </w:r>
      <w:r w:rsidRPr="009328C6">
        <w:rPr>
          <w:sz w:val="24"/>
          <w:szCs w:val="24"/>
          <w:vertAlign w:val="subscript"/>
        </w:rPr>
        <w:t>457</w:t>
      </w:r>
      <w:r w:rsidRPr="00F0720E">
        <w:rPr>
          <w:sz w:val="24"/>
          <w:szCs w:val="24"/>
        </w:rPr>
        <w:t xml:space="preserve"> with CD4 and HSA proteins as determined by BLI. </w:t>
      </w:r>
    </w:p>
    <w:p w14:paraId="1A68F31B" w14:textId="77777777" w:rsidR="00674143" w:rsidRDefault="00674143" w:rsidP="00B118E4">
      <w:pPr>
        <w:rPr>
          <w:sz w:val="24"/>
          <w:szCs w:val="24"/>
        </w:rPr>
      </w:pPr>
    </w:p>
    <w:p w14:paraId="4B7E5BEF" w14:textId="2CA7E45F" w:rsidR="00674143" w:rsidRPr="00F0720E" w:rsidRDefault="00C7137C" w:rsidP="00B118E4">
      <w:pPr>
        <w:rPr>
          <w:sz w:val="24"/>
          <w:szCs w:val="24"/>
        </w:rPr>
      </w:pPr>
      <w:r>
        <w:rPr>
          <w:noProof/>
          <w:sz w:val="24"/>
          <w:szCs w:val="24"/>
        </w:rPr>
        <w:drawing>
          <wp:inline distT="0" distB="0" distL="0" distR="0" wp14:anchorId="3FF0EB8D" wp14:editId="61EB229A">
            <wp:extent cx="5278120" cy="76238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 CD4 MD-02.tif"/>
                    <pic:cNvPicPr/>
                  </pic:nvPicPr>
                  <pic:blipFill>
                    <a:blip r:embed="rId27">
                      <a:extLst>
                        <a:ext uri="{28A0092B-C50C-407E-A947-70E740481C1C}">
                          <a14:useLocalDpi xmlns:a14="http://schemas.microsoft.com/office/drawing/2010/main" val="0"/>
                        </a:ext>
                      </a:extLst>
                    </a:blip>
                    <a:stretch>
                      <a:fillRect/>
                    </a:stretch>
                  </pic:blipFill>
                  <pic:spPr>
                    <a:xfrm>
                      <a:off x="0" y="0"/>
                      <a:ext cx="5278120" cy="7623810"/>
                    </a:xfrm>
                    <a:prstGeom prst="rect">
                      <a:avLst/>
                    </a:prstGeom>
                  </pic:spPr>
                </pic:pic>
              </a:graphicData>
            </a:graphic>
          </wp:inline>
        </w:drawing>
      </w:r>
    </w:p>
    <w:p w14:paraId="0B4D3C29" w14:textId="5A4C4347" w:rsidR="00B118E4" w:rsidRDefault="00674143" w:rsidP="00B118E4">
      <w:pPr>
        <w:rPr>
          <w:sz w:val="24"/>
          <w:szCs w:val="24"/>
        </w:rPr>
      </w:pPr>
      <w:r>
        <w:rPr>
          <w:b/>
          <w:bCs/>
          <w:color w:val="000000"/>
          <w:kern w:val="0"/>
          <w:sz w:val="24"/>
          <w:szCs w:val="24"/>
        </w:rPr>
        <w:t>Supplementary Figure 14. MD simulation revealed</w:t>
      </w:r>
      <w:r w:rsidRPr="003F6135">
        <w:rPr>
          <w:b/>
          <w:bCs/>
          <w:color w:val="000000"/>
          <w:kern w:val="0"/>
          <w:sz w:val="24"/>
          <w:szCs w:val="24"/>
        </w:rPr>
        <w:t xml:space="preserve"> </w:t>
      </w:r>
      <w:r>
        <w:rPr>
          <w:b/>
          <w:bCs/>
          <w:color w:val="000000"/>
          <w:kern w:val="0"/>
          <w:sz w:val="24"/>
          <w:szCs w:val="24"/>
        </w:rPr>
        <w:t xml:space="preserve">the </w:t>
      </w:r>
      <w:r>
        <w:rPr>
          <w:rFonts w:hint="eastAsia"/>
          <w:b/>
          <w:bCs/>
          <w:color w:val="000000"/>
          <w:kern w:val="0"/>
          <w:sz w:val="24"/>
          <w:szCs w:val="24"/>
        </w:rPr>
        <w:t>mol</w:t>
      </w:r>
      <w:r>
        <w:rPr>
          <w:b/>
          <w:bCs/>
          <w:color w:val="000000"/>
          <w:kern w:val="0"/>
          <w:sz w:val="24"/>
          <w:szCs w:val="24"/>
        </w:rPr>
        <w:t>ecular mechanism underlying the</w:t>
      </w:r>
      <w:r w:rsidRPr="003F6135">
        <w:rPr>
          <w:b/>
          <w:bCs/>
          <w:color w:val="000000"/>
          <w:kern w:val="0"/>
          <w:sz w:val="24"/>
          <w:szCs w:val="24"/>
        </w:rPr>
        <w:t xml:space="preserve"> </w:t>
      </w:r>
      <w:r>
        <w:rPr>
          <w:b/>
          <w:bCs/>
          <w:color w:val="000000"/>
          <w:kern w:val="0"/>
          <w:sz w:val="24"/>
          <w:szCs w:val="24"/>
        </w:rPr>
        <w:t>effect</w:t>
      </w:r>
      <w:r w:rsidRPr="003F6135">
        <w:rPr>
          <w:b/>
          <w:bCs/>
          <w:color w:val="000000"/>
          <w:kern w:val="0"/>
          <w:sz w:val="24"/>
          <w:szCs w:val="24"/>
        </w:rPr>
        <w:t xml:space="preserve"> of Nb</w:t>
      </w:r>
      <w:r w:rsidRPr="00DF2424">
        <w:rPr>
          <w:b/>
          <w:bCs/>
          <w:color w:val="000000"/>
          <w:kern w:val="0"/>
          <w:sz w:val="24"/>
          <w:szCs w:val="24"/>
          <w:vertAlign w:val="subscript"/>
        </w:rPr>
        <w:t>457</w:t>
      </w:r>
      <w:r w:rsidRPr="003F6135">
        <w:rPr>
          <w:b/>
          <w:bCs/>
          <w:color w:val="000000"/>
          <w:kern w:val="0"/>
          <w:sz w:val="24"/>
          <w:szCs w:val="24"/>
        </w:rPr>
        <w:t>-Fc and Nb</w:t>
      </w:r>
      <w:r w:rsidRPr="00DF2424">
        <w:rPr>
          <w:b/>
          <w:bCs/>
          <w:color w:val="000000"/>
          <w:kern w:val="0"/>
          <w:sz w:val="24"/>
          <w:szCs w:val="24"/>
          <w:vertAlign w:val="subscript"/>
        </w:rPr>
        <w:t>457</w:t>
      </w:r>
      <w:r w:rsidRPr="003F6135">
        <w:rPr>
          <w:b/>
          <w:bCs/>
          <w:color w:val="000000"/>
          <w:kern w:val="0"/>
          <w:sz w:val="24"/>
          <w:szCs w:val="24"/>
        </w:rPr>
        <w:t>-Nb</w:t>
      </w:r>
      <w:r w:rsidRPr="00DF2424">
        <w:rPr>
          <w:b/>
          <w:bCs/>
          <w:color w:val="000000"/>
          <w:kern w:val="0"/>
          <w:sz w:val="24"/>
          <w:szCs w:val="24"/>
          <w:vertAlign w:val="subscript"/>
        </w:rPr>
        <w:t>HSA</w:t>
      </w:r>
      <w:r w:rsidRPr="003F6135">
        <w:rPr>
          <w:b/>
          <w:bCs/>
          <w:color w:val="000000"/>
          <w:kern w:val="0"/>
          <w:sz w:val="24"/>
          <w:szCs w:val="24"/>
        </w:rPr>
        <w:t>-Nb</w:t>
      </w:r>
      <w:r w:rsidRPr="00DF2424">
        <w:rPr>
          <w:b/>
          <w:bCs/>
          <w:color w:val="000000"/>
          <w:kern w:val="0"/>
          <w:sz w:val="24"/>
          <w:szCs w:val="24"/>
          <w:vertAlign w:val="subscript"/>
        </w:rPr>
        <w:t>457</w:t>
      </w:r>
      <w:r w:rsidRPr="003F6135">
        <w:rPr>
          <w:b/>
          <w:bCs/>
          <w:color w:val="000000"/>
          <w:kern w:val="0"/>
          <w:sz w:val="24"/>
          <w:szCs w:val="24"/>
        </w:rPr>
        <w:t xml:space="preserve">. </w:t>
      </w:r>
      <w:r w:rsidRPr="003F6135">
        <w:rPr>
          <w:color w:val="000000"/>
          <w:kern w:val="0"/>
          <w:sz w:val="24"/>
          <w:szCs w:val="24"/>
        </w:rPr>
        <w:t>(</w:t>
      </w:r>
      <w:r w:rsidRPr="003F6135">
        <w:rPr>
          <w:b/>
          <w:bCs/>
          <w:color w:val="000000"/>
          <w:kern w:val="0"/>
          <w:sz w:val="24"/>
          <w:szCs w:val="24"/>
        </w:rPr>
        <w:t>A-C</w:t>
      </w:r>
      <w:r w:rsidRPr="003F6135">
        <w:rPr>
          <w:color w:val="000000"/>
          <w:kern w:val="0"/>
          <w:sz w:val="24"/>
          <w:szCs w:val="24"/>
        </w:rPr>
        <w:t xml:space="preserve">) The left </w:t>
      </w:r>
      <w:r>
        <w:rPr>
          <w:color w:val="000000"/>
          <w:kern w:val="0"/>
          <w:sz w:val="24"/>
          <w:szCs w:val="24"/>
        </w:rPr>
        <w:t>graph</w:t>
      </w:r>
      <w:r w:rsidRPr="003F6135">
        <w:rPr>
          <w:color w:val="000000"/>
          <w:kern w:val="0"/>
          <w:sz w:val="24"/>
          <w:szCs w:val="24"/>
        </w:rPr>
        <w:t xml:space="preserve"> shows the most probable conformation of three </w:t>
      </w:r>
      <w:r>
        <w:rPr>
          <w:color w:val="000000"/>
          <w:kern w:val="0"/>
          <w:sz w:val="24"/>
          <w:szCs w:val="24"/>
        </w:rPr>
        <w:t xml:space="preserve">protein complex </w:t>
      </w:r>
      <w:r w:rsidRPr="003F6135">
        <w:rPr>
          <w:color w:val="000000"/>
          <w:kern w:val="0"/>
          <w:sz w:val="24"/>
          <w:szCs w:val="24"/>
        </w:rPr>
        <w:t>systems, namely (</w:t>
      </w:r>
      <w:r w:rsidRPr="003F6135">
        <w:rPr>
          <w:b/>
          <w:bCs/>
          <w:color w:val="000000"/>
          <w:kern w:val="0"/>
          <w:sz w:val="24"/>
          <w:szCs w:val="24"/>
        </w:rPr>
        <w:t>A</w:t>
      </w:r>
      <w:r w:rsidRPr="003F6135">
        <w:rPr>
          <w:color w:val="000000"/>
          <w:kern w:val="0"/>
          <w:sz w:val="24"/>
          <w:szCs w:val="24"/>
        </w:rPr>
        <w:t>) CD4 (yellow) and gp120 (green), (</w:t>
      </w:r>
      <w:r w:rsidRPr="003F6135">
        <w:rPr>
          <w:b/>
          <w:bCs/>
          <w:color w:val="000000"/>
          <w:kern w:val="0"/>
          <w:sz w:val="24"/>
          <w:szCs w:val="24"/>
        </w:rPr>
        <w:t>B</w:t>
      </w:r>
      <w:r w:rsidRPr="003F6135">
        <w:rPr>
          <w:color w:val="000000"/>
          <w:kern w:val="0"/>
          <w:sz w:val="24"/>
          <w:szCs w:val="24"/>
        </w:rPr>
        <w:t>) CD4, gp120, and Nb457-Fc (pink), (</w:t>
      </w:r>
      <w:r w:rsidRPr="003F6135">
        <w:rPr>
          <w:b/>
          <w:bCs/>
          <w:color w:val="000000"/>
          <w:kern w:val="0"/>
          <w:sz w:val="24"/>
          <w:szCs w:val="24"/>
        </w:rPr>
        <w:t>C</w:t>
      </w:r>
      <w:r w:rsidRPr="003F6135">
        <w:rPr>
          <w:color w:val="000000"/>
          <w:kern w:val="0"/>
          <w:sz w:val="24"/>
          <w:szCs w:val="24"/>
        </w:rPr>
        <w:t>) CD4, gp120,</w:t>
      </w:r>
      <w:r>
        <w:rPr>
          <w:color w:val="000000"/>
          <w:kern w:val="0"/>
          <w:sz w:val="24"/>
          <w:szCs w:val="24"/>
        </w:rPr>
        <w:t xml:space="preserve"> </w:t>
      </w:r>
      <w:r w:rsidRPr="003F6135">
        <w:rPr>
          <w:color w:val="000000"/>
          <w:kern w:val="0"/>
          <w:sz w:val="24"/>
          <w:szCs w:val="24"/>
        </w:rPr>
        <w:t xml:space="preserve">and Nb457-NbHSA-Nb457 (red). </w:t>
      </w:r>
      <w:r w:rsidRPr="005243A7">
        <w:t>The right panel provides a detailed view of the main-chain hydrogen bonds.</w:t>
      </w:r>
      <w:r w:rsidRPr="003F6135">
        <w:rPr>
          <w:color w:val="000000"/>
          <w:kern w:val="0"/>
          <w:sz w:val="24"/>
          <w:szCs w:val="24"/>
        </w:rPr>
        <w:t xml:space="preserve"> (</w:t>
      </w:r>
      <w:r w:rsidRPr="003F6135">
        <w:rPr>
          <w:b/>
          <w:bCs/>
          <w:color w:val="000000"/>
          <w:kern w:val="0"/>
          <w:sz w:val="24"/>
          <w:szCs w:val="24"/>
        </w:rPr>
        <w:t>A</w:t>
      </w:r>
      <w:r w:rsidRPr="003F6135">
        <w:rPr>
          <w:color w:val="000000"/>
          <w:kern w:val="0"/>
          <w:sz w:val="24"/>
          <w:szCs w:val="24"/>
        </w:rPr>
        <w:t xml:space="preserve">) shows two main-chain hydrogen bonds between CD4 and gp120, </w:t>
      </w:r>
      <w:r>
        <w:rPr>
          <w:color w:val="000000"/>
          <w:kern w:val="0"/>
          <w:sz w:val="24"/>
          <w:szCs w:val="24"/>
        </w:rPr>
        <w:t xml:space="preserve">one </w:t>
      </w:r>
      <w:r w:rsidRPr="003F6135">
        <w:rPr>
          <w:color w:val="000000"/>
          <w:kern w:val="0"/>
          <w:sz w:val="24"/>
          <w:szCs w:val="24"/>
        </w:rPr>
        <w:t xml:space="preserve">between K46 of CD4 and G330 of gp120, </w:t>
      </w:r>
      <w:r>
        <w:rPr>
          <w:color w:val="000000"/>
          <w:kern w:val="0"/>
          <w:sz w:val="24"/>
          <w:szCs w:val="24"/>
        </w:rPr>
        <w:t>and the other</w:t>
      </w:r>
      <w:r w:rsidRPr="003F6135">
        <w:rPr>
          <w:color w:val="000000"/>
          <w:kern w:val="0"/>
          <w:sz w:val="24"/>
          <w:szCs w:val="24"/>
        </w:rPr>
        <w:t xml:space="preserve"> between L44 of CD4 and D332 of gp120. (</w:t>
      </w:r>
      <w:r w:rsidRPr="003F6135">
        <w:rPr>
          <w:b/>
          <w:bCs/>
          <w:color w:val="000000"/>
          <w:kern w:val="0"/>
          <w:sz w:val="24"/>
          <w:szCs w:val="24"/>
        </w:rPr>
        <w:t>B</w:t>
      </w:r>
      <w:r w:rsidRPr="003F6135">
        <w:rPr>
          <w:color w:val="000000"/>
          <w:kern w:val="0"/>
          <w:sz w:val="24"/>
          <w:szCs w:val="24"/>
        </w:rPr>
        <w:t>) shows one main-chain hydrogen bond between CD4 and gp120, specifically between K46 of CD4 and G331 of gp120. (</w:t>
      </w:r>
      <w:r w:rsidRPr="003F6135">
        <w:rPr>
          <w:b/>
          <w:bCs/>
          <w:color w:val="000000"/>
          <w:kern w:val="0"/>
          <w:sz w:val="24"/>
          <w:szCs w:val="24"/>
        </w:rPr>
        <w:t>C</w:t>
      </w:r>
      <w:r w:rsidRPr="003F6135">
        <w:rPr>
          <w:color w:val="000000"/>
          <w:kern w:val="0"/>
          <w:sz w:val="24"/>
          <w:szCs w:val="24"/>
        </w:rPr>
        <w:t>) shows one main-chain hydrogen bond between CD4 and gp120, specifically between Q33 of CD4 and G415 of gp120. (</w:t>
      </w:r>
      <w:r w:rsidRPr="003F6135">
        <w:rPr>
          <w:b/>
          <w:bCs/>
          <w:color w:val="000000"/>
          <w:kern w:val="0"/>
          <w:sz w:val="24"/>
          <w:szCs w:val="24"/>
        </w:rPr>
        <w:t>D</w:t>
      </w:r>
      <w:r w:rsidRPr="003F6135">
        <w:rPr>
          <w:color w:val="000000"/>
          <w:kern w:val="0"/>
          <w:sz w:val="24"/>
          <w:szCs w:val="24"/>
        </w:rPr>
        <w:t xml:space="preserve">) The </w:t>
      </w:r>
      <w:r>
        <w:rPr>
          <w:color w:val="000000"/>
          <w:kern w:val="0"/>
          <w:sz w:val="24"/>
          <w:szCs w:val="24"/>
        </w:rPr>
        <w:t xml:space="preserve">first </w:t>
      </w:r>
      <w:r w:rsidRPr="003F6135">
        <w:rPr>
          <w:color w:val="000000"/>
          <w:kern w:val="0"/>
          <w:sz w:val="24"/>
          <w:szCs w:val="24"/>
        </w:rPr>
        <w:t xml:space="preserve">three </w:t>
      </w:r>
      <w:r>
        <w:rPr>
          <w:color w:val="000000"/>
          <w:kern w:val="0"/>
          <w:sz w:val="24"/>
          <w:szCs w:val="24"/>
        </w:rPr>
        <w:t xml:space="preserve">graphs </w:t>
      </w:r>
      <w:r w:rsidRPr="003F6135">
        <w:rPr>
          <w:color w:val="000000"/>
          <w:kern w:val="0"/>
          <w:sz w:val="24"/>
          <w:szCs w:val="24"/>
        </w:rPr>
        <w:t xml:space="preserve">show </w:t>
      </w:r>
      <w:r>
        <w:rPr>
          <w:color w:val="000000"/>
          <w:kern w:val="0"/>
          <w:sz w:val="24"/>
          <w:szCs w:val="24"/>
        </w:rPr>
        <w:t xml:space="preserve">the </w:t>
      </w:r>
      <w:r w:rsidRPr="003F6135">
        <w:rPr>
          <w:color w:val="000000"/>
          <w:kern w:val="0"/>
          <w:sz w:val="24"/>
          <w:szCs w:val="24"/>
        </w:rPr>
        <w:t xml:space="preserve">temporal variations of </w:t>
      </w:r>
      <w:r>
        <w:rPr>
          <w:color w:val="000000"/>
          <w:kern w:val="0"/>
          <w:sz w:val="24"/>
          <w:szCs w:val="24"/>
        </w:rPr>
        <w:t xml:space="preserve">the </w:t>
      </w:r>
      <w:r w:rsidRPr="003F6135">
        <w:rPr>
          <w:color w:val="000000"/>
          <w:kern w:val="0"/>
          <w:sz w:val="24"/>
          <w:szCs w:val="24"/>
        </w:rPr>
        <w:t xml:space="preserve">main-chain hydrogen bond between CD4 and gp120 in the three systems. The </w:t>
      </w:r>
      <w:r>
        <w:rPr>
          <w:color w:val="000000"/>
          <w:kern w:val="0"/>
          <w:sz w:val="24"/>
          <w:szCs w:val="24"/>
        </w:rPr>
        <w:t>last graph</w:t>
      </w:r>
      <w:r w:rsidRPr="003F6135">
        <w:rPr>
          <w:color w:val="000000"/>
          <w:kern w:val="0"/>
          <w:sz w:val="24"/>
          <w:szCs w:val="24"/>
        </w:rPr>
        <w:t xml:space="preserve"> is a histogram depicting the number of main-chain hydrogen bonds greater than or equal to 1 in each system. (</w:t>
      </w:r>
      <w:r w:rsidRPr="003F6135">
        <w:rPr>
          <w:b/>
          <w:bCs/>
          <w:color w:val="000000"/>
          <w:kern w:val="0"/>
          <w:sz w:val="24"/>
          <w:szCs w:val="24"/>
        </w:rPr>
        <w:t>E</w:t>
      </w:r>
      <w:r w:rsidRPr="003F6135">
        <w:rPr>
          <w:color w:val="000000"/>
          <w:kern w:val="0"/>
          <w:sz w:val="24"/>
          <w:szCs w:val="24"/>
        </w:rPr>
        <w:t>) The RMSF value for D1 of CD4. The dashed box outlines the binding site where CD4 and gp120 interact.</w:t>
      </w:r>
    </w:p>
    <w:p w14:paraId="5A7BA85E" w14:textId="37DDFC92" w:rsidR="008F6F68" w:rsidRPr="00F0720E" w:rsidRDefault="008F6F68" w:rsidP="00B118E4">
      <w:pPr>
        <w:rPr>
          <w:sz w:val="24"/>
          <w:szCs w:val="24"/>
        </w:rPr>
      </w:pPr>
      <w:r>
        <w:rPr>
          <w:rFonts w:hint="eastAsia"/>
          <w:noProof/>
          <w:sz w:val="24"/>
          <w:szCs w:val="24"/>
        </w:rPr>
        <w:drawing>
          <wp:inline distT="0" distB="0" distL="0" distR="0" wp14:anchorId="5A2F34D2" wp14:editId="433C7826">
            <wp:extent cx="5114925" cy="6838950"/>
            <wp:effectExtent l="0" t="0" r="952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幻灯片24.TIF"/>
                    <pic:cNvPicPr/>
                  </pic:nvPicPr>
                  <pic:blipFill rotWithShape="1">
                    <a:blip r:embed="rId28">
                      <a:extLst>
                        <a:ext uri="{28A0092B-C50C-407E-A947-70E740481C1C}">
                          <a14:useLocalDpi xmlns:a14="http://schemas.microsoft.com/office/drawing/2010/main" val="0"/>
                        </a:ext>
                      </a:extLst>
                    </a:blip>
                    <a:srcRect l="1624" t="5247" r="1469" b="5048"/>
                    <a:stretch/>
                  </pic:blipFill>
                  <pic:spPr bwMode="auto">
                    <a:xfrm>
                      <a:off x="0" y="0"/>
                      <a:ext cx="5114925" cy="6838950"/>
                    </a:xfrm>
                    <a:prstGeom prst="rect">
                      <a:avLst/>
                    </a:prstGeom>
                    <a:ln>
                      <a:noFill/>
                    </a:ln>
                    <a:extLst>
                      <a:ext uri="{53640926-AAD7-44D8-BBD7-CCE9431645EC}">
                        <a14:shadowObscured xmlns:a14="http://schemas.microsoft.com/office/drawing/2010/main"/>
                      </a:ext>
                    </a:extLst>
                  </pic:spPr>
                </pic:pic>
              </a:graphicData>
            </a:graphic>
          </wp:inline>
        </w:drawing>
      </w:r>
    </w:p>
    <w:p w14:paraId="2D099E0A" w14:textId="523A45F4" w:rsidR="00B118E4" w:rsidRPr="00F0720E" w:rsidRDefault="00674143" w:rsidP="00B118E4">
      <w:pPr>
        <w:rPr>
          <w:b/>
          <w:sz w:val="24"/>
          <w:szCs w:val="24"/>
        </w:rPr>
      </w:pPr>
      <w:r>
        <w:rPr>
          <w:b/>
          <w:sz w:val="24"/>
          <w:szCs w:val="24"/>
        </w:rPr>
        <w:t>Supplementary Figure 15</w:t>
      </w:r>
      <w:r w:rsidR="00B118E4" w:rsidRPr="00F0720E">
        <w:rPr>
          <w:b/>
          <w:sz w:val="24"/>
          <w:szCs w:val="24"/>
        </w:rPr>
        <w:t>. Influenc</w:t>
      </w:r>
      <w:r w:rsidR="00B118E4">
        <w:rPr>
          <w:b/>
          <w:sz w:val="24"/>
          <w:szCs w:val="24"/>
        </w:rPr>
        <w:t>e of Nb457 nanobodies on CD4 T c</w:t>
      </w:r>
      <w:r w:rsidR="00B118E4" w:rsidRPr="00F0720E">
        <w:rPr>
          <w:b/>
          <w:sz w:val="24"/>
          <w:szCs w:val="24"/>
        </w:rPr>
        <w:t xml:space="preserve">ell function. </w:t>
      </w:r>
      <w:r w:rsidR="00B118E4">
        <w:rPr>
          <w:sz w:val="24"/>
          <w:szCs w:val="24"/>
        </w:rPr>
        <w:t>PBMCs</w:t>
      </w:r>
      <w:r w:rsidR="00B118E4" w:rsidRPr="00F0720E">
        <w:rPr>
          <w:sz w:val="24"/>
          <w:szCs w:val="24"/>
        </w:rPr>
        <w:t xml:space="preserve"> were cultured both with and without phytohemagglutinin (PHA) stimulation, followed by treatment with various nanobodies, including Nb457, or Ibalizumab, as indicated. After a 48-hour treatment period, the functional assessment of CD4 T cells was performed using Flow cytometry. The following key parameters were investigated: (</w:t>
      </w:r>
      <w:r w:rsidR="00B118E4" w:rsidRPr="00F0720E">
        <w:rPr>
          <w:b/>
          <w:sz w:val="24"/>
          <w:szCs w:val="24"/>
        </w:rPr>
        <w:t>A</w:t>
      </w:r>
      <w:r w:rsidR="00B118E4" w:rsidRPr="00F0720E">
        <w:rPr>
          <w:sz w:val="24"/>
          <w:szCs w:val="24"/>
        </w:rPr>
        <w:t>) Ki67 Expression, (</w:t>
      </w:r>
      <w:r w:rsidR="00B118E4" w:rsidRPr="00F0720E">
        <w:rPr>
          <w:b/>
          <w:sz w:val="24"/>
          <w:szCs w:val="24"/>
        </w:rPr>
        <w:t>B</w:t>
      </w:r>
      <w:r w:rsidR="00B118E4" w:rsidRPr="00F0720E">
        <w:rPr>
          <w:sz w:val="24"/>
          <w:szCs w:val="24"/>
        </w:rPr>
        <w:t>) CD69 Expression, (</w:t>
      </w:r>
      <w:r w:rsidR="00B118E4" w:rsidRPr="00F0720E">
        <w:rPr>
          <w:b/>
          <w:sz w:val="24"/>
          <w:szCs w:val="24"/>
        </w:rPr>
        <w:t>C</w:t>
      </w:r>
      <w:r w:rsidR="00B118E4" w:rsidRPr="00F0720E">
        <w:rPr>
          <w:sz w:val="24"/>
          <w:szCs w:val="24"/>
        </w:rPr>
        <w:t>) CD25 Expression, (</w:t>
      </w:r>
      <w:r w:rsidR="00B118E4" w:rsidRPr="00F0720E">
        <w:rPr>
          <w:b/>
          <w:sz w:val="24"/>
          <w:szCs w:val="24"/>
        </w:rPr>
        <w:t>D</w:t>
      </w:r>
      <w:r w:rsidR="00B118E4" w:rsidRPr="00F0720E">
        <w:rPr>
          <w:sz w:val="24"/>
          <w:szCs w:val="24"/>
        </w:rPr>
        <w:t>) Intracellular IL-2 Production, (</w:t>
      </w:r>
      <w:r w:rsidR="00B118E4" w:rsidRPr="00F0720E">
        <w:rPr>
          <w:b/>
          <w:sz w:val="24"/>
          <w:szCs w:val="24"/>
        </w:rPr>
        <w:t>E</w:t>
      </w:r>
      <w:r w:rsidR="00B118E4" w:rsidRPr="00F0720E">
        <w:rPr>
          <w:sz w:val="24"/>
          <w:szCs w:val="24"/>
        </w:rPr>
        <w:t>) Intracellular IFN-γ Production, and (</w:t>
      </w:r>
      <w:r w:rsidR="00B118E4" w:rsidRPr="00F0720E">
        <w:rPr>
          <w:b/>
          <w:sz w:val="24"/>
          <w:szCs w:val="24"/>
        </w:rPr>
        <w:t>F</w:t>
      </w:r>
      <w:r w:rsidR="00B118E4" w:rsidRPr="00F0720E">
        <w:rPr>
          <w:sz w:val="24"/>
          <w:szCs w:val="24"/>
        </w:rPr>
        <w:t>) Intracellular TNF-α Production. Statistical analysis was conducted using one-way ANOVA with Bonferroni’s multiple comparison test, comparing the treatment groups to the Mock group or Nb Ctl group. Notably, no statistically significant differences were obse</w:t>
      </w:r>
      <w:r w:rsidR="00B118E4">
        <w:rPr>
          <w:sz w:val="24"/>
          <w:szCs w:val="24"/>
        </w:rPr>
        <w:t>rved between conditions with or</w:t>
      </w:r>
      <w:r w:rsidR="00B118E4" w:rsidRPr="00F0720E">
        <w:rPr>
          <w:sz w:val="24"/>
          <w:szCs w:val="24"/>
        </w:rPr>
        <w:t xml:space="preserve"> without PHA stimulation.</w:t>
      </w:r>
    </w:p>
    <w:p w14:paraId="6500BD1C" w14:textId="278879FA" w:rsidR="00B118E4" w:rsidRDefault="008F6F68" w:rsidP="008F6F68">
      <w:pPr>
        <w:pStyle w:val="af0"/>
        <w:jc w:val="center"/>
        <w:rPr>
          <w:sz w:val="24"/>
          <w:szCs w:val="24"/>
        </w:rPr>
      </w:pPr>
      <w:r>
        <w:rPr>
          <w:noProof/>
          <w:sz w:val="24"/>
          <w:szCs w:val="24"/>
        </w:rPr>
        <w:drawing>
          <wp:inline distT="0" distB="0" distL="0" distR="0" wp14:anchorId="39BC3D91" wp14:editId="57DD5458">
            <wp:extent cx="3009900" cy="7889649"/>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幻灯片25.TIF"/>
                    <pic:cNvPicPr/>
                  </pic:nvPicPr>
                  <pic:blipFill rotWithShape="1">
                    <a:blip r:embed="rId29">
                      <a:extLst>
                        <a:ext uri="{28A0092B-C50C-407E-A947-70E740481C1C}">
                          <a14:useLocalDpi xmlns:a14="http://schemas.microsoft.com/office/drawing/2010/main" val="0"/>
                        </a:ext>
                      </a:extLst>
                    </a:blip>
                    <a:srcRect t="4373" r="47305"/>
                    <a:stretch/>
                  </pic:blipFill>
                  <pic:spPr bwMode="auto">
                    <a:xfrm>
                      <a:off x="0" y="0"/>
                      <a:ext cx="3009900" cy="7889649"/>
                    </a:xfrm>
                    <a:prstGeom prst="rect">
                      <a:avLst/>
                    </a:prstGeom>
                    <a:ln>
                      <a:noFill/>
                    </a:ln>
                    <a:extLst>
                      <a:ext uri="{53640926-AAD7-44D8-BBD7-CCE9431645EC}">
                        <a14:shadowObscured xmlns:a14="http://schemas.microsoft.com/office/drawing/2010/main"/>
                      </a:ext>
                    </a:extLst>
                  </pic:spPr>
                </pic:pic>
              </a:graphicData>
            </a:graphic>
          </wp:inline>
        </w:drawing>
      </w:r>
    </w:p>
    <w:p w14:paraId="6863CAB3" w14:textId="2B1A38B1" w:rsidR="00B118E4" w:rsidRPr="00B118E4" w:rsidRDefault="00674143" w:rsidP="00B118E4">
      <w:pPr>
        <w:rPr>
          <w:sz w:val="24"/>
          <w:szCs w:val="24"/>
        </w:rPr>
      </w:pPr>
      <w:r>
        <w:rPr>
          <w:b/>
          <w:sz w:val="24"/>
          <w:szCs w:val="24"/>
        </w:rPr>
        <w:t>Supplementary Figure 16</w:t>
      </w:r>
      <w:r w:rsidR="00B118E4" w:rsidRPr="00B118E4">
        <w:rPr>
          <w:b/>
          <w:sz w:val="24"/>
          <w:szCs w:val="24"/>
        </w:rPr>
        <w:t>.</w:t>
      </w:r>
      <w:r>
        <w:rPr>
          <w:b/>
          <w:sz w:val="24"/>
          <w:szCs w:val="24"/>
        </w:rPr>
        <w:t xml:space="preserve"> </w:t>
      </w:r>
      <w:r w:rsidR="00B118E4" w:rsidRPr="00B118E4">
        <w:rPr>
          <w:b/>
          <w:sz w:val="24"/>
          <w:szCs w:val="24"/>
        </w:rPr>
        <w:t>Bioavailability and T1/2 (half-life) of Nb457 and Ibalizumab in NDG-huPBL mice.</w:t>
      </w:r>
      <w:r w:rsidR="00B118E4" w:rsidRPr="00B118E4">
        <w:rPr>
          <w:sz w:val="24"/>
          <w:szCs w:val="24"/>
        </w:rPr>
        <w:t xml:space="preserve"> Nb</w:t>
      </w:r>
      <w:r w:rsidR="00B118E4" w:rsidRPr="00B118E4">
        <w:rPr>
          <w:sz w:val="24"/>
          <w:szCs w:val="24"/>
          <w:vertAlign w:val="subscript"/>
        </w:rPr>
        <w:t>457</w:t>
      </w:r>
      <w:r w:rsidR="00B118E4" w:rsidRPr="00B118E4">
        <w:rPr>
          <w:sz w:val="24"/>
          <w:szCs w:val="24"/>
        </w:rPr>
        <w:t>-Nb</w:t>
      </w:r>
      <w:r w:rsidR="00B118E4" w:rsidRPr="00B118E4">
        <w:rPr>
          <w:sz w:val="24"/>
          <w:szCs w:val="24"/>
          <w:vertAlign w:val="subscript"/>
        </w:rPr>
        <w:t>HSA</w:t>
      </w:r>
      <w:r w:rsidR="00B118E4" w:rsidRPr="00B118E4">
        <w:rPr>
          <w:sz w:val="24"/>
          <w:szCs w:val="24"/>
        </w:rPr>
        <w:t>-Nb</w:t>
      </w:r>
      <w:r w:rsidR="00B118E4" w:rsidRPr="00B118E4">
        <w:rPr>
          <w:sz w:val="24"/>
          <w:szCs w:val="24"/>
          <w:vertAlign w:val="subscript"/>
        </w:rPr>
        <w:t xml:space="preserve">457 </w:t>
      </w:r>
      <w:r w:rsidR="00B118E4" w:rsidRPr="00B118E4">
        <w:rPr>
          <w:sz w:val="24"/>
          <w:szCs w:val="24"/>
        </w:rPr>
        <w:t>(</w:t>
      </w:r>
      <w:r w:rsidR="00B118E4" w:rsidRPr="00B118E4">
        <w:rPr>
          <w:b/>
          <w:sz w:val="24"/>
          <w:szCs w:val="24"/>
        </w:rPr>
        <w:t>A</w:t>
      </w:r>
      <w:r w:rsidR="00B118E4" w:rsidRPr="00B118E4">
        <w:rPr>
          <w:sz w:val="24"/>
          <w:szCs w:val="24"/>
        </w:rPr>
        <w:t>), Nb</w:t>
      </w:r>
      <w:r w:rsidR="00B118E4" w:rsidRPr="00B118E4">
        <w:rPr>
          <w:sz w:val="24"/>
          <w:szCs w:val="24"/>
          <w:vertAlign w:val="subscript"/>
        </w:rPr>
        <w:t>457</w:t>
      </w:r>
      <w:r w:rsidR="00B118E4" w:rsidRPr="00B118E4">
        <w:rPr>
          <w:sz w:val="24"/>
          <w:szCs w:val="24"/>
        </w:rPr>
        <w:t>-Fc (</w:t>
      </w:r>
      <w:r w:rsidR="00B118E4" w:rsidRPr="00B118E4">
        <w:rPr>
          <w:b/>
          <w:sz w:val="24"/>
          <w:szCs w:val="24"/>
        </w:rPr>
        <w:t>B</w:t>
      </w:r>
      <w:r w:rsidR="00B118E4" w:rsidRPr="00B118E4">
        <w:rPr>
          <w:sz w:val="24"/>
          <w:szCs w:val="24"/>
        </w:rPr>
        <w:t>) and Ibalizumab (</w:t>
      </w:r>
      <w:r w:rsidR="00B118E4" w:rsidRPr="00B118E4">
        <w:rPr>
          <w:b/>
          <w:sz w:val="24"/>
          <w:szCs w:val="24"/>
        </w:rPr>
        <w:t>C</w:t>
      </w:r>
      <w:r w:rsidR="00B118E4" w:rsidRPr="00B118E4">
        <w:rPr>
          <w:sz w:val="24"/>
          <w:szCs w:val="24"/>
        </w:rPr>
        <w:t>) were administered in to mice (n = 4, female) at 400 μg (average of 20mg/kg mice) via i.p. or s.c. ,respectively.</w:t>
      </w:r>
    </w:p>
    <w:p w14:paraId="5764305C" w14:textId="77777777" w:rsidR="00B118E4" w:rsidRDefault="00B118E4" w:rsidP="00B118E4">
      <w:pPr>
        <w:rPr>
          <w:sz w:val="24"/>
          <w:szCs w:val="24"/>
        </w:rPr>
      </w:pPr>
    </w:p>
    <w:p w14:paraId="39A01283" w14:textId="77777777" w:rsidR="00B118E4" w:rsidRPr="0037669B" w:rsidRDefault="00B118E4" w:rsidP="00B118E4">
      <w:pPr>
        <w:rPr>
          <w:sz w:val="24"/>
          <w:szCs w:val="24"/>
        </w:rPr>
      </w:pPr>
      <w:r w:rsidRPr="0037669B">
        <w:rPr>
          <w:b/>
          <w:bCs/>
          <w:sz w:val="24"/>
          <w:szCs w:val="24"/>
        </w:rPr>
        <w:t>Supplementary Tables</w:t>
      </w:r>
      <w:r>
        <w:rPr>
          <w:b/>
          <w:bCs/>
          <w:sz w:val="24"/>
          <w:szCs w:val="24"/>
        </w:rPr>
        <w:t>:</w:t>
      </w:r>
    </w:p>
    <w:p w14:paraId="4CF3044E" w14:textId="77777777" w:rsidR="00B118E4" w:rsidRDefault="00B118E4" w:rsidP="00B118E4">
      <w:pPr>
        <w:pStyle w:val="af0"/>
        <w:jc w:val="left"/>
        <w:rPr>
          <w:b/>
          <w:bCs/>
          <w:sz w:val="24"/>
          <w:szCs w:val="24"/>
        </w:rPr>
      </w:pPr>
    </w:p>
    <w:p w14:paraId="21F90093" w14:textId="77777777" w:rsidR="00B118E4" w:rsidRDefault="00B118E4" w:rsidP="00B118E4">
      <w:pPr>
        <w:jc w:val="left"/>
        <w:rPr>
          <w:b/>
          <w:sz w:val="24"/>
          <w:szCs w:val="24"/>
        </w:rPr>
      </w:pPr>
      <w:r w:rsidRPr="00B118E4">
        <w:rPr>
          <w:b/>
          <w:bCs/>
          <w:sz w:val="24"/>
          <w:szCs w:val="24"/>
        </w:rPr>
        <w:t>Supplementary Table 1</w:t>
      </w:r>
      <w:r w:rsidRPr="00B118E4">
        <w:rPr>
          <w:sz w:val="24"/>
          <w:szCs w:val="24"/>
        </w:rPr>
        <w:t xml:space="preserve">. </w:t>
      </w:r>
      <w:r w:rsidRPr="00B118E4">
        <w:rPr>
          <w:b/>
          <w:sz w:val="24"/>
          <w:szCs w:val="24"/>
        </w:rPr>
        <w:t>The summary of Nbs characterization by BLI, Neutralization and ELISA.</w:t>
      </w:r>
    </w:p>
    <w:p w14:paraId="0DE8453D" w14:textId="7A01258E" w:rsidR="008F6F68" w:rsidRDefault="008F6F68" w:rsidP="00B118E4">
      <w:pPr>
        <w:jc w:val="left"/>
        <w:rPr>
          <w:b/>
          <w:sz w:val="24"/>
          <w:szCs w:val="24"/>
        </w:rPr>
      </w:pPr>
    </w:p>
    <w:p w14:paraId="36B736DB" w14:textId="05E1FBBD" w:rsidR="008F6F68" w:rsidRPr="00B118E4" w:rsidRDefault="008F6F68" w:rsidP="00B118E4">
      <w:pPr>
        <w:jc w:val="left"/>
        <w:rPr>
          <w:sz w:val="24"/>
          <w:szCs w:val="24"/>
        </w:rPr>
      </w:pPr>
      <w:r>
        <w:rPr>
          <w:b/>
          <w:sz w:val="24"/>
          <w:szCs w:val="24"/>
        </w:rPr>
        <w:object w:dxaOrig="13983" w:dyaOrig="13875" w14:anchorId="08610E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95pt;height:453.75pt" o:ole="">
            <v:imagedata r:id="rId30" o:title=""/>
          </v:shape>
          <o:OLEObject Type="Embed" ProgID="Excel.Sheet.12" ShapeID="_x0000_i1025" DrawAspect="Content" ObjectID="_1758696166" r:id="rId31"/>
        </w:object>
      </w:r>
    </w:p>
    <w:p w14:paraId="059F69D1" w14:textId="77777777" w:rsidR="008A40A0" w:rsidRDefault="008A40A0" w:rsidP="00B118E4">
      <w:pPr>
        <w:jc w:val="left"/>
        <w:rPr>
          <w:b/>
          <w:sz w:val="24"/>
          <w:szCs w:val="24"/>
        </w:rPr>
      </w:pPr>
    </w:p>
    <w:p w14:paraId="4D58D556" w14:textId="77777777" w:rsidR="008A40A0" w:rsidRDefault="008A40A0" w:rsidP="00B118E4">
      <w:pPr>
        <w:jc w:val="left"/>
        <w:rPr>
          <w:b/>
          <w:sz w:val="24"/>
          <w:szCs w:val="24"/>
        </w:rPr>
      </w:pPr>
    </w:p>
    <w:p w14:paraId="3C0C610B" w14:textId="77777777" w:rsidR="008A40A0" w:rsidRDefault="008A40A0" w:rsidP="00B118E4">
      <w:pPr>
        <w:jc w:val="left"/>
        <w:rPr>
          <w:b/>
          <w:sz w:val="24"/>
          <w:szCs w:val="24"/>
        </w:rPr>
      </w:pPr>
    </w:p>
    <w:p w14:paraId="12BDBACA" w14:textId="77777777" w:rsidR="008A40A0" w:rsidRDefault="008A40A0" w:rsidP="00B118E4">
      <w:pPr>
        <w:jc w:val="left"/>
        <w:rPr>
          <w:b/>
          <w:sz w:val="24"/>
          <w:szCs w:val="24"/>
        </w:rPr>
      </w:pPr>
    </w:p>
    <w:p w14:paraId="0031D9F3" w14:textId="77777777" w:rsidR="008A40A0" w:rsidRDefault="008A40A0" w:rsidP="00B118E4">
      <w:pPr>
        <w:jc w:val="left"/>
        <w:rPr>
          <w:b/>
          <w:sz w:val="24"/>
          <w:szCs w:val="24"/>
        </w:rPr>
      </w:pPr>
    </w:p>
    <w:p w14:paraId="2B3F5FB7" w14:textId="77777777" w:rsidR="008A40A0" w:rsidRDefault="008A40A0" w:rsidP="00B118E4">
      <w:pPr>
        <w:jc w:val="left"/>
        <w:rPr>
          <w:b/>
          <w:sz w:val="24"/>
          <w:szCs w:val="24"/>
        </w:rPr>
      </w:pPr>
    </w:p>
    <w:p w14:paraId="1543183B" w14:textId="77777777" w:rsidR="008A40A0" w:rsidRDefault="008A40A0" w:rsidP="00B118E4">
      <w:pPr>
        <w:jc w:val="left"/>
        <w:rPr>
          <w:b/>
          <w:sz w:val="24"/>
          <w:szCs w:val="24"/>
        </w:rPr>
      </w:pPr>
    </w:p>
    <w:p w14:paraId="260AFC86" w14:textId="77777777" w:rsidR="008A40A0" w:rsidRDefault="008A40A0" w:rsidP="00B118E4">
      <w:pPr>
        <w:jc w:val="left"/>
        <w:rPr>
          <w:b/>
          <w:sz w:val="24"/>
          <w:szCs w:val="24"/>
        </w:rPr>
      </w:pPr>
    </w:p>
    <w:p w14:paraId="1ED03A49" w14:textId="77777777" w:rsidR="008A40A0" w:rsidRDefault="008A40A0" w:rsidP="00B118E4">
      <w:pPr>
        <w:jc w:val="left"/>
        <w:rPr>
          <w:b/>
          <w:sz w:val="24"/>
          <w:szCs w:val="24"/>
        </w:rPr>
      </w:pPr>
    </w:p>
    <w:p w14:paraId="06D20957" w14:textId="77777777" w:rsidR="008A40A0" w:rsidRDefault="008A40A0" w:rsidP="00B118E4">
      <w:pPr>
        <w:jc w:val="left"/>
        <w:rPr>
          <w:b/>
          <w:sz w:val="24"/>
          <w:szCs w:val="24"/>
        </w:rPr>
      </w:pPr>
    </w:p>
    <w:p w14:paraId="60D2E9C1" w14:textId="77777777" w:rsidR="008A40A0" w:rsidRDefault="008A40A0" w:rsidP="00B118E4">
      <w:pPr>
        <w:jc w:val="left"/>
        <w:rPr>
          <w:b/>
          <w:sz w:val="24"/>
          <w:szCs w:val="24"/>
        </w:rPr>
      </w:pPr>
    </w:p>
    <w:p w14:paraId="682BEF72" w14:textId="77777777" w:rsidR="008A40A0" w:rsidRDefault="008A40A0" w:rsidP="00B118E4">
      <w:pPr>
        <w:jc w:val="left"/>
        <w:rPr>
          <w:b/>
          <w:sz w:val="24"/>
          <w:szCs w:val="24"/>
        </w:rPr>
      </w:pPr>
    </w:p>
    <w:p w14:paraId="6897D1E1" w14:textId="77777777" w:rsidR="00B118E4" w:rsidRDefault="00B118E4" w:rsidP="00B118E4">
      <w:pPr>
        <w:jc w:val="left"/>
        <w:rPr>
          <w:sz w:val="24"/>
          <w:szCs w:val="24"/>
        </w:rPr>
      </w:pPr>
      <w:r w:rsidRPr="00B118E4">
        <w:rPr>
          <w:b/>
          <w:sz w:val="24"/>
          <w:szCs w:val="24"/>
        </w:rPr>
        <w:t>Supplementary table 2. Neutralization results of Nbs against 35 pseudoviruses of multiple HIV-1 subtypes.</w:t>
      </w:r>
      <w:r w:rsidRPr="00B118E4">
        <w:rPr>
          <w:sz w:val="24"/>
          <w:szCs w:val="24"/>
        </w:rPr>
        <w:t xml:space="preserve"> </w:t>
      </w:r>
    </w:p>
    <w:p w14:paraId="78E1B63B" w14:textId="11B94676" w:rsidR="008F6F68" w:rsidRDefault="008A40A0" w:rsidP="00B118E4">
      <w:pPr>
        <w:jc w:val="left"/>
        <w:rPr>
          <w:sz w:val="24"/>
          <w:szCs w:val="24"/>
        </w:rPr>
      </w:pPr>
      <w:r>
        <w:rPr>
          <w:sz w:val="24"/>
          <w:szCs w:val="24"/>
        </w:rPr>
        <w:object w:dxaOrig="19430" w:dyaOrig="13322" w14:anchorId="00B85724">
          <v:shape id="_x0000_i1026" type="#_x0000_t75" style="width:415.7pt;height:285.95pt" o:ole="">
            <v:imagedata r:id="rId32" o:title=""/>
          </v:shape>
          <o:OLEObject Type="Embed" ProgID="Excel.Sheet.12" ShapeID="_x0000_i1026" DrawAspect="Content" ObjectID="_1758696167" r:id="rId33"/>
        </w:object>
      </w:r>
    </w:p>
    <w:p w14:paraId="372199C8" w14:textId="77777777" w:rsidR="008F6F68" w:rsidRDefault="008F6F68" w:rsidP="00B118E4">
      <w:pPr>
        <w:jc w:val="left"/>
        <w:rPr>
          <w:sz w:val="24"/>
          <w:szCs w:val="24"/>
        </w:rPr>
      </w:pPr>
    </w:p>
    <w:p w14:paraId="29EF7AC8" w14:textId="77777777" w:rsidR="008F6F68" w:rsidRDefault="008F6F68" w:rsidP="00B118E4">
      <w:pPr>
        <w:jc w:val="left"/>
        <w:rPr>
          <w:sz w:val="24"/>
          <w:szCs w:val="24"/>
        </w:rPr>
      </w:pPr>
    </w:p>
    <w:p w14:paraId="6741CC7F" w14:textId="77777777" w:rsidR="008F6F68" w:rsidRDefault="008F6F68" w:rsidP="00B118E4">
      <w:pPr>
        <w:jc w:val="left"/>
        <w:rPr>
          <w:sz w:val="24"/>
          <w:szCs w:val="24"/>
        </w:rPr>
      </w:pPr>
    </w:p>
    <w:p w14:paraId="51262070" w14:textId="77777777" w:rsidR="008F6F68" w:rsidRDefault="008F6F68" w:rsidP="00B118E4">
      <w:pPr>
        <w:jc w:val="left"/>
        <w:rPr>
          <w:sz w:val="24"/>
          <w:szCs w:val="24"/>
        </w:rPr>
      </w:pPr>
    </w:p>
    <w:p w14:paraId="798C6243" w14:textId="77777777" w:rsidR="008F6F68" w:rsidRDefault="008F6F68" w:rsidP="00B118E4">
      <w:pPr>
        <w:jc w:val="left"/>
        <w:rPr>
          <w:sz w:val="24"/>
          <w:szCs w:val="24"/>
        </w:rPr>
      </w:pPr>
    </w:p>
    <w:p w14:paraId="63FDAC5D" w14:textId="77777777" w:rsidR="008F6F68" w:rsidRDefault="008F6F68" w:rsidP="00B118E4">
      <w:pPr>
        <w:jc w:val="left"/>
        <w:rPr>
          <w:sz w:val="24"/>
          <w:szCs w:val="24"/>
        </w:rPr>
      </w:pPr>
    </w:p>
    <w:p w14:paraId="1C21BAB7" w14:textId="77777777" w:rsidR="008F6F68" w:rsidRDefault="008F6F68" w:rsidP="00B118E4">
      <w:pPr>
        <w:jc w:val="left"/>
        <w:rPr>
          <w:sz w:val="24"/>
          <w:szCs w:val="24"/>
        </w:rPr>
      </w:pPr>
    </w:p>
    <w:p w14:paraId="712E199B" w14:textId="77777777" w:rsidR="008F6F68" w:rsidRDefault="008F6F68" w:rsidP="00B118E4">
      <w:pPr>
        <w:jc w:val="left"/>
        <w:rPr>
          <w:sz w:val="24"/>
          <w:szCs w:val="24"/>
        </w:rPr>
      </w:pPr>
    </w:p>
    <w:p w14:paraId="0370CE61" w14:textId="77777777" w:rsidR="008F6F68" w:rsidRDefault="008F6F68" w:rsidP="00B118E4">
      <w:pPr>
        <w:jc w:val="left"/>
        <w:rPr>
          <w:sz w:val="24"/>
          <w:szCs w:val="24"/>
        </w:rPr>
      </w:pPr>
    </w:p>
    <w:p w14:paraId="12D0C6B8" w14:textId="77777777" w:rsidR="008A40A0" w:rsidRDefault="008A40A0" w:rsidP="00B118E4">
      <w:pPr>
        <w:jc w:val="left"/>
        <w:rPr>
          <w:sz w:val="24"/>
          <w:szCs w:val="24"/>
        </w:rPr>
      </w:pPr>
    </w:p>
    <w:p w14:paraId="7BB56EAA" w14:textId="77777777" w:rsidR="008A40A0" w:rsidRDefault="008A40A0" w:rsidP="00B118E4">
      <w:pPr>
        <w:jc w:val="left"/>
        <w:rPr>
          <w:sz w:val="24"/>
          <w:szCs w:val="24"/>
        </w:rPr>
      </w:pPr>
    </w:p>
    <w:p w14:paraId="1F4A2BA9" w14:textId="77777777" w:rsidR="008A40A0" w:rsidRDefault="008A40A0" w:rsidP="00B118E4">
      <w:pPr>
        <w:jc w:val="left"/>
        <w:rPr>
          <w:sz w:val="24"/>
          <w:szCs w:val="24"/>
        </w:rPr>
      </w:pPr>
    </w:p>
    <w:p w14:paraId="73150722" w14:textId="77777777" w:rsidR="008A40A0" w:rsidRDefault="008A40A0" w:rsidP="00B118E4">
      <w:pPr>
        <w:jc w:val="left"/>
        <w:rPr>
          <w:sz w:val="24"/>
          <w:szCs w:val="24"/>
        </w:rPr>
      </w:pPr>
    </w:p>
    <w:p w14:paraId="0E08F1A5" w14:textId="77777777" w:rsidR="008A40A0" w:rsidRDefault="008A40A0" w:rsidP="00B118E4">
      <w:pPr>
        <w:jc w:val="left"/>
        <w:rPr>
          <w:sz w:val="24"/>
          <w:szCs w:val="24"/>
        </w:rPr>
      </w:pPr>
    </w:p>
    <w:p w14:paraId="613E23F3" w14:textId="77777777" w:rsidR="008A40A0" w:rsidRDefault="008A40A0" w:rsidP="00B118E4">
      <w:pPr>
        <w:jc w:val="left"/>
        <w:rPr>
          <w:sz w:val="24"/>
          <w:szCs w:val="24"/>
        </w:rPr>
      </w:pPr>
    </w:p>
    <w:p w14:paraId="44458694" w14:textId="77777777" w:rsidR="008A40A0" w:rsidRDefault="008A40A0" w:rsidP="00B118E4">
      <w:pPr>
        <w:jc w:val="left"/>
        <w:rPr>
          <w:sz w:val="24"/>
          <w:szCs w:val="24"/>
        </w:rPr>
      </w:pPr>
    </w:p>
    <w:p w14:paraId="6C48AF6F" w14:textId="77777777" w:rsidR="008A40A0" w:rsidRDefault="008A40A0" w:rsidP="00B118E4">
      <w:pPr>
        <w:jc w:val="left"/>
        <w:rPr>
          <w:sz w:val="24"/>
          <w:szCs w:val="24"/>
        </w:rPr>
      </w:pPr>
    </w:p>
    <w:p w14:paraId="4A962B78" w14:textId="77777777" w:rsidR="008A40A0" w:rsidRDefault="008A40A0" w:rsidP="00B118E4">
      <w:pPr>
        <w:jc w:val="left"/>
        <w:rPr>
          <w:sz w:val="24"/>
          <w:szCs w:val="24"/>
        </w:rPr>
      </w:pPr>
    </w:p>
    <w:p w14:paraId="2DF7CAB9" w14:textId="77777777" w:rsidR="008A40A0" w:rsidRDefault="008A40A0" w:rsidP="00B118E4">
      <w:pPr>
        <w:jc w:val="left"/>
        <w:rPr>
          <w:sz w:val="24"/>
          <w:szCs w:val="24"/>
        </w:rPr>
      </w:pPr>
    </w:p>
    <w:p w14:paraId="6BC28E21" w14:textId="77777777" w:rsidR="008A40A0" w:rsidRDefault="008A40A0" w:rsidP="00B118E4">
      <w:pPr>
        <w:jc w:val="left"/>
        <w:rPr>
          <w:sz w:val="24"/>
          <w:szCs w:val="24"/>
        </w:rPr>
      </w:pPr>
    </w:p>
    <w:p w14:paraId="4688F0A9" w14:textId="77777777" w:rsidR="008A40A0" w:rsidRDefault="008A40A0" w:rsidP="00B118E4">
      <w:pPr>
        <w:jc w:val="left"/>
        <w:rPr>
          <w:sz w:val="24"/>
          <w:szCs w:val="24"/>
        </w:rPr>
      </w:pPr>
    </w:p>
    <w:p w14:paraId="144ABFE4" w14:textId="77777777" w:rsidR="008A40A0" w:rsidRDefault="008A40A0" w:rsidP="00B118E4">
      <w:pPr>
        <w:jc w:val="left"/>
        <w:rPr>
          <w:sz w:val="24"/>
          <w:szCs w:val="24"/>
        </w:rPr>
      </w:pPr>
    </w:p>
    <w:p w14:paraId="45C6B12D" w14:textId="77777777" w:rsidR="008A40A0" w:rsidRDefault="008A40A0" w:rsidP="00B118E4">
      <w:pPr>
        <w:jc w:val="left"/>
        <w:rPr>
          <w:sz w:val="24"/>
          <w:szCs w:val="24"/>
        </w:rPr>
      </w:pPr>
    </w:p>
    <w:p w14:paraId="7000EF2F" w14:textId="77777777" w:rsidR="008A40A0" w:rsidRDefault="008A40A0" w:rsidP="00B118E4">
      <w:pPr>
        <w:jc w:val="left"/>
        <w:rPr>
          <w:sz w:val="24"/>
          <w:szCs w:val="24"/>
        </w:rPr>
      </w:pPr>
    </w:p>
    <w:p w14:paraId="49C1A34B" w14:textId="77777777" w:rsidR="008A40A0" w:rsidRDefault="008A40A0" w:rsidP="00B118E4">
      <w:pPr>
        <w:jc w:val="left"/>
        <w:rPr>
          <w:sz w:val="24"/>
          <w:szCs w:val="24"/>
        </w:rPr>
      </w:pPr>
    </w:p>
    <w:p w14:paraId="3A817009" w14:textId="77777777" w:rsidR="008A40A0" w:rsidRPr="00B118E4" w:rsidRDefault="008A40A0" w:rsidP="00B118E4">
      <w:pPr>
        <w:jc w:val="left"/>
        <w:rPr>
          <w:sz w:val="24"/>
          <w:szCs w:val="24"/>
        </w:rPr>
      </w:pPr>
    </w:p>
    <w:p w14:paraId="641F96AB" w14:textId="235B93B6" w:rsidR="00B118E4" w:rsidRDefault="00B118E4" w:rsidP="00B118E4">
      <w:pPr>
        <w:rPr>
          <w:b/>
          <w:sz w:val="24"/>
          <w:szCs w:val="24"/>
        </w:rPr>
      </w:pPr>
      <w:r w:rsidRPr="00F0720E">
        <w:rPr>
          <w:b/>
          <w:sz w:val="24"/>
          <w:szCs w:val="24"/>
        </w:rPr>
        <w:t>Supplementary Table 3. Neutralization results of Nbs against 58 pseudoviruses of multiple HIV-1 subtypes.</w:t>
      </w:r>
    </w:p>
    <w:p w14:paraId="1E09D8BF" w14:textId="46F714F1" w:rsidR="008F6F68" w:rsidRDefault="008F6F68" w:rsidP="00B118E4">
      <w:pPr>
        <w:rPr>
          <w:b/>
          <w:sz w:val="24"/>
          <w:szCs w:val="24"/>
        </w:rPr>
      </w:pPr>
      <w:r>
        <w:rPr>
          <w:b/>
          <w:sz w:val="24"/>
          <w:szCs w:val="24"/>
        </w:rPr>
        <w:object w:dxaOrig="17142" w:dyaOrig="18096" w14:anchorId="29E64840">
          <v:shape id="_x0000_i1027" type="#_x0000_t75" style="width:411.6pt;height:434.05pt" o:ole="">
            <v:imagedata r:id="rId34" o:title=""/>
          </v:shape>
          <o:OLEObject Type="Embed" ProgID="Excel.Sheet.12" ShapeID="_x0000_i1027" DrawAspect="Content" ObjectID="_1758696168" r:id="rId35"/>
        </w:object>
      </w:r>
    </w:p>
    <w:p w14:paraId="322171EB" w14:textId="77777777" w:rsidR="00F8021C" w:rsidRDefault="00F8021C" w:rsidP="00B118E4">
      <w:pPr>
        <w:rPr>
          <w:b/>
          <w:sz w:val="24"/>
          <w:szCs w:val="24"/>
        </w:rPr>
      </w:pPr>
    </w:p>
    <w:p w14:paraId="78055300" w14:textId="77777777" w:rsidR="00F8021C" w:rsidRDefault="00F8021C" w:rsidP="00B118E4">
      <w:pPr>
        <w:rPr>
          <w:b/>
          <w:sz w:val="24"/>
          <w:szCs w:val="24"/>
        </w:rPr>
      </w:pPr>
    </w:p>
    <w:p w14:paraId="6D3E579B" w14:textId="77777777" w:rsidR="00F8021C" w:rsidRDefault="00F8021C" w:rsidP="00B118E4">
      <w:pPr>
        <w:rPr>
          <w:b/>
          <w:sz w:val="24"/>
          <w:szCs w:val="24"/>
        </w:rPr>
      </w:pPr>
    </w:p>
    <w:p w14:paraId="118D9E63" w14:textId="77777777" w:rsidR="00F8021C" w:rsidRDefault="00F8021C" w:rsidP="00B118E4">
      <w:pPr>
        <w:rPr>
          <w:b/>
          <w:sz w:val="24"/>
          <w:szCs w:val="24"/>
        </w:rPr>
      </w:pPr>
    </w:p>
    <w:p w14:paraId="6B455A6F" w14:textId="77777777" w:rsidR="00F8021C" w:rsidRDefault="00F8021C" w:rsidP="00B118E4">
      <w:pPr>
        <w:rPr>
          <w:b/>
          <w:sz w:val="24"/>
          <w:szCs w:val="24"/>
        </w:rPr>
      </w:pPr>
    </w:p>
    <w:p w14:paraId="6DF7768D" w14:textId="77777777" w:rsidR="00F8021C" w:rsidRDefault="00F8021C" w:rsidP="00B118E4">
      <w:pPr>
        <w:rPr>
          <w:b/>
          <w:sz w:val="24"/>
          <w:szCs w:val="24"/>
        </w:rPr>
      </w:pPr>
    </w:p>
    <w:p w14:paraId="7FF228F4" w14:textId="77777777" w:rsidR="00F8021C" w:rsidRDefault="00F8021C" w:rsidP="00B118E4">
      <w:pPr>
        <w:rPr>
          <w:b/>
          <w:sz w:val="24"/>
          <w:szCs w:val="24"/>
        </w:rPr>
      </w:pPr>
    </w:p>
    <w:p w14:paraId="488EE10F" w14:textId="77777777" w:rsidR="00F8021C" w:rsidRDefault="00F8021C" w:rsidP="00B118E4">
      <w:pPr>
        <w:rPr>
          <w:b/>
          <w:sz w:val="24"/>
          <w:szCs w:val="24"/>
        </w:rPr>
      </w:pPr>
    </w:p>
    <w:p w14:paraId="0087C9AF" w14:textId="77777777" w:rsidR="00F8021C" w:rsidRDefault="00F8021C" w:rsidP="00B118E4">
      <w:pPr>
        <w:rPr>
          <w:b/>
          <w:sz w:val="24"/>
          <w:szCs w:val="24"/>
        </w:rPr>
      </w:pPr>
    </w:p>
    <w:p w14:paraId="27553EE2" w14:textId="77777777" w:rsidR="00F8021C" w:rsidRDefault="00F8021C" w:rsidP="00B118E4">
      <w:pPr>
        <w:rPr>
          <w:b/>
          <w:sz w:val="24"/>
          <w:szCs w:val="24"/>
        </w:rPr>
      </w:pPr>
    </w:p>
    <w:p w14:paraId="544A794F" w14:textId="77777777" w:rsidR="00F8021C" w:rsidRDefault="00F8021C" w:rsidP="00B118E4">
      <w:pPr>
        <w:rPr>
          <w:b/>
          <w:sz w:val="24"/>
          <w:szCs w:val="24"/>
        </w:rPr>
      </w:pPr>
    </w:p>
    <w:p w14:paraId="58629DDF" w14:textId="77777777" w:rsidR="00F8021C" w:rsidRDefault="00F8021C" w:rsidP="00B118E4">
      <w:pPr>
        <w:rPr>
          <w:b/>
          <w:sz w:val="24"/>
          <w:szCs w:val="24"/>
        </w:rPr>
      </w:pPr>
    </w:p>
    <w:p w14:paraId="21C12EF6" w14:textId="77777777" w:rsidR="00F8021C" w:rsidRDefault="00F8021C" w:rsidP="00B118E4">
      <w:pPr>
        <w:rPr>
          <w:b/>
          <w:sz w:val="24"/>
          <w:szCs w:val="24"/>
        </w:rPr>
      </w:pPr>
    </w:p>
    <w:p w14:paraId="5F65E649" w14:textId="77777777" w:rsidR="00F8021C" w:rsidRDefault="00F8021C" w:rsidP="00B118E4">
      <w:pPr>
        <w:rPr>
          <w:b/>
          <w:sz w:val="24"/>
          <w:szCs w:val="24"/>
        </w:rPr>
      </w:pPr>
    </w:p>
    <w:p w14:paraId="57CBBC16" w14:textId="77777777" w:rsidR="00F8021C" w:rsidRDefault="00F8021C" w:rsidP="00B118E4">
      <w:pPr>
        <w:rPr>
          <w:b/>
          <w:sz w:val="24"/>
          <w:szCs w:val="24"/>
        </w:rPr>
      </w:pPr>
    </w:p>
    <w:p w14:paraId="668D2F6B" w14:textId="77777777" w:rsidR="00F8021C" w:rsidRDefault="00F8021C" w:rsidP="00B118E4">
      <w:pPr>
        <w:rPr>
          <w:b/>
          <w:sz w:val="24"/>
          <w:szCs w:val="24"/>
        </w:rPr>
      </w:pPr>
    </w:p>
    <w:p w14:paraId="6B723F70" w14:textId="77777777" w:rsidR="00F8021C" w:rsidRDefault="00F8021C" w:rsidP="00B118E4">
      <w:pPr>
        <w:rPr>
          <w:b/>
          <w:sz w:val="24"/>
          <w:szCs w:val="24"/>
        </w:rPr>
      </w:pPr>
    </w:p>
    <w:p w14:paraId="57EFBD11" w14:textId="77777777" w:rsidR="00F8021C" w:rsidRDefault="00F8021C" w:rsidP="00B118E4">
      <w:pPr>
        <w:rPr>
          <w:b/>
          <w:sz w:val="24"/>
          <w:szCs w:val="24"/>
        </w:rPr>
      </w:pPr>
    </w:p>
    <w:p w14:paraId="5F4A541A" w14:textId="77777777" w:rsidR="00F8021C" w:rsidRDefault="00F8021C" w:rsidP="00F8021C">
      <w:pPr>
        <w:rPr>
          <w:b/>
          <w:bCs/>
          <w:sz w:val="24"/>
          <w:szCs w:val="24"/>
        </w:rPr>
      </w:pPr>
      <w:r w:rsidRPr="00F8021C">
        <w:rPr>
          <w:b/>
          <w:bCs/>
          <w:sz w:val="24"/>
          <w:szCs w:val="24"/>
        </w:rPr>
        <w:t xml:space="preserve">Supplementary Table 4. Data collection and refinement statistics </w:t>
      </w:r>
    </w:p>
    <w:p w14:paraId="0BDA318E" w14:textId="77777777" w:rsidR="00F8021C" w:rsidRPr="00F8021C" w:rsidRDefault="00F8021C" w:rsidP="00F8021C">
      <w:pPr>
        <w:rPr>
          <w:sz w:val="24"/>
          <w:szCs w:val="24"/>
        </w:rPr>
      </w:pPr>
    </w:p>
    <w:p w14:paraId="53BD82F4" w14:textId="1AD28A40" w:rsidR="00F8021C" w:rsidRPr="00F8021C" w:rsidRDefault="00F8021C" w:rsidP="00B118E4">
      <w:pPr>
        <w:rPr>
          <w:sz w:val="24"/>
          <w:szCs w:val="24"/>
        </w:rPr>
      </w:pPr>
      <w:r>
        <w:rPr>
          <w:sz w:val="24"/>
          <w:szCs w:val="24"/>
        </w:rPr>
        <w:object w:dxaOrig="7526" w:dyaOrig="7838" w14:anchorId="7FA11FB8">
          <v:shape id="_x0000_i1028" type="#_x0000_t75" style="width:377pt;height:453.05pt" o:ole="">
            <v:imagedata r:id="rId36" o:title=""/>
          </v:shape>
          <o:OLEObject Type="Embed" ProgID="Excel.Sheet.12" ShapeID="_x0000_i1028" DrawAspect="Content" ObjectID="_1758696169" r:id="rId37"/>
        </w:object>
      </w:r>
    </w:p>
    <w:sectPr w:rsidR="00F8021C" w:rsidRPr="00F8021C" w:rsidSect="005A3563">
      <w:footerReference w:type="even" r:id="rId38"/>
      <w:footerReference w:type="default" r:id="rId39"/>
      <w:pgSz w:w="11906" w:h="16838" w:code="9"/>
      <w:pgMar w:top="1440" w:right="1797" w:bottom="1440" w:left="1797" w:header="851" w:footer="992" w:gutter="0"/>
      <w:lnNumType w:countBy="1" w:restart="continuous"/>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5DAD4" w14:textId="77777777" w:rsidR="004575BF" w:rsidRDefault="004575BF" w:rsidP="00AF17A4">
      <w:r>
        <w:separator/>
      </w:r>
    </w:p>
  </w:endnote>
  <w:endnote w:type="continuationSeparator" w:id="0">
    <w:p w14:paraId="7B05DB01" w14:textId="77777777" w:rsidR="004575BF" w:rsidRDefault="004575BF" w:rsidP="00AF1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e Gothic LT Std">
    <w:altName w:val="Arial Unicode MS"/>
    <w:panose1 w:val="00000000000000000000"/>
    <w:charset w:val="88"/>
    <w:family w:val="swiss"/>
    <w:notTrueType/>
    <w:pitch w:val="default"/>
    <w:sig w:usb0="00000000"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B507B" w14:textId="77777777" w:rsidR="000D2339" w:rsidRDefault="000D2339" w:rsidP="00B25BEB">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0FB44F8" w14:textId="77777777" w:rsidR="000D2339" w:rsidRDefault="000D2339" w:rsidP="002F7938">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806A0" w14:textId="3CBEEE8F" w:rsidR="000D2339" w:rsidRDefault="000D2339" w:rsidP="00B25BEB">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575BF">
      <w:rPr>
        <w:rStyle w:val="ab"/>
        <w:noProof/>
      </w:rPr>
      <w:t>1</w:t>
    </w:r>
    <w:r>
      <w:rPr>
        <w:rStyle w:val="ab"/>
      </w:rPr>
      <w:fldChar w:fldCharType="end"/>
    </w:r>
  </w:p>
  <w:p w14:paraId="39E2E14C" w14:textId="77777777" w:rsidR="000D2339" w:rsidRDefault="000D2339" w:rsidP="002F7938">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FECB5" w14:textId="77777777" w:rsidR="004575BF" w:rsidRDefault="004575BF" w:rsidP="00AF17A4">
      <w:r>
        <w:separator/>
      </w:r>
    </w:p>
  </w:footnote>
  <w:footnote w:type="continuationSeparator" w:id="0">
    <w:p w14:paraId="3545BF96" w14:textId="77777777" w:rsidR="004575BF" w:rsidRDefault="004575BF" w:rsidP="00AF17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648019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622D7"/>
    <w:multiLevelType w:val="hybridMultilevel"/>
    <w:tmpl w:val="DFB25620"/>
    <w:lvl w:ilvl="0" w:tplc="7B8E799A">
      <w:start w:val="1"/>
      <w:numFmt w:val="upperLetter"/>
      <w:lvlText w:val="%1."/>
      <w:lvlJc w:val="left"/>
      <w:pPr>
        <w:tabs>
          <w:tab w:val="num" w:pos="720"/>
        </w:tabs>
        <w:ind w:left="720" w:hanging="360"/>
      </w:pPr>
      <w:rPr>
        <w:rFonts w:ascii="Times New Roman" w:eastAsia="Times New Roman" w:hAnsi="Times New Roman" w:cs="Times New Roman"/>
      </w:rPr>
    </w:lvl>
    <w:lvl w:ilvl="1" w:tplc="E88AA206" w:tentative="1">
      <w:start w:val="1"/>
      <w:numFmt w:val="upperLetter"/>
      <w:lvlText w:val="%2."/>
      <w:lvlJc w:val="left"/>
      <w:pPr>
        <w:tabs>
          <w:tab w:val="num" w:pos="1440"/>
        </w:tabs>
        <w:ind w:left="1440" w:hanging="360"/>
      </w:pPr>
    </w:lvl>
    <w:lvl w:ilvl="2" w:tplc="6CECFED8" w:tentative="1">
      <w:start w:val="1"/>
      <w:numFmt w:val="upperLetter"/>
      <w:lvlText w:val="%3."/>
      <w:lvlJc w:val="left"/>
      <w:pPr>
        <w:tabs>
          <w:tab w:val="num" w:pos="2160"/>
        </w:tabs>
        <w:ind w:left="2160" w:hanging="360"/>
      </w:pPr>
    </w:lvl>
    <w:lvl w:ilvl="3" w:tplc="54944258" w:tentative="1">
      <w:start w:val="1"/>
      <w:numFmt w:val="upperLetter"/>
      <w:lvlText w:val="%4."/>
      <w:lvlJc w:val="left"/>
      <w:pPr>
        <w:tabs>
          <w:tab w:val="num" w:pos="2880"/>
        </w:tabs>
        <w:ind w:left="2880" w:hanging="360"/>
      </w:pPr>
    </w:lvl>
    <w:lvl w:ilvl="4" w:tplc="8346AFBA" w:tentative="1">
      <w:start w:val="1"/>
      <w:numFmt w:val="upperLetter"/>
      <w:lvlText w:val="%5."/>
      <w:lvlJc w:val="left"/>
      <w:pPr>
        <w:tabs>
          <w:tab w:val="num" w:pos="3600"/>
        </w:tabs>
        <w:ind w:left="3600" w:hanging="360"/>
      </w:pPr>
    </w:lvl>
    <w:lvl w:ilvl="5" w:tplc="EBE8BBCE" w:tentative="1">
      <w:start w:val="1"/>
      <w:numFmt w:val="upperLetter"/>
      <w:lvlText w:val="%6."/>
      <w:lvlJc w:val="left"/>
      <w:pPr>
        <w:tabs>
          <w:tab w:val="num" w:pos="4320"/>
        </w:tabs>
        <w:ind w:left="4320" w:hanging="360"/>
      </w:pPr>
    </w:lvl>
    <w:lvl w:ilvl="6" w:tplc="58F28DC6" w:tentative="1">
      <w:start w:val="1"/>
      <w:numFmt w:val="upperLetter"/>
      <w:lvlText w:val="%7."/>
      <w:lvlJc w:val="left"/>
      <w:pPr>
        <w:tabs>
          <w:tab w:val="num" w:pos="5040"/>
        </w:tabs>
        <w:ind w:left="5040" w:hanging="360"/>
      </w:pPr>
    </w:lvl>
    <w:lvl w:ilvl="7" w:tplc="4F748C3C" w:tentative="1">
      <w:start w:val="1"/>
      <w:numFmt w:val="upperLetter"/>
      <w:lvlText w:val="%8."/>
      <w:lvlJc w:val="left"/>
      <w:pPr>
        <w:tabs>
          <w:tab w:val="num" w:pos="5760"/>
        </w:tabs>
        <w:ind w:left="5760" w:hanging="360"/>
      </w:pPr>
    </w:lvl>
    <w:lvl w:ilvl="8" w:tplc="474ED2EA" w:tentative="1">
      <w:start w:val="1"/>
      <w:numFmt w:val="upperLetter"/>
      <w:lvlText w:val="%9."/>
      <w:lvlJc w:val="left"/>
      <w:pPr>
        <w:tabs>
          <w:tab w:val="num" w:pos="6480"/>
        </w:tabs>
        <w:ind w:left="6480" w:hanging="360"/>
      </w:pPr>
    </w:lvl>
  </w:abstractNum>
  <w:abstractNum w:abstractNumId="2" w15:restartNumberingAfterBreak="0">
    <w:nsid w:val="07E51034"/>
    <w:multiLevelType w:val="hybridMultilevel"/>
    <w:tmpl w:val="B568F45A"/>
    <w:lvl w:ilvl="0" w:tplc="A8C04BC0">
      <w:start w:val="1"/>
      <w:numFmt w:val="upperLetter"/>
      <w:lvlText w:val="%1."/>
      <w:lvlJc w:val="left"/>
      <w:pPr>
        <w:tabs>
          <w:tab w:val="num" w:pos="720"/>
        </w:tabs>
        <w:ind w:left="720" w:hanging="360"/>
      </w:pPr>
    </w:lvl>
    <w:lvl w:ilvl="1" w:tplc="955699A8" w:tentative="1">
      <w:start w:val="1"/>
      <w:numFmt w:val="upperLetter"/>
      <w:lvlText w:val="%2."/>
      <w:lvlJc w:val="left"/>
      <w:pPr>
        <w:tabs>
          <w:tab w:val="num" w:pos="1440"/>
        </w:tabs>
        <w:ind w:left="1440" w:hanging="360"/>
      </w:pPr>
    </w:lvl>
    <w:lvl w:ilvl="2" w:tplc="27646976" w:tentative="1">
      <w:start w:val="1"/>
      <w:numFmt w:val="upperLetter"/>
      <w:lvlText w:val="%3."/>
      <w:lvlJc w:val="left"/>
      <w:pPr>
        <w:tabs>
          <w:tab w:val="num" w:pos="2160"/>
        </w:tabs>
        <w:ind w:left="2160" w:hanging="360"/>
      </w:pPr>
    </w:lvl>
    <w:lvl w:ilvl="3" w:tplc="63D6900A" w:tentative="1">
      <w:start w:val="1"/>
      <w:numFmt w:val="upperLetter"/>
      <w:lvlText w:val="%4."/>
      <w:lvlJc w:val="left"/>
      <w:pPr>
        <w:tabs>
          <w:tab w:val="num" w:pos="2880"/>
        </w:tabs>
        <w:ind w:left="2880" w:hanging="360"/>
      </w:pPr>
    </w:lvl>
    <w:lvl w:ilvl="4" w:tplc="421E0DC2" w:tentative="1">
      <w:start w:val="1"/>
      <w:numFmt w:val="upperLetter"/>
      <w:lvlText w:val="%5."/>
      <w:lvlJc w:val="left"/>
      <w:pPr>
        <w:tabs>
          <w:tab w:val="num" w:pos="3600"/>
        </w:tabs>
        <w:ind w:left="3600" w:hanging="360"/>
      </w:pPr>
    </w:lvl>
    <w:lvl w:ilvl="5" w:tplc="0C324BDA" w:tentative="1">
      <w:start w:val="1"/>
      <w:numFmt w:val="upperLetter"/>
      <w:lvlText w:val="%6."/>
      <w:lvlJc w:val="left"/>
      <w:pPr>
        <w:tabs>
          <w:tab w:val="num" w:pos="4320"/>
        </w:tabs>
        <w:ind w:left="4320" w:hanging="360"/>
      </w:pPr>
    </w:lvl>
    <w:lvl w:ilvl="6" w:tplc="81B4599E" w:tentative="1">
      <w:start w:val="1"/>
      <w:numFmt w:val="upperLetter"/>
      <w:lvlText w:val="%7."/>
      <w:lvlJc w:val="left"/>
      <w:pPr>
        <w:tabs>
          <w:tab w:val="num" w:pos="5040"/>
        </w:tabs>
        <w:ind w:left="5040" w:hanging="360"/>
      </w:pPr>
    </w:lvl>
    <w:lvl w:ilvl="7" w:tplc="622CC046" w:tentative="1">
      <w:start w:val="1"/>
      <w:numFmt w:val="upperLetter"/>
      <w:lvlText w:val="%8."/>
      <w:lvlJc w:val="left"/>
      <w:pPr>
        <w:tabs>
          <w:tab w:val="num" w:pos="5760"/>
        </w:tabs>
        <w:ind w:left="5760" w:hanging="360"/>
      </w:pPr>
    </w:lvl>
    <w:lvl w:ilvl="8" w:tplc="D6DEB2F6" w:tentative="1">
      <w:start w:val="1"/>
      <w:numFmt w:val="upperLetter"/>
      <w:lvlText w:val="%9."/>
      <w:lvlJc w:val="left"/>
      <w:pPr>
        <w:tabs>
          <w:tab w:val="num" w:pos="6480"/>
        </w:tabs>
        <w:ind w:left="6480" w:hanging="360"/>
      </w:pPr>
    </w:lvl>
  </w:abstractNum>
  <w:abstractNum w:abstractNumId="3" w15:restartNumberingAfterBreak="0">
    <w:nsid w:val="15FB021E"/>
    <w:multiLevelType w:val="hybridMultilevel"/>
    <w:tmpl w:val="D1320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3F4BC7"/>
    <w:multiLevelType w:val="hybridMultilevel"/>
    <w:tmpl w:val="867CD4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50D47"/>
    <w:multiLevelType w:val="hybridMultilevel"/>
    <w:tmpl w:val="4656ACAE"/>
    <w:lvl w:ilvl="0" w:tplc="2188B1CA">
      <w:start w:val="1"/>
      <w:numFmt w:val="upperLetter"/>
      <w:lvlText w:val="%1."/>
      <w:lvlJc w:val="left"/>
      <w:pPr>
        <w:tabs>
          <w:tab w:val="num" w:pos="720"/>
        </w:tabs>
        <w:ind w:left="720" w:hanging="360"/>
      </w:pPr>
    </w:lvl>
    <w:lvl w:ilvl="1" w:tplc="0646F9E0" w:tentative="1">
      <w:start w:val="1"/>
      <w:numFmt w:val="upperLetter"/>
      <w:lvlText w:val="%2."/>
      <w:lvlJc w:val="left"/>
      <w:pPr>
        <w:tabs>
          <w:tab w:val="num" w:pos="1440"/>
        </w:tabs>
        <w:ind w:left="1440" w:hanging="360"/>
      </w:pPr>
    </w:lvl>
    <w:lvl w:ilvl="2" w:tplc="A94658E4" w:tentative="1">
      <w:start w:val="1"/>
      <w:numFmt w:val="upperLetter"/>
      <w:lvlText w:val="%3."/>
      <w:lvlJc w:val="left"/>
      <w:pPr>
        <w:tabs>
          <w:tab w:val="num" w:pos="2160"/>
        </w:tabs>
        <w:ind w:left="2160" w:hanging="360"/>
      </w:pPr>
    </w:lvl>
    <w:lvl w:ilvl="3" w:tplc="A906E5E6" w:tentative="1">
      <w:start w:val="1"/>
      <w:numFmt w:val="upperLetter"/>
      <w:lvlText w:val="%4."/>
      <w:lvlJc w:val="left"/>
      <w:pPr>
        <w:tabs>
          <w:tab w:val="num" w:pos="2880"/>
        </w:tabs>
        <w:ind w:left="2880" w:hanging="360"/>
      </w:pPr>
    </w:lvl>
    <w:lvl w:ilvl="4" w:tplc="43F23030" w:tentative="1">
      <w:start w:val="1"/>
      <w:numFmt w:val="upperLetter"/>
      <w:lvlText w:val="%5."/>
      <w:lvlJc w:val="left"/>
      <w:pPr>
        <w:tabs>
          <w:tab w:val="num" w:pos="3600"/>
        </w:tabs>
        <w:ind w:left="3600" w:hanging="360"/>
      </w:pPr>
    </w:lvl>
    <w:lvl w:ilvl="5" w:tplc="032269D8" w:tentative="1">
      <w:start w:val="1"/>
      <w:numFmt w:val="upperLetter"/>
      <w:lvlText w:val="%6."/>
      <w:lvlJc w:val="left"/>
      <w:pPr>
        <w:tabs>
          <w:tab w:val="num" w:pos="4320"/>
        </w:tabs>
        <w:ind w:left="4320" w:hanging="360"/>
      </w:pPr>
    </w:lvl>
    <w:lvl w:ilvl="6" w:tplc="E674B3AE" w:tentative="1">
      <w:start w:val="1"/>
      <w:numFmt w:val="upperLetter"/>
      <w:lvlText w:val="%7."/>
      <w:lvlJc w:val="left"/>
      <w:pPr>
        <w:tabs>
          <w:tab w:val="num" w:pos="5040"/>
        </w:tabs>
        <w:ind w:left="5040" w:hanging="360"/>
      </w:pPr>
    </w:lvl>
    <w:lvl w:ilvl="7" w:tplc="C3FE62BE" w:tentative="1">
      <w:start w:val="1"/>
      <w:numFmt w:val="upperLetter"/>
      <w:lvlText w:val="%8."/>
      <w:lvlJc w:val="left"/>
      <w:pPr>
        <w:tabs>
          <w:tab w:val="num" w:pos="5760"/>
        </w:tabs>
        <w:ind w:left="5760" w:hanging="360"/>
      </w:pPr>
    </w:lvl>
    <w:lvl w:ilvl="8" w:tplc="A83A3AD0" w:tentative="1">
      <w:start w:val="1"/>
      <w:numFmt w:val="upperLetter"/>
      <w:lvlText w:val="%9."/>
      <w:lvlJc w:val="left"/>
      <w:pPr>
        <w:tabs>
          <w:tab w:val="num" w:pos="6480"/>
        </w:tabs>
        <w:ind w:left="6480" w:hanging="360"/>
      </w:pPr>
    </w:lvl>
  </w:abstractNum>
  <w:abstractNum w:abstractNumId="6" w15:restartNumberingAfterBreak="0">
    <w:nsid w:val="7B926FCF"/>
    <w:multiLevelType w:val="hybridMultilevel"/>
    <w:tmpl w:val="F246F1DA"/>
    <w:lvl w:ilvl="0" w:tplc="EC287FA8">
      <w:start w:val="1"/>
      <w:numFmt w:val="upperLetter"/>
      <w:lvlText w:val="%1."/>
      <w:lvlJc w:val="left"/>
      <w:pPr>
        <w:tabs>
          <w:tab w:val="num" w:pos="720"/>
        </w:tabs>
        <w:ind w:left="720" w:hanging="360"/>
      </w:pPr>
    </w:lvl>
    <w:lvl w:ilvl="1" w:tplc="C832AF2C" w:tentative="1">
      <w:start w:val="1"/>
      <w:numFmt w:val="upperLetter"/>
      <w:lvlText w:val="%2."/>
      <w:lvlJc w:val="left"/>
      <w:pPr>
        <w:tabs>
          <w:tab w:val="num" w:pos="1440"/>
        </w:tabs>
        <w:ind w:left="1440" w:hanging="360"/>
      </w:pPr>
    </w:lvl>
    <w:lvl w:ilvl="2" w:tplc="AC5E3DC8" w:tentative="1">
      <w:start w:val="1"/>
      <w:numFmt w:val="upperLetter"/>
      <w:lvlText w:val="%3."/>
      <w:lvlJc w:val="left"/>
      <w:pPr>
        <w:tabs>
          <w:tab w:val="num" w:pos="2160"/>
        </w:tabs>
        <w:ind w:left="2160" w:hanging="360"/>
      </w:pPr>
    </w:lvl>
    <w:lvl w:ilvl="3" w:tplc="6D165EF2" w:tentative="1">
      <w:start w:val="1"/>
      <w:numFmt w:val="upperLetter"/>
      <w:lvlText w:val="%4."/>
      <w:lvlJc w:val="left"/>
      <w:pPr>
        <w:tabs>
          <w:tab w:val="num" w:pos="2880"/>
        </w:tabs>
        <w:ind w:left="2880" w:hanging="360"/>
      </w:pPr>
    </w:lvl>
    <w:lvl w:ilvl="4" w:tplc="E2B25A3E" w:tentative="1">
      <w:start w:val="1"/>
      <w:numFmt w:val="upperLetter"/>
      <w:lvlText w:val="%5."/>
      <w:lvlJc w:val="left"/>
      <w:pPr>
        <w:tabs>
          <w:tab w:val="num" w:pos="3600"/>
        </w:tabs>
        <w:ind w:left="3600" w:hanging="360"/>
      </w:pPr>
    </w:lvl>
    <w:lvl w:ilvl="5" w:tplc="63B81456" w:tentative="1">
      <w:start w:val="1"/>
      <w:numFmt w:val="upperLetter"/>
      <w:lvlText w:val="%6."/>
      <w:lvlJc w:val="left"/>
      <w:pPr>
        <w:tabs>
          <w:tab w:val="num" w:pos="4320"/>
        </w:tabs>
        <w:ind w:left="4320" w:hanging="360"/>
      </w:pPr>
    </w:lvl>
    <w:lvl w:ilvl="6" w:tplc="884A0718" w:tentative="1">
      <w:start w:val="1"/>
      <w:numFmt w:val="upperLetter"/>
      <w:lvlText w:val="%7."/>
      <w:lvlJc w:val="left"/>
      <w:pPr>
        <w:tabs>
          <w:tab w:val="num" w:pos="5040"/>
        </w:tabs>
        <w:ind w:left="5040" w:hanging="360"/>
      </w:pPr>
    </w:lvl>
    <w:lvl w:ilvl="7" w:tplc="9102A5A0" w:tentative="1">
      <w:start w:val="1"/>
      <w:numFmt w:val="upperLetter"/>
      <w:lvlText w:val="%8."/>
      <w:lvlJc w:val="left"/>
      <w:pPr>
        <w:tabs>
          <w:tab w:val="num" w:pos="5760"/>
        </w:tabs>
        <w:ind w:left="5760" w:hanging="360"/>
      </w:pPr>
    </w:lvl>
    <w:lvl w:ilvl="8" w:tplc="70644DCC" w:tentative="1">
      <w:start w:val="1"/>
      <w:numFmt w:val="upperLetter"/>
      <w:lvlText w:val="%9."/>
      <w:lvlJc w:val="left"/>
      <w:pPr>
        <w:tabs>
          <w:tab w:val="num" w:pos="6480"/>
        </w:tabs>
        <w:ind w:left="6480" w:hanging="360"/>
      </w:pPr>
    </w:lvl>
  </w:abstractNum>
  <w:num w:numId="1">
    <w:abstractNumId w:val="6"/>
  </w:num>
  <w:num w:numId="2">
    <w:abstractNumId w:val="1"/>
  </w:num>
  <w:num w:numId="3">
    <w:abstractNumId w:val="2"/>
  </w:num>
  <w:num w:numId="4">
    <w:abstractNumId w:val="5"/>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d9efaxzld5e51ett20x0etja5p02e59xzfe&quot;&gt;My EndNote Library thesis&lt;record-ids&gt;&lt;item&gt;315&lt;/item&gt;&lt;item&gt;316&lt;/item&gt;&lt;/record-ids&gt;&lt;/item&gt;&lt;/Libraries&gt;"/>
  </w:docVars>
  <w:rsids>
    <w:rsidRoot w:val="00172A27"/>
    <w:rsid w:val="00000132"/>
    <w:rsid w:val="0000049B"/>
    <w:rsid w:val="000007CB"/>
    <w:rsid w:val="0000121D"/>
    <w:rsid w:val="0000148E"/>
    <w:rsid w:val="0000176A"/>
    <w:rsid w:val="000023FD"/>
    <w:rsid w:val="00002E38"/>
    <w:rsid w:val="000030C0"/>
    <w:rsid w:val="00003AFB"/>
    <w:rsid w:val="000064E0"/>
    <w:rsid w:val="000071EF"/>
    <w:rsid w:val="00007556"/>
    <w:rsid w:val="00010255"/>
    <w:rsid w:val="00010283"/>
    <w:rsid w:val="00013006"/>
    <w:rsid w:val="0001467B"/>
    <w:rsid w:val="0001474A"/>
    <w:rsid w:val="0001510F"/>
    <w:rsid w:val="0001623A"/>
    <w:rsid w:val="00017583"/>
    <w:rsid w:val="00017650"/>
    <w:rsid w:val="0002027A"/>
    <w:rsid w:val="00020FAF"/>
    <w:rsid w:val="000227B6"/>
    <w:rsid w:val="00022EF3"/>
    <w:rsid w:val="00024687"/>
    <w:rsid w:val="00024688"/>
    <w:rsid w:val="000251D0"/>
    <w:rsid w:val="00025C97"/>
    <w:rsid w:val="0002641D"/>
    <w:rsid w:val="00026A59"/>
    <w:rsid w:val="00026B61"/>
    <w:rsid w:val="0003133F"/>
    <w:rsid w:val="00031DF9"/>
    <w:rsid w:val="00031F61"/>
    <w:rsid w:val="000322DC"/>
    <w:rsid w:val="00032ED8"/>
    <w:rsid w:val="0003346A"/>
    <w:rsid w:val="000342EE"/>
    <w:rsid w:val="000356F1"/>
    <w:rsid w:val="00035863"/>
    <w:rsid w:val="000364F0"/>
    <w:rsid w:val="00037424"/>
    <w:rsid w:val="00037E7E"/>
    <w:rsid w:val="00040DEA"/>
    <w:rsid w:val="00043445"/>
    <w:rsid w:val="0004389C"/>
    <w:rsid w:val="00043AB8"/>
    <w:rsid w:val="00044C93"/>
    <w:rsid w:val="00044F58"/>
    <w:rsid w:val="00045AFD"/>
    <w:rsid w:val="00046F6A"/>
    <w:rsid w:val="00046F86"/>
    <w:rsid w:val="00047250"/>
    <w:rsid w:val="00052FA3"/>
    <w:rsid w:val="00053418"/>
    <w:rsid w:val="00055540"/>
    <w:rsid w:val="000557AE"/>
    <w:rsid w:val="000560E2"/>
    <w:rsid w:val="00056F2A"/>
    <w:rsid w:val="00057D93"/>
    <w:rsid w:val="000603FF"/>
    <w:rsid w:val="000605C1"/>
    <w:rsid w:val="00061D98"/>
    <w:rsid w:val="0006232B"/>
    <w:rsid w:val="00062EA1"/>
    <w:rsid w:val="00063DB0"/>
    <w:rsid w:val="00063F37"/>
    <w:rsid w:val="00064422"/>
    <w:rsid w:val="00064A1D"/>
    <w:rsid w:val="00064E28"/>
    <w:rsid w:val="0006503E"/>
    <w:rsid w:val="0006563F"/>
    <w:rsid w:val="000662B5"/>
    <w:rsid w:val="000664B2"/>
    <w:rsid w:val="000665C5"/>
    <w:rsid w:val="00066B5E"/>
    <w:rsid w:val="00067084"/>
    <w:rsid w:val="00070451"/>
    <w:rsid w:val="00070F77"/>
    <w:rsid w:val="00071068"/>
    <w:rsid w:val="00071138"/>
    <w:rsid w:val="00073290"/>
    <w:rsid w:val="000734AE"/>
    <w:rsid w:val="000734F3"/>
    <w:rsid w:val="00073746"/>
    <w:rsid w:val="00073D39"/>
    <w:rsid w:val="00075120"/>
    <w:rsid w:val="000756BF"/>
    <w:rsid w:val="00076E29"/>
    <w:rsid w:val="00076F0B"/>
    <w:rsid w:val="00077415"/>
    <w:rsid w:val="00080395"/>
    <w:rsid w:val="00080F93"/>
    <w:rsid w:val="00081058"/>
    <w:rsid w:val="00082058"/>
    <w:rsid w:val="00082C7B"/>
    <w:rsid w:val="00083176"/>
    <w:rsid w:val="0008420A"/>
    <w:rsid w:val="00084412"/>
    <w:rsid w:val="00084983"/>
    <w:rsid w:val="00084D9C"/>
    <w:rsid w:val="000854CE"/>
    <w:rsid w:val="0008699F"/>
    <w:rsid w:val="00086EAB"/>
    <w:rsid w:val="0008753E"/>
    <w:rsid w:val="00087F86"/>
    <w:rsid w:val="00090D1F"/>
    <w:rsid w:val="0009183C"/>
    <w:rsid w:val="000919DB"/>
    <w:rsid w:val="0009313A"/>
    <w:rsid w:val="000934D5"/>
    <w:rsid w:val="000943B1"/>
    <w:rsid w:val="00094835"/>
    <w:rsid w:val="00094A5E"/>
    <w:rsid w:val="00094A9B"/>
    <w:rsid w:val="00094C5A"/>
    <w:rsid w:val="00094F2F"/>
    <w:rsid w:val="000951E9"/>
    <w:rsid w:val="0009534B"/>
    <w:rsid w:val="00095F04"/>
    <w:rsid w:val="0009677C"/>
    <w:rsid w:val="00096BCB"/>
    <w:rsid w:val="00097A04"/>
    <w:rsid w:val="00097BC2"/>
    <w:rsid w:val="00097D83"/>
    <w:rsid w:val="000A04ED"/>
    <w:rsid w:val="000A16D6"/>
    <w:rsid w:val="000A1958"/>
    <w:rsid w:val="000A2C83"/>
    <w:rsid w:val="000A2E4A"/>
    <w:rsid w:val="000A2EC7"/>
    <w:rsid w:val="000A2EE1"/>
    <w:rsid w:val="000A38EA"/>
    <w:rsid w:val="000A3BC3"/>
    <w:rsid w:val="000A518E"/>
    <w:rsid w:val="000A58EB"/>
    <w:rsid w:val="000A7FD9"/>
    <w:rsid w:val="000B0D3A"/>
    <w:rsid w:val="000B1359"/>
    <w:rsid w:val="000B1686"/>
    <w:rsid w:val="000B199C"/>
    <w:rsid w:val="000B1A15"/>
    <w:rsid w:val="000B24CB"/>
    <w:rsid w:val="000B2E4A"/>
    <w:rsid w:val="000B4579"/>
    <w:rsid w:val="000B48A6"/>
    <w:rsid w:val="000B4A6D"/>
    <w:rsid w:val="000B4CBF"/>
    <w:rsid w:val="000B5BAA"/>
    <w:rsid w:val="000C017E"/>
    <w:rsid w:val="000C0DE3"/>
    <w:rsid w:val="000C14D2"/>
    <w:rsid w:val="000C1C94"/>
    <w:rsid w:val="000C1D0A"/>
    <w:rsid w:val="000C1EF4"/>
    <w:rsid w:val="000C37D0"/>
    <w:rsid w:val="000C3B7A"/>
    <w:rsid w:val="000C419F"/>
    <w:rsid w:val="000C5C51"/>
    <w:rsid w:val="000C65CC"/>
    <w:rsid w:val="000C6E92"/>
    <w:rsid w:val="000D2339"/>
    <w:rsid w:val="000D263F"/>
    <w:rsid w:val="000D48AC"/>
    <w:rsid w:val="000D49C6"/>
    <w:rsid w:val="000D4C64"/>
    <w:rsid w:val="000D64BB"/>
    <w:rsid w:val="000D6B17"/>
    <w:rsid w:val="000D7D64"/>
    <w:rsid w:val="000E1046"/>
    <w:rsid w:val="000E158D"/>
    <w:rsid w:val="000E18A0"/>
    <w:rsid w:val="000E1D32"/>
    <w:rsid w:val="000E3804"/>
    <w:rsid w:val="000E3D3F"/>
    <w:rsid w:val="000E3DC3"/>
    <w:rsid w:val="000E4049"/>
    <w:rsid w:val="000E469B"/>
    <w:rsid w:val="000E4A6E"/>
    <w:rsid w:val="000E5926"/>
    <w:rsid w:val="000E694B"/>
    <w:rsid w:val="000E7292"/>
    <w:rsid w:val="000E74A8"/>
    <w:rsid w:val="000E7770"/>
    <w:rsid w:val="000F07E2"/>
    <w:rsid w:val="000F15C2"/>
    <w:rsid w:val="000F2C51"/>
    <w:rsid w:val="000F2DB9"/>
    <w:rsid w:val="000F3D4A"/>
    <w:rsid w:val="000F3FD8"/>
    <w:rsid w:val="000F457A"/>
    <w:rsid w:val="000F6817"/>
    <w:rsid w:val="000F6BF5"/>
    <w:rsid w:val="000F70B5"/>
    <w:rsid w:val="000F742E"/>
    <w:rsid w:val="000F7BB1"/>
    <w:rsid w:val="0010055B"/>
    <w:rsid w:val="001005D4"/>
    <w:rsid w:val="00101818"/>
    <w:rsid w:val="00101EE9"/>
    <w:rsid w:val="0010264D"/>
    <w:rsid w:val="00102D6C"/>
    <w:rsid w:val="001052D7"/>
    <w:rsid w:val="00106202"/>
    <w:rsid w:val="001065CC"/>
    <w:rsid w:val="0010666D"/>
    <w:rsid w:val="001073E2"/>
    <w:rsid w:val="001075B7"/>
    <w:rsid w:val="00107682"/>
    <w:rsid w:val="0011029C"/>
    <w:rsid w:val="00111629"/>
    <w:rsid w:val="00112DBF"/>
    <w:rsid w:val="001133D5"/>
    <w:rsid w:val="0011391C"/>
    <w:rsid w:val="001148D0"/>
    <w:rsid w:val="00114E3B"/>
    <w:rsid w:val="00116379"/>
    <w:rsid w:val="00117124"/>
    <w:rsid w:val="00117EEA"/>
    <w:rsid w:val="0012081F"/>
    <w:rsid w:val="00121C56"/>
    <w:rsid w:val="00122277"/>
    <w:rsid w:val="00123D8D"/>
    <w:rsid w:val="00124EFD"/>
    <w:rsid w:val="001252DF"/>
    <w:rsid w:val="00125D8A"/>
    <w:rsid w:val="00126825"/>
    <w:rsid w:val="00126BCC"/>
    <w:rsid w:val="00126DF7"/>
    <w:rsid w:val="001307AD"/>
    <w:rsid w:val="00130A73"/>
    <w:rsid w:val="00130F22"/>
    <w:rsid w:val="001315A9"/>
    <w:rsid w:val="00131601"/>
    <w:rsid w:val="001323EA"/>
    <w:rsid w:val="00132B79"/>
    <w:rsid w:val="00133799"/>
    <w:rsid w:val="0013447D"/>
    <w:rsid w:val="0013460A"/>
    <w:rsid w:val="0013591D"/>
    <w:rsid w:val="00135B4A"/>
    <w:rsid w:val="00136353"/>
    <w:rsid w:val="001365C1"/>
    <w:rsid w:val="00140683"/>
    <w:rsid w:val="00140DED"/>
    <w:rsid w:val="001426F9"/>
    <w:rsid w:val="00144AC6"/>
    <w:rsid w:val="001451C3"/>
    <w:rsid w:val="00145222"/>
    <w:rsid w:val="00145D1E"/>
    <w:rsid w:val="00145D8C"/>
    <w:rsid w:val="001507BB"/>
    <w:rsid w:val="00151223"/>
    <w:rsid w:val="00152479"/>
    <w:rsid w:val="001527EA"/>
    <w:rsid w:val="00152D11"/>
    <w:rsid w:val="00153A98"/>
    <w:rsid w:val="00153C93"/>
    <w:rsid w:val="00154F6D"/>
    <w:rsid w:val="00156E02"/>
    <w:rsid w:val="001604ED"/>
    <w:rsid w:val="00160B44"/>
    <w:rsid w:val="00161AF9"/>
    <w:rsid w:val="00162854"/>
    <w:rsid w:val="001636D8"/>
    <w:rsid w:val="00163893"/>
    <w:rsid w:val="001647B7"/>
    <w:rsid w:val="0016534B"/>
    <w:rsid w:val="001655BF"/>
    <w:rsid w:val="001669A8"/>
    <w:rsid w:val="00170358"/>
    <w:rsid w:val="0017144B"/>
    <w:rsid w:val="001718D0"/>
    <w:rsid w:val="00171FD0"/>
    <w:rsid w:val="00172302"/>
    <w:rsid w:val="00172A27"/>
    <w:rsid w:val="00172ED2"/>
    <w:rsid w:val="001733DD"/>
    <w:rsid w:val="00173458"/>
    <w:rsid w:val="00173E49"/>
    <w:rsid w:val="00175852"/>
    <w:rsid w:val="001761D9"/>
    <w:rsid w:val="00176325"/>
    <w:rsid w:val="00176895"/>
    <w:rsid w:val="00177689"/>
    <w:rsid w:val="00180559"/>
    <w:rsid w:val="00180E30"/>
    <w:rsid w:val="00182069"/>
    <w:rsid w:val="001826A1"/>
    <w:rsid w:val="001833BE"/>
    <w:rsid w:val="001836EB"/>
    <w:rsid w:val="00184600"/>
    <w:rsid w:val="001846CC"/>
    <w:rsid w:val="00184869"/>
    <w:rsid w:val="0018494C"/>
    <w:rsid w:val="00185C77"/>
    <w:rsid w:val="0018603D"/>
    <w:rsid w:val="00186837"/>
    <w:rsid w:val="00186A11"/>
    <w:rsid w:val="00186A41"/>
    <w:rsid w:val="0018734E"/>
    <w:rsid w:val="00187403"/>
    <w:rsid w:val="00187789"/>
    <w:rsid w:val="00187B26"/>
    <w:rsid w:val="00187C89"/>
    <w:rsid w:val="001914FF"/>
    <w:rsid w:val="001916E1"/>
    <w:rsid w:val="00192339"/>
    <w:rsid w:val="0019241F"/>
    <w:rsid w:val="001926FD"/>
    <w:rsid w:val="00192F6E"/>
    <w:rsid w:val="0019302D"/>
    <w:rsid w:val="00193AC2"/>
    <w:rsid w:val="00194116"/>
    <w:rsid w:val="00194189"/>
    <w:rsid w:val="00194993"/>
    <w:rsid w:val="0019504F"/>
    <w:rsid w:val="0019535F"/>
    <w:rsid w:val="00195C1F"/>
    <w:rsid w:val="00195E60"/>
    <w:rsid w:val="001972A4"/>
    <w:rsid w:val="00197697"/>
    <w:rsid w:val="00197762"/>
    <w:rsid w:val="00197C06"/>
    <w:rsid w:val="001A01F7"/>
    <w:rsid w:val="001A072C"/>
    <w:rsid w:val="001A0D1E"/>
    <w:rsid w:val="001A14C2"/>
    <w:rsid w:val="001A3696"/>
    <w:rsid w:val="001A3792"/>
    <w:rsid w:val="001A3CFA"/>
    <w:rsid w:val="001A468C"/>
    <w:rsid w:val="001A5173"/>
    <w:rsid w:val="001A5BEE"/>
    <w:rsid w:val="001A6071"/>
    <w:rsid w:val="001A6084"/>
    <w:rsid w:val="001A686B"/>
    <w:rsid w:val="001A68CE"/>
    <w:rsid w:val="001A7587"/>
    <w:rsid w:val="001A7B1A"/>
    <w:rsid w:val="001A7E81"/>
    <w:rsid w:val="001B03A0"/>
    <w:rsid w:val="001B1203"/>
    <w:rsid w:val="001B1336"/>
    <w:rsid w:val="001B1EB6"/>
    <w:rsid w:val="001B1F45"/>
    <w:rsid w:val="001B2107"/>
    <w:rsid w:val="001B2F7C"/>
    <w:rsid w:val="001B2F8B"/>
    <w:rsid w:val="001B5130"/>
    <w:rsid w:val="001B5BF7"/>
    <w:rsid w:val="001B5D06"/>
    <w:rsid w:val="001B5DCC"/>
    <w:rsid w:val="001B6028"/>
    <w:rsid w:val="001C081E"/>
    <w:rsid w:val="001C0B34"/>
    <w:rsid w:val="001C255F"/>
    <w:rsid w:val="001C25D1"/>
    <w:rsid w:val="001C2C03"/>
    <w:rsid w:val="001C348D"/>
    <w:rsid w:val="001C45FB"/>
    <w:rsid w:val="001C596D"/>
    <w:rsid w:val="001C6DEC"/>
    <w:rsid w:val="001C6E79"/>
    <w:rsid w:val="001C72F0"/>
    <w:rsid w:val="001D1CD7"/>
    <w:rsid w:val="001D2923"/>
    <w:rsid w:val="001D555B"/>
    <w:rsid w:val="001D5C63"/>
    <w:rsid w:val="001D6584"/>
    <w:rsid w:val="001D673C"/>
    <w:rsid w:val="001E0CAD"/>
    <w:rsid w:val="001E0DDA"/>
    <w:rsid w:val="001E1394"/>
    <w:rsid w:val="001E23EF"/>
    <w:rsid w:val="001E36A5"/>
    <w:rsid w:val="001E3888"/>
    <w:rsid w:val="001E47FA"/>
    <w:rsid w:val="001E4DFB"/>
    <w:rsid w:val="001E632E"/>
    <w:rsid w:val="001E6758"/>
    <w:rsid w:val="001F12FC"/>
    <w:rsid w:val="001F18BE"/>
    <w:rsid w:val="001F1BDA"/>
    <w:rsid w:val="001F1E4A"/>
    <w:rsid w:val="001F1FBE"/>
    <w:rsid w:val="001F23D8"/>
    <w:rsid w:val="001F5D6B"/>
    <w:rsid w:val="001F605D"/>
    <w:rsid w:val="001F707C"/>
    <w:rsid w:val="001F708D"/>
    <w:rsid w:val="001F7461"/>
    <w:rsid w:val="00200EB5"/>
    <w:rsid w:val="00203023"/>
    <w:rsid w:val="00203BF7"/>
    <w:rsid w:val="00205672"/>
    <w:rsid w:val="00205764"/>
    <w:rsid w:val="00205A7F"/>
    <w:rsid w:val="00206EC7"/>
    <w:rsid w:val="002073FC"/>
    <w:rsid w:val="00210A58"/>
    <w:rsid w:val="00211BE5"/>
    <w:rsid w:val="00212C05"/>
    <w:rsid w:val="00213707"/>
    <w:rsid w:val="00214ACD"/>
    <w:rsid w:val="00214CD7"/>
    <w:rsid w:val="00215249"/>
    <w:rsid w:val="00215FC8"/>
    <w:rsid w:val="0021668D"/>
    <w:rsid w:val="00216B10"/>
    <w:rsid w:val="00216F88"/>
    <w:rsid w:val="002175EB"/>
    <w:rsid w:val="0021777A"/>
    <w:rsid w:val="002178F1"/>
    <w:rsid w:val="00217A1E"/>
    <w:rsid w:val="00220294"/>
    <w:rsid w:val="002212D7"/>
    <w:rsid w:val="00222098"/>
    <w:rsid w:val="00222514"/>
    <w:rsid w:val="0022270D"/>
    <w:rsid w:val="002236CE"/>
    <w:rsid w:val="00223B86"/>
    <w:rsid w:val="002240F5"/>
    <w:rsid w:val="002242A0"/>
    <w:rsid w:val="00224B3A"/>
    <w:rsid w:val="0022529F"/>
    <w:rsid w:val="00226A7F"/>
    <w:rsid w:val="002276E8"/>
    <w:rsid w:val="00227F0B"/>
    <w:rsid w:val="00230114"/>
    <w:rsid w:val="00232AEF"/>
    <w:rsid w:val="00232DEF"/>
    <w:rsid w:val="00233C59"/>
    <w:rsid w:val="0023408B"/>
    <w:rsid w:val="00235193"/>
    <w:rsid w:val="00235921"/>
    <w:rsid w:val="00235B57"/>
    <w:rsid w:val="0024036A"/>
    <w:rsid w:val="00241158"/>
    <w:rsid w:val="00241188"/>
    <w:rsid w:val="002437D4"/>
    <w:rsid w:val="00244622"/>
    <w:rsid w:val="00244A59"/>
    <w:rsid w:val="00244B52"/>
    <w:rsid w:val="00244F93"/>
    <w:rsid w:val="002454E1"/>
    <w:rsid w:val="00245992"/>
    <w:rsid w:val="00246C30"/>
    <w:rsid w:val="0024715D"/>
    <w:rsid w:val="00247306"/>
    <w:rsid w:val="00250CCA"/>
    <w:rsid w:val="002525BA"/>
    <w:rsid w:val="00252973"/>
    <w:rsid w:val="0025311B"/>
    <w:rsid w:val="0025373F"/>
    <w:rsid w:val="00253BCF"/>
    <w:rsid w:val="00253BFD"/>
    <w:rsid w:val="00253FDD"/>
    <w:rsid w:val="00255764"/>
    <w:rsid w:val="00256835"/>
    <w:rsid w:val="00256AE1"/>
    <w:rsid w:val="002572A4"/>
    <w:rsid w:val="00257570"/>
    <w:rsid w:val="002601EA"/>
    <w:rsid w:val="002609FF"/>
    <w:rsid w:val="00260A41"/>
    <w:rsid w:val="00260D6A"/>
    <w:rsid w:val="00260E63"/>
    <w:rsid w:val="002619C5"/>
    <w:rsid w:val="00262066"/>
    <w:rsid w:val="002622EC"/>
    <w:rsid w:val="00262EC9"/>
    <w:rsid w:val="00264CB2"/>
    <w:rsid w:val="00264D43"/>
    <w:rsid w:val="002654E6"/>
    <w:rsid w:val="00265E79"/>
    <w:rsid w:val="00266C57"/>
    <w:rsid w:val="00266E6F"/>
    <w:rsid w:val="0026770C"/>
    <w:rsid w:val="002703F9"/>
    <w:rsid w:val="0027140E"/>
    <w:rsid w:val="0027158F"/>
    <w:rsid w:val="00271F42"/>
    <w:rsid w:val="00273418"/>
    <w:rsid w:val="00274584"/>
    <w:rsid w:val="00275669"/>
    <w:rsid w:val="0027599E"/>
    <w:rsid w:val="00276B71"/>
    <w:rsid w:val="00280ACC"/>
    <w:rsid w:val="00281550"/>
    <w:rsid w:val="00281E32"/>
    <w:rsid w:val="00283117"/>
    <w:rsid w:val="00283197"/>
    <w:rsid w:val="00283E62"/>
    <w:rsid w:val="002845B8"/>
    <w:rsid w:val="002858A1"/>
    <w:rsid w:val="002862EB"/>
    <w:rsid w:val="002865D6"/>
    <w:rsid w:val="00286F7A"/>
    <w:rsid w:val="00286F9C"/>
    <w:rsid w:val="00287074"/>
    <w:rsid w:val="00291616"/>
    <w:rsid w:val="0029224B"/>
    <w:rsid w:val="002933AD"/>
    <w:rsid w:val="00294018"/>
    <w:rsid w:val="0029415C"/>
    <w:rsid w:val="00295839"/>
    <w:rsid w:val="00295FB3"/>
    <w:rsid w:val="00297571"/>
    <w:rsid w:val="0029786A"/>
    <w:rsid w:val="00297DD6"/>
    <w:rsid w:val="002A00EF"/>
    <w:rsid w:val="002A06C8"/>
    <w:rsid w:val="002A1068"/>
    <w:rsid w:val="002A19B1"/>
    <w:rsid w:val="002A1A20"/>
    <w:rsid w:val="002A1B4D"/>
    <w:rsid w:val="002A2A93"/>
    <w:rsid w:val="002A2E8F"/>
    <w:rsid w:val="002A2F3E"/>
    <w:rsid w:val="002A383F"/>
    <w:rsid w:val="002A38E1"/>
    <w:rsid w:val="002A585E"/>
    <w:rsid w:val="002A5A34"/>
    <w:rsid w:val="002A68A8"/>
    <w:rsid w:val="002A6E64"/>
    <w:rsid w:val="002A7312"/>
    <w:rsid w:val="002A7F29"/>
    <w:rsid w:val="002B280B"/>
    <w:rsid w:val="002B349C"/>
    <w:rsid w:val="002B3F80"/>
    <w:rsid w:val="002B458F"/>
    <w:rsid w:val="002B4C78"/>
    <w:rsid w:val="002B4DC2"/>
    <w:rsid w:val="002B5809"/>
    <w:rsid w:val="002B65E4"/>
    <w:rsid w:val="002B7316"/>
    <w:rsid w:val="002B77CB"/>
    <w:rsid w:val="002C0A48"/>
    <w:rsid w:val="002C1049"/>
    <w:rsid w:val="002C1C34"/>
    <w:rsid w:val="002C249C"/>
    <w:rsid w:val="002C43B4"/>
    <w:rsid w:val="002C49CD"/>
    <w:rsid w:val="002C4D36"/>
    <w:rsid w:val="002C57D9"/>
    <w:rsid w:val="002C5EEE"/>
    <w:rsid w:val="002C6237"/>
    <w:rsid w:val="002D0575"/>
    <w:rsid w:val="002D0D2C"/>
    <w:rsid w:val="002D1C14"/>
    <w:rsid w:val="002D1DDC"/>
    <w:rsid w:val="002D2F17"/>
    <w:rsid w:val="002D301A"/>
    <w:rsid w:val="002D3DDB"/>
    <w:rsid w:val="002D418A"/>
    <w:rsid w:val="002D45EC"/>
    <w:rsid w:val="002D6EE3"/>
    <w:rsid w:val="002E1B72"/>
    <w:rsid w:val="002E232E"/>
    <w:rsid w:val="002E28EF"/>
    <w:rsid w:val="002E389F"/>
    <w:rsid w:val="002E3CFE"/>
    <w:rsid w:val="002E41E9"/>
    <w:rsid w:val="002E4498"/>
    <w:rsid w:val="002E5073"/>
    <w:rsid w:val="002E6960"/>
    <w:rsid w:val="002E6BF1"/>
    <w:rsid w:val="002E7562"/>
    <w:rsid w:val="002E7B7B"/>
    <w:rsid w:val="002F0D94"/>
    <w:rsid w:val="002F0F7F"/>
    <w:rsid w:val="002F22FB"/>
    <w:rsid w:val="002F2559"/>
    <w:rsid w:val="002F3E84"/>
    <w:rsid w:val="002F558C"/>
    <w:rsid w:val="002F7938"/>
    <w:rsid w:val="002F7AE6"/>
    <w:rsid w:val="0030051F"/>
    <w:rsid w:val="00301319"/>
    <w:rsid w:val="0030281E"/>
    <w:rsid w:val="00302A43"/>
    <w:rsid w:val="0030314C"/>
    <w:rsid w:val="0030441F"/>
    <w:rsid w:val="0030511A"/>
    <w:rsid w:val="00305872"/>
    <w:rsid w:val="00305AA4"/>
    <w:rsid w:val="0030673D"/>
    <w:rsid w:val="00310D05"/>
    <w:rsid w:val="0031238A"/>
    <w:rsid w:val="00312BA2"/>
    <w:rsid w:val="00312CE0"/>
    <w:rsid w:val="00314556"/>
    <w:rsid w:val="00314E7B"/>
    <w:rsid w:val="00315A80"/>
    <w:rsid w:val="003161EE"/>
    <w:rsid w:val="00316AD8"/>
    <w:rsid w:val="00316DDA"/>
    <w:rsid w:val="003176CA"/>
    <w:rsid w:val="0031779B"/>
    <w:rsid w:val="003178C5"/>
    <w:rsid w:val="00317A55"/>
    <w:rsid w:val="00320CD4"/>
    <w:rsid w:val="00322AEA"/>
    <w:rsid w:val="00322B2A"/>
    <w:rsid w:val="003238EF"/>
    <w:rsid w:val="00323A3E"/>
    <w:rsid w:val="00323D7B"/>
    <w:rsid w:val="00325D5C"/>
    <w:rsid w:val="00330326"/>
    <w:rsid w:val="0033048D"/>
    <w:rsid w:val="00331BC1"/>
    <w:rsid w:val="003326CD"/>
    <w:rsid w:val="003331E0"/>
    <w:rsid w:val="003373C5"/>
    <w:rsid w:val="00337FD1"/>
    <w:rsid w:val="00340033"/>
    <w:rsid w:val="0034071C"/>
    <w:rsid w:val="003429FD"/>
    <w:rsid w:val="00343F16"/>
    <w:rsid w:val="00344082"/>
    <w:rsid w:val="003449C0"/>
    <w:rsid w:val="00345AAA"/>
    <w:rsid w:val="00346370"/>
    <w:rsid w:val="0035018A"/>
    <w:rsid w:val="0035038F"/>
    <w:rsid w:val="00350ECD"/>
    <w:rsid w:val="0035109B"/>
    <w:rsid w:val="00351498"/>
    <w:rsid w:val="003523C3"/>
    <w:rsid w:val="003526AC"/>
    <w:rsid w:val="003534BF"/>
    <w:rsid w:val="00354245"/>
    <w:rsid w:val="003544EE"/>
    <w:rsid w:val="00355728"/>
    <w:rsid w:val="00356552"/>
    <w:rsid w:val="00356764"/>
    <w:rsid w:val="00356806"/>
    <w:rsid w:val="00356ED5"/>
    <w:rsid w:val="00357158"/>
    <w:rsid w:val="00360061"/>
    <w:rsid w:val="00360D46"/>
    <w:rsid w:val="00361586"/>
    <w:rsid w:val="003617C3"/>
    <w:rsid w:val="003624E0"/>
    <w:rsid w:val="00362BBC"/>
    <w:rsid w:val="00363572"/>
    <w:rsid w:val="00363F38"/>
    <w:rsid w:val="00363F9A"/>
    <w:rsid w:val="00364DC4"/>
    <w:rsid w:val="00365C37"/>
    <w:rsid w:val="00365DAD"/>
    <w:rsid w:val="00366A6B"/>
    <w:rsid w:val="00366B82"/>
    <w:rsid w:val="003672B3"/>
    <w:rsid w:val="003675D2"/>
    <w:rsid w:val="00367B3F"/>
    <w:rsid w:val="00367E5B"/>
    <w:rsid w:val="00370551"/>
    <w:rsid w:val="003708C2"/>
    <w:rsid w:val="00370CAC"/>
    <w:rsid w:val="00370D2B"/>
    <w:rsid w:val="00371899"/>
    <w:rsid w:val="00372DCE"/>
    <w:rsid w:val="0037327A"/>
    <w:rsid w:val="00373696"/>
    <w:rsid w:val="003740FA"/>
    <w:rsid w:val="00374A1C"/>
    <w:rsid w:val="00375C21"/>
    <w:rsid w:val="003761D3"/>
    <w:rsid w:val="003766C2"/>
    <w:rsid w:val="00376A9F"/>
    <w:rsid w:val="003809E7"/>
    <w:rsid w:val="003827C4"/>
    <w:rsid w:val="0038381C"/>
    <w:rsid w:val="00383D2A"/>
    <w:rsid w:val="00383F22"/>
    <w:rsid w:val="0038453E"/>
    <w:rsid w:val="003855D5"/>
    <w:rsid w:val="003900BE"/>
    <w:rsid w:val="003922BF"/>
    <w:rsid w:val="003923A6"/>
    <w:rsid w:val="00392BB1"/>
    <w:rsid w:val="00392C29"/>
    <w:rsid w:val="003939EC"/>
    <w:rsid w:val="00393E7A"/>
    <w:rsid w:val="0039539E"/>
    <w:rsid w:val="0039555F"/>
    <w:rsid w:val="0039701B"/>
    <w:rsid w:val="00397A79"/>
    <w:rsid w:val="00397C01"/>
    <w:rsid w:val="003A095E"/>
    <w:rsid w:val="003A1975"/>
    <w:rsid w:val="003A1A98"/>
    <w:rsid w:val="003A20BA"/>
    <w:rsid w:val="003A3836"/>
    <w:rsid w:val="003A3912"/>
    <w:rsid w:val="003A39CA"/>
    <w:rsid w:val="003A39D2"/>
    <w:rsid w:val="003A41B8"/>
    <w:rsid w:val="003A4C4D"/>
    <w:rsid w:val="003A5CA8"/>
    <w:rsid w:val="003A613E"/>
    <w:rsid w:val="003A6E32"/>
    <w:rsid w:val="003A765F"/>
    <w:rsid w:val="003B0344"/>
    <w:rsid w:val="003B0C24"/>
    <w:rsid w:val="003B0C75"/>
    <w:rsid w:val="003B14B5"/>
    <w:rsid w:val="003B25DC"/>
    <w:rsid w:val="003B33EB"/>
    <w:rsid w:val="003B35FB"/>
    <w:rsid w:val="003B449E"/>
    <w:rsid w:val="003B4A5C"/>
    <w:rsid w:val="003B55A9"/>
    <w:rsid w:val="003B66FC"/>
    <w:rsid w:val="003B726B"/>
    <w:rsid w:val="003B74CD"/>
    <w:rsid w:val="003B7D2D"/>
    <w:rsid w:val="003C0127"/>
    <w:rsid w:val="003C0250"/>
    <w:rsid w:val="003C02FC"/>
    <w:rsid w:val="003C0B58"/>
    <w:rsid w:val="003C122A"/>
    <w:rsid w:val="003C1D38"/>
    <w:rsid w:val="003C212D"/>
    <w:rsid w:val="003C23CD"/>
    <w:rsid w:val="003C25EC"/>
    <w:rsid w:val="003C28D4"/>
    <w:rsid w:val="003C2B78"/>
    <w:rsid w:val="003C3397"/>
    <w:rsid w:val="003C43A3"/>
    <w:rsid w:val="003C47AD"/>
    <w:rsid w:val="003C6376"/>
    <w:rsid w:val="003D06F5"/>
    <w:rsid w:val="003D1226"/>
    <w:rsid w:val="003D13E9"/>
    <w:rsid w:val="003D264B"/>
    <w:rsid w:val="003D3A59"/>
    <w:rsid w:val="003D45A2"/>
    <w:rsid w:val="003D5198"/>
    <w:rsid w:val="003D5A3A"/>
    <w:rsid w:val="003D632D"/>
    <w:rsid w:val="003D693B"/>
    <w:rsid w:val="003D78E4"/>
    <w:rsid w:val="003E1DE4"/>
    <w:rsid w:val="003E21BD"/>
    <w:rsid w:val="003E25F0"/>
    <w:rsid w:val="003E31A9"/>
    <w:rsid w:val="003E31F5"/>
    <w:rsid w:val="003E34F6"/>
    <w:rsid w:val="003E40BD"/>
    <w:rsid w:val="003E411C"/>
    <w:rsid w:val="003E4329"/>
    <w:rsid w:val="003E45FF"/>
    <w:rsid w:val="003E4C1C"/>
    <w:rsid w:val="003E5B36"/>
    <w:rsid w:val="003E5FBE"/>
    <w:rsid w:val="003E71F8"/>
    <w:rsid w:val="003E7265"/>
    <w:rsid w:val="003F0736"/>
    <w:rsid w:val="003F1107"/>
    <w:rsid w:val="003F1868"/>
    <w:rsid w:val="003F1A47"/>
    <w:rsid w:val="003F3122"/>
    <w:rsid w:val="003F387A"/>
    <w:rsid w:val="003F39CE"/>
    <w:rsid w:val="003F3B17"/>
    <w:rsid w:val="003F54DB"/>
    <w:rsid w:val="003F564E"/>
    <w:rsid w:val="003F63C3"/>
    <w:rsid w:val="003F6798"/>
    <w:rsid w:val="004002B5"/>
    <w:rsid w:val="004007B9"/>
    <w:rsid w:val="0040097B"/>
    <w:rsid w:val="004018B3"/>
    <w:rsid w:val="00402133"/>
    <w:rsid w:val="00403512"/>
    <w:rsid w:val="00404A85"/>
    <w:rsid w:val="00405A3B"/>
    <w:rsid w:val="00405A43"/>
    <w:rsid w:val="00405EF9"/>
    <w:rsid w:val="00406D81"/>
    <w:rsid w:val="004105CE"/>
    <w:rsid w:val="00410EDA"/>
    <w:rsid w:val="004110B8"/>
    <w:rsid w:val="00411424"/>
    <w:rsid w:val="0041187A"/>
    <w:rsid w:val="00411919"/>
    <w:rsid w:val="00411A46"/>
    <w:rsid w:val="00412009"/>
    <w:rsid w:val="00412F71"/>
    <w:rsid w:val="004140F4"/>
    <w:rsid w:val="004147C9"/>
    <w:rsid w:val="0041707D"/>
    <w:rsid w:val="004178ED"/>
    <w:rsid w:val="00417CB0"/>
    <w:rsid w:val="00417E9B"/>
    <w:rsid w:val="00417ED1"/>
    <w:rsid w:val="00417F8B"/>
    <w:rsid w:val="00420487"/>
    <w:rsid w:val="00421822"/>
    <w:rsid w:val="00421AEF"/>
    <w:rsid w:val="00421FD0"/>
    <w:rsid w:val="004237CA"/>
    <w:rsid w:val="00423B23"/>
    <w:rsid w:val="00423C46"/>
    <w:rsid w:val="004240DF"/>
    <w:rsid w:val="004242F1"/>
    <w:rsid w:val="0042522C"/>
    <w:rsid w:val="004276BC"/>
    <w:rsid w:val="0042789A"/>
    <w:rsid w:val="00427CDC"/>
    <w:rsid w:val="0043124E"/>
    <w:rsid w:val="0043183E"/>
    <w:rsid w:val="00432BD1"/>
    <w:rsid w:val="00432FFD"/>
    <w:rsid w:val="00433C66"/>
    <w:rsid w:val="00433DFC"/>
    <w:rsid w:val="00433FD9"/>
    <w:rsid w:val="00434EFB"/>
    <w:rsid w:val="00436A43"/>
    <w:rsid w:val="00436BB0"/>
    <w:rsid w:val="00436C80"/>
    <w:rsid w:val="00437079"/>
    <w:rsid w:val="004374CF"/>
    <w:rsid w:val="004403CD"/>
    <w:rsid w:val="00441433"/>
    <w:rsid w:val="004437BE"/>
    <w:rsid w:val="00443B19"/>
    <w:rsid w:val="00444939"/>
    <w:rsid w:val="00444C5B"/>
    <w:rsid w:val="00445B31"/>
    <w:rsid w:val="00445D05"/>
    <w:rsid w:val="00446276"/>
    <w:rsid w:val="0044668E"/>
    <w:rsid w:val="00446E31"/>
    <w:rsid w:val="00446F4C"/>
    <w:rsid w:val="00447759"/>
    <w:rsid w:val="004477A9"/>
    <w:rsid w:val="004500DF"/>
    <w:rsid w:val="0045180A"/>
    <w:rsid w:val="00452362"/>
    <w:rsid w:val="004524D1"/>
    <w:rsid w:val="004532F4"/>
    <w:rsid w:val="0045366C"/>
    <w:rsid w:val="00453CAA"/>
    <w:rsid w:val="00456A8B"/>
    <w:rsid w:val="00456B21"/>
    <w:rsid w:val="004575BF"/>
    <w:rsid w:val="00457BFA"/>
    <w:rsid w:val="00457FB7"/>
    <w:rsid w:val="0046127C"/>
    <w:rsid w:val="004614F9"/>
    <w:rsid w:val="004615B7"/>
    <w:rsid w:val="00461E3F"/>
    <w:rsid w:val="0046233D"/>
    <w:rsid w:val="004624E2"/>
    <w:rsid w:val="00462F70"/>
    <w:rsid w:val="0046347F"/>
    <w:rsid w:val="00464454"/>
    <w:rsid w:val="0046464F"/>
    <w:rsid w:val="004647FF"/>
    <w:rsid w:val="00464898"/>
    <w:rsid w:val="0046529D"/>
    <w:rsid w:val="00465B90"/>
    <w:rsid w:val="00465BC6"/>
    <w:rsid w:val="0046664A"/>
    <w:rsid w:val="00466A75"/>
    <w:rsid w:val="0046745B"/>
    <w:rsid w:val="00467665"/>
    <w:rsid w:val="00467891"/>
    <w:rsid w:val="00467B1F"/>
    <w:rsid w:val="00470950"/>
    <w:rsid w:val="00470A21"/>
    <w:rsid w:val="004723BF"/>
    <w:rsid w:val="00472912"/>
    <w:rsid w:val="00472D93"/>
    <w:rsid w:val="0047414B"/>
    <w:rsid w:val="00475303"/>
    <w:rsid w:val="00475793"/>
    <w:rsid w:val="00475C1E"/>
    <w:rsid w:val="00476566"/>
    <w:rsid w:val="00476A78"/>
    <w:rsid w:val="0048032F"/>
    <w:rsid w:val="00480925"/>
    <w:rsid w:val="004817FD"/>
    <w:rsid w:val="00482AA0"/>
    <w:rsid w:val="00483155"/>
    <w:rsid w:val="004850DF"/>
    <w:rsid w:val="00487565"/>
    <w:rsid w:val="00490486"/>
    <w:rsid w:val="0049052A"/>
    <w:rsid w:val="00490885"/>
    <w:rsid w:val="0049116A"/>
    <w:rsid w:val="00491766"/>
    <w:rsid w:val="00492D31"/>
    <w:rsid w:val="0049336B"/>
    <w:rsid w:val="00493522"/>
    <w:rsid w:val="004947CF"/>
    <w:rsid w:val="004949A0"/>
    <w:rsid w:val="00496381"/>
    <w:rsid w:val="00496E79"/>
    <w:rsid w:val="004974B5"/>
    <w:rsid w:val="004978FC"/>
    <w:rsid w:val="004A02AA"/>
    <w:rsid w:val="004A15F1"/>
    <w:rsid w:val="004A2214"/>
    <w:rsid w:val="004A276F"/>
    <w:rsid w:val="004A2F27"/>
    <w:rsid w:val="004A41F2"/>
    <w:rsid w:val="004A4E28"/>
    <w:rsid w:val="004A5DA6"/>
    <w:rsid w:val="004A728A"/>
    <w:rsid w:val="004B0A90"/>
    <w:rsid w:val="004B1313"/>
    <w:rsid w:val="004B14EB"/>
    <w:rsid w:val="004B3DBE"/>
    <w:rsid w:val="004B5A1A"/>
    <w:rsid w:val="004B6656"/>
    <w:rsid w:val="004C021B"/>
    <w:rsid w:val="004C03CF"/>
    <w:rsid w:val="004C180C"/>
    <w:rsid w:val="004C1F81"/>
    <w:rsid w:val="004C20ED"/>
    <w:rsid w:val="004C294B"/>
    <w:rsid w:val="004C4ECA"/>
    <w:rsid w:val="004C55FF"/>
    <w:rsid w:val="004C5641"/>
    <w:rsid w:val="004C69A8"/>
    <w:rsid w:val="004C6D21"/>
    <w:rsid w:val="004C6E64"/>
    <w:rsid w:val="004C7597"/>
    <w:rsid w:val="004C77A3"/>
    <w:rsid w:val="004D0341"/>
    <w:rsid w:val="004D23B0"/>
    <w:rsid w:val="004D2D45"/>
    <w:rsid w:val="004D3000"/>
    <w:rsid w:val="004D307C"/>
    <w:rsid w:val="004D3490"/>
    <w:rsid w:val="004D47FB"/>
    <w:rsid w:val="004D52D4"/>
    <w:rsid w:val="004D55F1"/>
    <w:rsid w:val="004D6FE8"/>
    <w:rsid w:val="004D7B50"/>
    <w:rsid w:val="004D7FC1"/>
    <w:rsid w:val="004E01D5"/>
    <w:rsid w:val="004E02E2"/>
    <w:rsid w:val="004E05B0"/>
    <w:rsid w:val="004E14FD"/>
    <w:rsid w:val="004E18D4"/>
    <w:rsid w:val="004E21C3"/>
    <w:rsid w:val="004E3CCC"/>
    <w:rsid w:val="004E48B6"/>
    <w:rsid w:val="004E4BA6"/>
    <w:rsid w:val="004E55F7"/>
    <w:rsid w:val="004E636E"/>
    <w:rsid w:val="004E67D5"/>
    <w:rsid w:val="004E6DF7"/>
    <w:rsid w:val="004E7773"/>
    <w:rsid w:val="004F0BEE"/>
    <w:rsid w:val="004F0C40"/>
    <w:rsid w:val="004F0F8F"/>
    <w:rsid w:val="004F1123"/>
    <w:rsid w:val="004F121E"/>
    <w:rsid w:val="004F243B"/>
    <w:rsid w:val="004F324C"/>
    <w:rsid w:val="004F47DC"/>
    <w:rsid w:val="004F4BCB"/>
    <w:rsid w:val="004F502A"/>
    <w:rsid w:val="004F582C"/>
    <w:rsid w:val="004F5960"/>
    <w:rsid w:val="004F5E7C"/>
    <w:rsid w:val="004F65B5"/>
    <w:rsid w:val="004F685D"/>
    <w:rsid w:val="004F7103"/>
    <w:rsid w:val="005001AC"/>
    <w:rsid w:val="00500CA0"/>
    <w:rsid w:val="00500D00"/>
    <w:rsid w:val="00500F8B"/>
    <w:rsid w:val="005019F8"/>
    <w:rsid w:val="00501F5A"/>
    <w:rsid w:val="00502368"/>
    <w:rsid w:val="005038AE"/>
    <w:rsid w:val="0050449E"/>
    <w:rsid w:val="0050535D"/>
    <w:rsid w:val="0050549D"/>
    <w:rsid w:val="005054AF"/>
    <w:rsid w:val="00505744"/>
    <w:rsid w:val="0050588C"/>
    <w:rsid w:val="005061A8"/>
    <w:rsid w:val="0050778D"/>
    <w:rsid w:val="00507EC1"/>
    <w:rsid w:val="00510076"/>
    <w:rsid w:val="005102BB"/>
    <w:rsid w:val="005106C7"/>
    <w:rsid w:val="00510DCC"/>
    <w:rsid w:val="00512CB2"/>
    <w:rsid w:val="005133B7"/>
    <w:rsid w:val="00513AFF"/>
    <w:rsid w:val="00513C70"/>
    <w:rsid w:val="005144AB"/>
    <w:rsid w:val="00515845"/>
    <w:rsid w:val="0051595F"/>
    <w:rsid w:val="00516421"/>
    <w:rsid w:val="00520496"/>
    <w:rsid w:val="00520CA9"/>
    <w:rsid w:val="0052109E"/>
    <w:rsid w:val="005212BE"/>
    <w:rsid w:val="0052229A"/>
    <w:rsid w:val="005225DD"/>
    <w:rsid w:val="00522C80"/>
    <w:rsid w:val="00523182"/>
    <w:rsid w:val="00523299"/>
    <w:rsid w:val="00523615"/>
    <w:rsid w:val="00524D7B"/>
    <w:rsid w:val="00524DFD"/>
    <w:rsid w:val="005252EE"/>
    <w:rsid w:val="0052623C"/>
    <w:rsid w:val="00526949"/>
    <w:rsid w:val="0052723D"/>
    <w:rsid w:val="005277A9"/>
    <w:rsid w:val="00527AB2"/>
    <w:rsid w:val="005304D6"/>
    <w:rsid w:val="00530A64"/>
    <w:rsid w:val="0053106D"/>
    <w:rsid w:val="00532687"/>
    <w:rsid w:val="00532F24"/>
    <w:rsid w:val="005332B6"/>
    <w:rsid w:val="00534A0B"/>
    <w:rsid w:val="0053586C"/>
    <w:rsid w:val="00535E56"/>
    <w:rsid w:val="005362C1"/>
    <w:rsid w:val="00536CF7"/>
    <w:rsid w:val="00540877"/>
    <w:rsid w:val="0054102D"/>
    <w:rsid w:val="00541344"/>
    <w:rsid w:val="0054165B"/>
    <w:rsid w:val="00542BC4"/>
    <w:rsid w:val="00542C04"/>
    <w:rsid w:val="005436B3"/>
    <w:rsid w:val="005438BE"/>
    <w:rsid w:val="00544DAB"/>
    <w:rsid w:val="00545169"/>
    <w:rsid w:val="00545588"/>
    <w:rsid w:val="00545CC7"/>
    <w:rsid w:val="00545D4E"/>
    <w:rsid w:val="00546198"/>
    <w:rsid w:val="00546376"/>
    <w:rsid w:val="00547557"/>
    <w:rsid w:val="00547622"/>
    <w:rsid w:val="00547869"/>
    <w:rsid w:val="0055050A"/>
    <w:rsid w:val="00550C7A"/>
    <w:rsid w:val="005510CA"/>
    <w:rsid w:val="005517E0"/>
    <w:rsid w:val="005521BA"/>
    <w:rsid w:val="005524E2"/>
    <w:rsid w:val="005536C1"/>
    <w:rsid w:val="0055385D"/>
    <w:rsid w:val="00553A22"/>
    <w:rsid w:val="00554636"/>
    <w:rsid w:val="00555D16"/>
    <w:rsid w:val="00555E8D"/>
    <w:rsid w:val="00556038"/>
    <w:rsid w:val="00556517"/>
    <w:rsid w:val="00556CD5"/>
    <w:rsid w:val="00556FF9"/>
    <w:rsid w:val="005600A5"/>
    <w:rsid w:val="0056058B"/>
    <w:rsid w:val="005607A1"/>
    <w:rsid w:val="005608D9"/>
    <w:rsid w:val="00561936"/>
    <w:rsid w:val="005623C5"/>
    <w:rsid w:val="005628B6"/>
    <w:rsid w:val="00562ABE"/>
    <w:rsid w:val="00563BE6"/>
    <w:rsid w:val="00564BFA"/>
    <w:rsid w:val="00564D8E"/>
    <w:rsid w:val="005652ED"/>
    <w:rsid w:val="00566612"/>
    <w:rsid w:val="00571D9F"/>
    <w:rsid w:val="00571E40"/>
    <w:rsid w:val="0057247E"/>
    <w:rsid w:val="005727E9"/>
    <w:rsid w:val="00572A1F"/>
    <w:rsid w:val="00574705"/>
    <w:rsid w:val="00575B4E"/>
    <w:rsid w:val="0057756A"/>
    <w:rsid w:val="00577FB1"/>
    <w:rsid w:val="005812DF"/>
    <w:rsid w:val="00583A86"/>
    <w:rsid w:val="00583DB1"/>
    <w:rsid w:val="00585B4E"/>
    <w:rsid w:val="005867E0"/>
    <w:rsid w:val="00587F92"/>
    <w:rsid w:val="00590B3D"/>
    <w:rsid w:val="00590D48"/>
    <w:rsid w:val="005927D0"/>
    <w:rsid w:val="00593BA4"/>
    <w:rsid w:val="0059544B"/>
    <w:rsid w:val="00596DBB"/>
    <w:rsid w:val="005971EC"/>
    <w:rsid w:val="0059724C"/>
    <w:rsid w:val="00597C77"/>
    <w:rsid w:val="005A04A5"/>
    <w:rsid w:val="005A11C1"/>
    <w:rsid w:val="005A1435"/>
    <w:rsid w:val="005A1E67"/>
    <w:rsid w:val="005A2A2E"/>
    <w:rsid w:val="005A2AF1"/>
    <w:rsid w:val="005A3563"/>
    <w:rsid w:val="005A3A7C"/>
    <w:rsid w:val="005A3B36"/>
    <w:rsid w:val="005A3EC1"/>
    <w:rsid w:val="005A4C3F"/>
    <w:rsid w:val="005A4C8E"/>
    <w:rsid w:val="005A4F00"/>
    <w:rsid w:val="005A4F2A"/>
    <w:rsid w:val="005A601D"/>
    <w:rsid w:val="005A62E2"/>
    <w:rsid w:val="005A6787"/>
    <w:rsid w:val="005A6BB5"/>
    <w:rsid w:val="005A7FAC"/>
    <w:rsid w:val="005B0508"/>
    <w:rsid w:val="005B19D0"/>
    <w:rsid w:val="005B1F3D"/>
    <w:rsid w:val="005B2A3E"/>
    <w:rsid w:val="005B3A96"/>
    <w:rsid w:val="005B3C49"/>
    <w:rsid w:val="005B3FDD"/>
    <w:rsid w:val="005B5700"/>
    <w:rsid w:val="005B593D"/>
    <w:rsid w:val="005B5B14"/>
    <w:rsid w:val="005B5F2E"/>
    <w:rsid w:val="005B5F45"/>
    <w:rsid w:val="005B6135"/>
    <w:rsid w:val="005B6194"/>
    <w:rsid w:val="005B6364"/>
    <w:rsid w:val="005B6885"/>
    <w:rsid w:val="005B7AFE"/>
    <w:rsid w:val="005C2A6A"/>
    <w:rsid w:val="005C39F8"/>
    <w:rsid w:val="005C431B"/>
    <w:rsid w:val="005C4C75"/>
    <w:rsid w:val="005C4E52"/>
    <w:rsid w:val="005C5E67"/>
    <w:rsid w:val="005C6F4D"/>
    <w:rsid w:val="005C73A5"/>
    <w:rsid w:val="005C7F9B"/>
    <w:rsid w:val="005D0706"/>
    <w:rsid w:val="005D1364"/>
    <w:rsid w:val="005D192D"/>
    <w:rsid w:val="005D1A3F"/>
    <w:rsid w:val="005D1B30"/>
    <w:rsid w:val="005D35A0"/>
    <w:rsid w:val="005D48EB"/>
    <w:rsid w:val="005D4A1F"/>
    <w:rsid w:val="005D4BBA"/>
    <w:rsid w:val="005D6236"/>
    <w:rsid w:val="005D6CC8"/>
    <w:rsid w:val="005D7361"/>
    <w:rsid w:val="005D7395"/>
    <w:rsid w:val="005D7838"/>
    <w:rsid w:val="005E0735"/>
    <w:rsid w:val="005E091D"/>
    <w:rsid w:val="005E0C87"/>
    <w:rsid w:val="005E231C"/>
    <w:rsid w:val="005E247D"/>
    <w:rsid w:val="005E2CD8"/>
    <w:rsid w:val="005E3CC0"/>
    <w:rsid w:val="005E51FB"/>
    <w:rsid w:val="005E55AA"/>
    <w:rsid w:val="005E6091"/>
    <w:rsid w:val="005E6481"/>
    <w:rsid w:val="005E6597"/>
    <w:rsid w:val="005E6647"/>
    <w:rsid w:val="005E6B5E"/>
    <w:rsid w:val="005E737B"/>
    <w:rsid w:val="005E7903"/>
    <w:rsid w:val="005F13AE"/>
    <w:rsid w:val="005F2BD6"/>
    <w:rsid w:val="005F4D5A"/>
    <w:rsid w:val="005F6EC9"/>
    <w:rsid w:val="005F757F"/>
    <w:rsid w:val="005F75A3"/>
    <w:rsid w:val="005F77C5"/>
    <w:rsid w:val="0060097E"/>
    <w:rsid w:val="00600E71"/>
    <w:rsid w:val="00602E4F"/>
    <w:rsid w:val="0060344F"/>
    <w:rsid w:val="006035FE"/>
    <w:rsid w:val="006038F1"/>
    <w:rsid w:val="00603E8B"/>
    <w:rsid w:val="006040B5"/>
    <w:rsid w:val="00604581"/>
    <w:rsid w:val="00604603"/>
    <w:rsid w:val="00604D32"/>
    <w:rsid w:val="00605154"/>
    <w:rsid w:val="00605AF5"/>
    <w:rsid w:val="00606481"/>
    <w:rsid w:val="006065EA"/>
    <w:rsid w:val="00606968"/>
    <w:rsid w:val="006070AE"/>
    <w:rsid w:val="00607DF3"/>
    <w:rsid w:val="00610262"/>
    <w:rsid w:val="00611554"/>
    <w:rsid w:val="006123AA"/>
    <w:rsid w:val="006127A3"/>
    <w:rsid w:val="00612D0A"/>
    <w:rsid w:val="00612D5C"/>
    <w:rsid w:val="00612F05"/>
    <w:rsid w:val="00613481"/>
    <w:rsid w:val="00614062"/>
    <w:rsid w:val="006140FB"/>
    <w:rsid w:val="006142C7"/>
    <w:rsid w:val="0061469E"/>
    <w:rsid w:val="006151DD"/>
    <w:rsid w:val="006152E4"/>
    <w:rsid w:val="00616226"/>
    <w:rsid w:val="006163EE"/>
    <w:rsid w:val="006172CA"/>
    <w:rsid w:val="006175FF"/>
    <w:rsid w:val="00617A8A"/>
    <w:rsid w:val="00622279"/>
    <w:rsid w:val="006223CA"/>
    <w:rsid w:val="00622694"/>
    <w:rsid w:val="00622971"/>
    <w:rsid w:val="0062375E"/>
    <w:rsid w:val="006238B4"/>
    <w:rsid w:val="00623B51"/>
    <w:rsid w:val="0062418D"/>
    <w:rsid w:val="00624AF8"/>
    <w:rsid w:val="00625D9F"/>
    <w:rsid w:val="006279BE"/>
    <w:rsid w:val="00627BD7"/>
    <w:rsid w:val="00627F5E"/>
    <w:rsid w:val="00630122"/>
    <w:rsid w:val="00630D1E"/>
    <w:rsid w:val="006312B4"/>
    <w:rsid w:val="006328E8"/>
    <w:rsid w:val="00632964"/>
    <w:rsid w:val="00633751"/>
    <w:rsid w:val="006337FA"/>
    <w:rsid w:val="00633832"/>
    <w:rsid w:val="00633D2C"/>
    <w:rsid w:val="00633F67"/>
    <w:rsid w:val="00634C5D"/>
    <w:rsid w:val="00635E77"/>
    <w:rsid w:val="0063626A"/>
    <w:rsid w:val="006370CC"/>
    <w:rsid w:val="006371F7"/>
    <w:rsid w:val="00637B60"/>
    <w:rsid w:val="00640C8B"/>
    <w:rsid w:val="00640E3E"/>
    <w:rsid w:val="00641572"/>
    <w:rsid w:val="0064217B"/>
    <w:rsid w:val="00642D95"/>
    <w:rsid w:val="0064315A"/>
    <w:rsid w:val="00643E74"/>
    <w:rsid w:val="00643E83"/>
    <w:rsid w:val="00644C2C"/>
    <w:rsid w:val="00644F77"/>
    <w:rsid w:val="006452E1"/>
    <w:rsid w:val="00646742"/>
    <w:rsid w:val="00646DC4"/>
    <w:rsid w:val="0064730A"/>
    <w:rsid w:val="006478E3"/>
    <w:rsid w:val="00647BBA"/>
    <w:rsid w:val="0065158B"/>
    <w:rsid w:val="006516B3"/>
    <w:rsid w:val="00651B15"/>
    <w:rsid w:val="006521DE"/>
    <w:rsid w:val="0065262A"/>
    <w:rsid w:val="006537D0"/>
    <w:rsid w:val="00653E02"/>
    <w:rsid w:val="00653FFE"/>
    <w:rsid w:val="00654EA4"/>
    <w:rsid w:val="0065559B"/>
    <w:rsid w:val="006555FA"/>
    <w:rsid w:val="006567A9"/>
    <w:rsid w:val="00657C53"/>
    <w:rsid w:val="00660228"/>
    <w:rsid w:val="006602BB"/>
    <w:rsid w:val="0066156E"/>
    <w:rsid w:val="00662847"/>
    <w:rsid w:val="00662F3E"/>
    <w:rsid w:val="00664426"/>
    <w:rsid w:val="00664454"/>
    <w:rsid w:val="00665D1C"/>
    <w:rsid w:val="006665EB"/>
    <w:rsid w:val="00670079"/>
    <w:rsid w:val="006706F9"/>
    <w:rsid w:val="00670844"/>
    <w:rsid w:val="006720AA"/>
    <w:rsid w:val="006730E3"/>
    <w:rsid w:val="00674143"/>
    <w:rsid w:val="006743BA"/>
    <w:rsid w:val="00674E8C"/>
    <w:rsid w:val="00676AF9"/>
    <w:rsid w:val="00676B40"/>
    <w:rsid w:val="006773D2"/>
    <w:rsid w:val="00677A54"/>
    <w:rsid w:val="00677B4E"/>
    <w:rsid w:val="00677D63"/>
    <w:rsid w:val="00680AA7"/>
    <w:rsid w:val="0068245E"/>
    <w:rsid w:val="0068316E"/>
    <w:rsid w:val="00683914"/>
    <w:rsid w:val="00683E72"/>
    <w:rsid w:val="0068430E"/>
    <w:rsid w:val="006845BE"/>
    <w:rsid w:val="006854D8"/>
    <w:rsid w:val="00685532"/>
    <w:rsid w:val="00685677"/>
    <w:rsid w:val="00685B5D"/>
    <w:rsid w:val="00685FB6"/>
    <w:rsid w:val="006866AF"/>
    <w:rsid w:val="00686FEB"/>
    <w:rsid w:val="006901EE"/>
    <w:rsid w:val="006916EC"/>
    <w:rsid w:val="0069209F"/>
    <w:rsid w:val="006926AD"/>
    <w:rsid w:val="00693651"/>
    <w:rsid w:val="00693B35"/>
    <w:rsid w:val="00693FA3"/>
    <w:rsid w:val="00694B83"/>
    <w:rsid w:val="00695ED6"/>
    <w:rsid w:val="006966AE"/>
    <w:rsid w:val="00696828"/>
    <w:rsid w:val="006976B0"/>
    <w:rsid w:val="00697B01"/>
    <w:rsid w:val="006A170B"/>
    <w:rsid w:val="006A1D1D"/>
    <w:rsid w:val="006A2353"/>
    <w:rsid w:val="006A289C"/>
    <w:rsid w:val="006A39E5"/>
    <w:rsid w:val="006A3AAC"/>
    <w:rsid w:val="006A3ABF"/>
    <w:rsid w:val="006A5C38"/>
    <w:rsid w:val="006A6199"/>
    <w:rsid w:val="006A6457"/>
    <w:rsid w:val="006A6A4A"/>
    <w:rsid w:val="006A6BB1"/>
    <w:rsid w:val="006A6E55"/>
    <w:rsid w:val="006A748F"/>
    <w:rsid w:val="006A7B80"/>
    <w:rsid w:val="006B0F22"/>
    <w:rsid w:val="006B30E5"/>
    <w:rsid w:val="006B34CB"/>
    <w:rsid w:val="006B5469"/>
    <w:rsid w:val="006B5BEE"/>
    <w:rsid w:val="006B66D8"/>
    <w:rsid w:val="006B6C0A"/>
    <w:rsid w:val="006C0237"/>
    <w:rsid w:val="006C0574"/>
    <w:rsid w:val="006C08AC"/>
    <w:rsid w:val="006C0FB7"/>
    <w:rsid w:val="006C2170"/>
    <w:rsid w:val="006C2879"/>
    <w:rsid w:val="006C2A5C"/>
    <w:rsid w:val="006C308C"/>
    <w:rsid w:val="006C33E8"/>
    <w:rsid w:val="006C3AF8"/>
    <w:rsid w:val="006C465C"/>
    <w:rsid w:val="006C4FEC"/>
    <w:rsid w:val="006C529E"/>
    <w:rsid w:val="006C5512"/>
    <w:rsid w:val="006C5904"/>
    <w:rsid w:val="006C645F"/>
    <w:rsid w:val="006C6CBE"/>
    <w:rsid w:val="006C6D08"/>
    <w:rsid w:val="006C6DC6"/>
    <w:rsid w:val="006C75B9"/>
    <w:rsid w:val="006C75E7"/>
    <w:rsid w:val="006D0320"/>
    <w:rsid w:val="006D05DA"/>
    <w:rsid w:val="006D15C1"/>
    <w:rsid w:val="006D17E5"/>
    <w:rsid w:val="006D1BD1"/>
    <w:rsid w:val="006D2376"/>
    <w:rsid w:val="006D3264"/>
    <w:rsid w:val="006D438A"/>
    <w:rsid w:val="006D4829"/>
    <w:rsid w:val="006D4C4C"/>
    <w:rsid w:val="006D5794"/>
    <w:rsid w:val="006D603E"/>
    <w:rsid w:val="006D6121"/>
    <w:rsid w:val="006D643E"/>
    <w:rsid w:val="006D7426"/>
    <w:rsid w:val="006D7BDB"/>
    <w:rsid w:val="006E0453"/>
    <w:rsid w:val="006E05B1"/>
    <w:rsid w:val="006E09C4"/>
    <w:rsid w:val="006E2AF1"/>
    <w:rsid w:val="006E3014"/>
    <w:rsid w:val="006E3D82"/>
    <w:rsid w:val="006E466D"/>
    <w:rsid w:val="006E5031"/>
    <w:rsid w:val="006E5A99"/>
    <w:rsid w:val="006E617D"/>
    <w:rsid w:val="006E7C0E"/>
    <w:rsid w:val="006F0FDD"/>
    <w:rsid w:val="006F2558"/>
    <w:rsid w:val="006F266D"/>
    <w:rsid w:val="006F31BA"/>
    <w:rsid w:val="006F39BF"/>
    <w:rsid w:val="006F4A39"/>
    <w:rsid w:val="006F515D"/>
    <w:rsid w:val="006F6370"/>
    <w:rsid w:val="006F65D2"/>
    <w:rsid w:val="006F7CE8"/>
    <w:rsid w:val="006F7E67"/>
    <w:rsid w:val="0070007A"/>
    <w:rsid w:val="00701469"/>
    <w:rsid w:val="00701D7C"/>
    <w:rsid w:val="00701F43"/>
    <w:rsid w:val="00702059"/>
    <w:rsid w:val="007023D0"/>
    <w:rsid w:val="00702788"/>
    <w:rsid w:val="0070392C"/>
    <w:rsid w:val="007042A1"/>
    <w:rsid w:val="0070608C"/>
    <w:rsid w:val="00706137"/>
    <w:rsid w:val="00706E38"/>
    <w:rsid w:val="00706FC8"/>
    <w:rsid w:val="00707805"/>
    <w:rsid w:val="00707922"/>
    <w:rsid w:val="00707ECF"/>
    <w:rsid w:val="0071150F"/>
    <w:rsid w:val="007119F4"/>
    <w:rsid w:val="00713172"/>
    <w:rsid w:val="00713E44"/>
    <w:rsid w:val="0071445D"/>
    <w:rsid w:val="007153E3"/>
    <w:rsid w:val="00715D6F"/>
    <w:rsid w:val="00715DD8"/>
    <w:rsid w:val="007177BB"/>
    <w:rsid w:val="00720394"/>
    <w:rsid w:val="0072047F"/>
    <w:rsid w:val="00720949"/>
    <w:rsid w:val="00720C5E"/>
    <w:rsid w:val="00720F31"/>
    <w:rsid w:val="00721145"/>
    <w:rsid w:val="0072182C"/>
    <w:rsid w:val="00721A9E"/>
    <w:rsid w:val="00722A4F"/>
    <w:rsid w:val="00723090"/>
    <w:rsid w:val="00723612"/>
    <w:rsid w:val="00723DFC"/>
    <w:rsid w:val="00723FAE"/>
    <w:rsid w:val="00724099"/>
    <w:rsid w:val="007242B3"/>
    <w:rsid w:val="007251EB"/>
    <w:rsid w:val="00725313"/>
    <w:rsid w:val="00725B91"/>
    <w:rsid w:val="00725F4D"/>
    <w:rsid w:val="0072653D"/>
    <w:rsid w:val="00726577"/>
    <w:rsid w:val="007265B5"/>
    <w:rsid w:val="007272EE"/>
    <w:rsid w:val="00727B33"/>
    <w:rsid w:val="00727D57"/>
    <w:rsid w:val="0073077E"/>
    <w:rsid w:val="00731A82"/>
    <w:rsid w:val="00731B27"/>
    <w:rsid w:val="00731CD2"/>
    <w:rsid w:val="00731FBF"/>
    <w:rsid w:val="00732D7A"/>
    <w:rsid w:val="00732E38"/>
    <w:rsid w:val="00733602"/>
    <w:rsid w:val="00733AC8"/>
    <w:rsid w:val="007377EC"/>
    <w:rsid w:val="0074012A"/>
    <w:rsid w:val="007414E0"/>
    <w:rsid w:val="00741F10"/>
    <w:rsid w:val="00741F2C"/>
    <w:rsid w:val="007420D2"/>
    <w:rsid w:val="0074318F"/>
    <w:rsid w:val="0074379B"/>
    <w:rsid w:val="00743DB6"/>
    <w:rsid w:val="0074516F"/>
    <w:rsid w:val="007455CA"/>
    <w:rsid w:val="00746A95"/>
    <w:rsid w:val="007510CB"/>
    <w:rsid w:val="00752094"/>
    <w:rsid w:val="00752993"/>
    <w:rsid w:val="00752B90"/>
    <w:rsid w:val="00752DF6"/>
    <w:rsid w:val="0075409C"/>
    <w:rsid w:val="00754F17"/>
    <w:rsid w:val="00754FBF"/>
    <w:rsid w:val="0075518E"/>
    <w:rsid w:val="007554F8"/>
    <w:rsid w:val="00755B1C"/>
    <w:rsid w:val="00756995"/>
    <w:rsid w:val="00756E18"/>
    <w:rsid w:val="00756EE0"/>
    <w:rsid w:val="00757A1D"/>
    <w:rsid w:val="00757D03"/>
    <w:rsid w:val="00760CB2"/>
    <w:rsid w:val="00761971"/>
    <w:rsid w:val="00762497"/>
    <w:rsid w:val="00762A3A"/>
    <w:rsid w:val="00762B3E"/>
    <w:rsid w:val="00762B86"/>
    <w:rsid w:val="00763A4A"/>
    <w:rsid w:val="00764886"/>
    <w:rsid w:val="00765FCE"/>
    <w:rsid w:val="007661E7"/>
    <w:rsid w:val="007667C8"/>
    <w:rsid w:val="00766A21"/>
    <w:rsid w:val="0076791C"/>
    <w:rsid w:val="00771B44"/>
    <w:rsid w:val="00771CF8"/>
    <w:rsid w:val="00771DFA"/>
    <w:rsid w:val="00771F1A"/>
    <w:rsid w:val="007729C0"/>
    <w:rsid w:val="00772C93"/>
    <w:rsid w:val="00772F9A"/>
    <w:rsid w:val="00773E05"/>
    <w:rsid w:val="00774C22"/>
    <w:rsid w:val="00774F29"/>
    <w:rsid w:val="00774FAF"/>
    <w:rsid w:val="007759A3"/>
    <w:rsid w:val="00775E87"/>
    <w:rsid w:val="00776AAC"/>
    <w:rsid w:val="007800E2"/>
    <w:rsid w:val="0078057B"/>
    <w:rsid w:val="00780B9E"/>
    <w:rsid w:val="00780C20"/>
    <w:rsid w:val="00781281"/>
    <w:rsid w:val="00782B25"/>
    <w:rsid w:val="0078327D"/>
    <w:rsid w:val="00783317"/>
    <w:rsid w:val="007844EE"/>
    <w:rsid w:val="00784D35"/>
    <w:rsid w:val="00784E1D"/>
    <w:rsid w:val="00785E28"/>
    <w:rsid w:val="00786641"/>
    <w:rsid w:val="00786CAB"/>
    <w:rsid w:val="007874C3"/>
    <w:rsid w:val="007908A3"/>
    <w:rsid w:val="00790BB2"/>
    <w:rsid w:val="00791FE9"/>
    <w:rsid w:val="0079250E"/>
    <w:rsid w:val="00792EDD"/>
    <w:rsid w:val="00793B79"/>
    <w:rsid w:val="0079436C"/>
    <w:rsid w:val="00794479"/>
    <w:rsid w:val="0079493C"/>
    <w:rsid w:val="00794C6D"/>
    <w:rsid w:val="00794D16"/>
    <w:rsid w:val="00794F6B"/>
    <w:rsid w:val="00795426"/>
    <w:rsid w:val="007974AF"/>
    <w:rsid w:val="007A0175"/>
    <w:rsid w:val="007A0B49"/>
    <w:rsid w:val="007A1111"/>
    <w:rsid w:val="007A126A"/>
    <w:rsid w:val="007A2E23"/>
    <w:rsid w:val="007A317D"/>
    <w:rsid w:val="007A3C14"/>
    <w:rsid w:val="007A3F66"/>
    <w:rsid w:val="007A446C"/>
    <w:rsid w:val="007A48CA"/>
    <w:rsid w:val="007A73C1"/>
    <w:rsid w:val="007B118E"/>
    <w:rsid w:val="007B2761"/>
    <w:rsid w:val="007B332B"/>
    <w:rsid w:val="007B33BB"/>
    <w:rsid w:val="007B3564"/>
    <w:rsid w:val="007B3684"/>
    <w:rsid w:val="007B670A"/>
    <w:rsid w:val="007B6B0F"/>
    <w:rsid w:val="007B6C6E"/>
    <w:rsid w:val="007B6FE4"/>
    <w:rsid w:val="007B73A6"/>
    <w:rsid w:val="007B7CBD"/>
    <w:rsid w:val="007C0468"/>
    <w:rsid w:val="007C0A10"/>
    <w:rsid w:val="007C0A23"/>
    <w:rsid w:val="007C0F8B"/>
    <w:rsid w:val="007C1094"/>
    <w:rsid w:val="007C1775"/>
    <w:rsid w:val="007C27AA"/>
    <w:rsid w:val="007C3DBA"/>
    <w:rsid w:val="007C4233"/>
    <w:rsid w:val="007C42A4"/>
    <w:rsid w:val="007C44E1"/>
    <w:rsid w:val="007C6290"/>
    <w:rsid w:val="007C6A00"/>
    <w:rsid w:val="007C70F9"/>
    <w:rsid w:val="007D08A9"/>
    <w:rsid w:val="007D12C7"/>
    <w:rsid w:val="007D15BE"/>
    <w:rsid w:val="007D19CC"/>
    <w:rsid w:val="007D1E93"/>
    <w:rsid w:val="007D3754"/>
    <w:rsid w:val="007D3C1F"/>
    <w:rsid w:val="007D3DD0"/>
    <w:rsid w:val="007D4565"/>
    <w:rsid w:val="007D4C3B"/>
    <w:rsid w:val="007D4C6B"/>
    <w:rsid w:val="007D4DDD"/>
    <w:rsid w:val="007D5CA0"/>
    <w:rsid w:val="007D6340"/>
    <w:rsid w:val="007D6F4E"/>
    <w:rsid w:val="007D73CB"/>
    <w:rsid w:val="007D78E9"/>
    <w:rsid w:val="007E0C4D"/>
    <w:rsid w:val="007E0FF2"/>
    <w:rsid w:val="007E18B3"/>
    <w:rsid w:val="007E18B9"/>
    <w:rsid w:val="007E2E2B"/>
    <w:rsid w:val="007E47DE"/>
    <w:rsid w:val="007E48EB"/>
    <w:rsid w:val="007E5B99"/>
    <w:rsid w:val="007E63C0"/>
    <w:rsid w:val="007E7913"/>
    <w:rsid w:val="007E791D"/>
    <w:rsid w:val="007F02D2"/>
    <w:rsid w:val="007F0750"/>
    <w:rsid w:val="007F0CC8"/>
    <w:rsid w:val="007F107B"/>
    <w:rsid w:val="007F1D95"/>
    <w:rsid w:val="007F237B"/>
    <w:rsid w:val="007F3901"/>
    <w:rsid w:val="007F439D"/>
    <w:rsid w:val="007F6C71"/>
    <w:rsid w:val="007F76A7"/>
    <w:rsid w:val="007F79A2"/>
    <w:rsid w:val="0080011D"/>
    <w:rsid w:val="0080102D"/>
    <w:rsid w:val="00801BE3"/>
    <w:rsid w:val="00803121"/>
    <w:rsid w:val="00803383"/>
    <w:rsid w:val="00804E40"/>
    <w:rsid w:val="00804FA6"/>
    <w:rsid w:val="0080592B"/>
    <w:rsid w:val="00805D2C"/>
    <w:rsid w:val="008062CC"/>
    <w:rsid w:val="0080674F"/>
    <w:rsid w:val="0081059C"/>
    <w:rsid w:val="008112E3"/>
    <w:rsid w:val="00811388"/>
    <w:rsid w:val="00811B66"/>
    <w:rsid w:val="008129BD"/>
    <w:rsid w:val="00813165"/>
    <w:rsid w:val="00813BE0"/>
    <w:rsid w:val="00813EB7"/>
    <w:rsid w:val="00813F40"/>
    <w:rsid w:val="008147BE"/>
    <w:rsid w:val="00814E02"/>
    <w:rsid w:val="00816104"/>
    <w:rsid w:val="0081665C"/>
    <w:rsid w:val="00816CFE"/>
    <w:rsid w:val="008171BC"/>
    <w:rsid w:val="00820522"/>
    <w:rsid w:val="00820D92"/>
    <w:rsid w:val="0082142A"/>
    <w:rsid w:val="00822D45"/>
    <w:rsid w:val="008243DC"/>
    <w:rsid w:val="0082538C"/>
    <w:rsid w:val="008255C5"/>
    <w:rsid w:val="00825AE3"/>
    <w:rsid w:val="00825C5E"/>
    <w:rsid w:val="00826CE1"/>
    <w:rsid w:val="0082745C"/>
    <w:rsid w:val="0082757E"/>
    <w:rsid w:val="00827DCF"/>
    <w:rsid w:val="00832666"/>
    <w:rsid w:val="00832E3F"/>
    <w:rsid w:val="0083532E"/>
    <w:rsid w:val="00835D47"/>
    <w:rsid w:val="00835D7B"/>
    <w:rsid w:val="00835DBF"/>
    <w:rsid w:val="00835F01"/>
    <w:rsid w:val="00837964"/>
    <w:rsid w:val="00837BD0"/>
    <w:rsid w:val="00837C83"/>
    <w:rsid w:val="008411AB"/>
    <w:rsid w:val="00841336"/>
    <w:rsid w:val="00841D74"/>
    <w:rsid w:val="00841FE0"/>
    <w:rsid w:val="00842B4D"/>
    <w:rsid w:val="0084329F"/>
    <w:rsid w:val="008436E1"/>
    <w:rsid w:val="00843E9F"/>
    <w:rsid w:val="008442FD"/>
    <w:rsid w:val="00844EDF"/>
    <w:rsid w:val="00844F35"/>
    <w:rsid w:val="008453C7"/>
    <w:rsid w:val="008457B8"/>
    <w:rsid w:val="00846404"/>
    <w:rsid w:val="008478A4"/>
    <w:rsid w:val="00847D49"/>
    <w:rsid w:val="0085008D"/>
    <w:rsid w:val="0085020C"/>
    <w:rsid w:val="008509D1"/>
    <w:rsid w:val="008544CD"/>
    <w:rsid w:val="00854CDA"/>
    <w:rsid w:val="0085501E"/>
    <w:rsid w:val="00855261"/>
    <w:rsid w:val="008555D4"/>
    <w:rsid w:val="0085605A"/>
    <w:rsid w:val="008569CC"/>
    <w:rsid w:val="00856C3B"/>
    <w:rsid w:val="00856E54"/>
    <w:rsid w:val="0086009D"/>
    <w:rsid w:val="008601A7"/>
    <w:rsid w:val="008608BF"/>
    <w:rsid w:val="00860A63"/>
    <w:rsid w:val="00860AC8"/>
    <w:rsid w:val="00861302"/>
    <w:rsid w:val="00861460"/>
    <w:rsid w:val="00861B5E"/>
    <w:rsid w:val="00862769"/>
    <w:rsid w:val="0086396C"/>
    <w:rsid w:val="0086608D"/>
    <w:rsid w:val="00866374"/>
    <w:rsid w:val="00867885"/>
    <w:rsid w:val="00870155"/>
    <w:rsid w:val="008702BC"/>
    <w:rsid w:val="00871D7F"/>
    <w:rsid w:val="00871FA7"/>
    <w:rsid w:val="0087239E"/>
    <w:rsid w:val="00872C4B"/>
    <w:rsid w:val="008742A8"/>
    <w:rsid w:val="00875DC1"/>
    <w:rsid w:val="00876777"/>
    <w:rsid w:val="00876EA9"/>
    <w:rsid w:val="00877B5D"/>
    <w:rsid w:val="00877D45"/>
    <w:rsid w:val="00880107"/>
    <w:rsid w:val="00881319"/>
    <w:rsid w:val="0088150D"/>
    <w:rsid w:val="008817C3"/>
    <w:rsid w:val="00881E9D"/>
    <w:rsid w:val="00881FD0"/>
    <w:rsid w:val="008822CE"/>
    <w:rsid w:val="008823C3"/>
    <w:rsid w:val="00882454"/>
    <w:rsid w:val="00882CDE"/>
    <w:rsid w:val="00883D85"/>
    <w:rsid w:val="008840FE"/>
    <w:rsid w:val="008851CD"/>
    <w:rsid w:val="00885F5F"/>
    <w:rsid w:val="00886B6D"/>
    <w:rsid w:val="00886E10"/>
    <w:rsid w:val="00886E98"/>
    <w:rsid w:val="008875A1"/>
    <w:rsid w:val="00887FBD"/>
    <w:rsid w:val="00890B92"/>
    <w:rsid w:val="00892328"/>
    <w:rsid w:val="008926F7"/>
    <w:rsid w:val="0089352F"/>
    <w:rsid w:val="00893BBF"/>
    <w:rsid w:val="0089502B"/>
    <w:rsid w:val="008959ED"/>
    <w:rsid w:val="00896866"/>
    <w:rsid w:val="00896D6C"/>
    <w:rsid w:val="008973B0"/>
    <w:rsid w:val="008A258C"/>
    <w:rsid w:val="008A2B7E"/>
    <w:rsid w:val="008A311E"/>
    <w:rsid w:val="008A3824"/>
    <w:rsid w:val="008A40A0"/>
    <w:rsid w:val="008A424D"/>
    <w:rsid w:val="008A4326"/>
    <w:rsid w:val="008A5A55"/>
    <w:rsid w:val="008A5A65"/>
    <w:rsid w:val="008A6D56"/>
    <w:rsid w:val="008A7899"/>
    <w:rsid w:val="008A798B"/>
    <w:rsid w:val="008A7AED"/>
    <w:rsid w:val="008B38CC"/>
    <w:rsid w:val="008B3C5C"/>
    <w:rsid w:val="008B46F1"/>
    <w:rsid w:val="008B549B"/>
    <w:rsid w:val="008B5789"/>
    <w:rsid w:val="008B5C72"/>
    <w:rsid w:val="008B75EC"/>
    <w:rsid w:val="008C0976"/>
    <w:rsid w:val="008C10C6"/>
    <w:rsid w:val="008C2CE4"/>
    <w:rsid w:val="008C3A1D"/>
    <w:rsid w:val="008C448B"/>
    <w:rsid w:val="008C5292"/>
    <w:rsid w:val="008C5A36"/>
    <w:rsid w:val="008C7121"/>
    <w:rsid w:val="008C7C26"/>
    <w:rsid w:val="008D1B6D"/>
    <w:rsid w:val="008D31CE"/>
    <w:rsid w:val="008D3A10"/>
    <w:rsid w:val="008D3B33"/>
    <w:rsid w:val="008D5323"/>
    <w:rsid w:val="008D7C0F"/>
    <w:rsid w:val="008E0774"/>
    <w:rsid w:val="008E0801"/>
    <w:rsid w:val="008E2FE5"/>
    <w:rsid w:val="008E327F"/>
    <w:rsid w:val="008E33A4"/>
    <w:rsid w:val="008E5291"/>
    <w:rsid w:val="008E5D58"/>
    <w:rsid w:val="008E5F64"/>
    <w:rsid w:val="008F0676"/>
    <w:rsid w:val="008F0809"/>
    <w:rsid w:val="008F0BAE"/>
    <w:rsid w:val="008F1491"/>
    <w:rsid w:val="008F46AC"/>
    <w:rsid w:val="008F46CB"/>
    <w:rsid w:val="008F5376"/>
    <w:rsid w:val="008F55C3"/>
    <w:rsid w:val="008F5C97"/>
    <w:rsid w:val="008F5E41"/>
    <w:rsid w:val="008F6869"/>
    <w:rsid w:val="008F6F68"/>
    <w:rsid w:val="008F739D"/>
    <w:rsid w:val="008F7BA0"/>
    <w:rsid w:val="008F7D5E"/>
    <w:rsid w:val="00900636"/>
    <w:rsid w:val="00900BBB"/>
    <w:rsid w:val="00901B92"/>
    <w:rsid w:val="00901BE2"/>
    <w:rsid w:val="00901FF2"/>
    <w:rsid w:val="00902C7B"/>
    <w:rsid w:val="009038F1"/>
    <w:rsid w:val="00905186"/>
    <w:rsid w:val="00905250"/>
    <w:rsid w:val="0090528A"/>
    <w:rsid w:val="009062B9"/>
    <w:rsid w:val="00911AFE"/>
    <w:rsid w:val="00912A4D"/>
    <w:rsid w:val="0091407B"/>
    <w:rsid w:val="009168F1"/>
    <w:rsid w:val="00916ABD"/>
    <w:rsid w:val="00916B19"/>
    <w:rsid w:val="00917096"/>
    <w:rsid w:val="0092059D"/>
    <w:rsid w:val="009205FC"/>
    <w:rsid w:val="00920B64"/>
    <w:rsid w:val="009220EB"/>
    <w:rsid w:val="009222A7"/>
    <w:rsid w:val="0092247F"/>
    <w:rsid w:val="0092476A"/>
    <w:rsid w:val="00924C11"/>
    <w:rsid w:val="009261F1"/>
    <w:rsid w:val="009270E1"/>
    <w:rsid w:val="00927780"/>
    <w:rsid w:val="00927980"/>
    <w:rsid w:val="00927D47"/>
    <w:rsid w:val="00931483"/>
    <w:rsid w:val="009326C8"/>
    <w:rsid w:val="0093325B"/>
    <w:rsid w:val="00933AFF"/>
    <w:rsid w:val="00933CB2"/>
    <w:rsid w:val="0093489E"/>
    <w:rsid w:val="009348DB"/>
    <w:rsid w:val="00935ACD"/>
    <w:rsid w:val="0093628F"/>
    <w:rsid w:val="0093631E"/>
    <w:rsid w:val="00937F96"/>
    <w:rsid w:val="00940257"/>
    <w:rsid w:val="00940311"/>
    <w:rsid w:val="00940478"/>
    <w:rsid w:val="00940962"/>
    <w:rsid w:val="00940968"/>
    <w:rsid w:val="00941586"/>
    <w:rsid w:val="00943F65"/>
    <w:rsid w:val="009458B1"/>
    <w:rsid w:val="009460E0"/>
    <w:rsid w:val="00946498"/>
    <w:rsid w:val="009467FC"/>
    <w:rsid w:val="009469B8"/>
    <w:rsid w:val="00946C0E"/>
    <w:rsid w:val="009472C2"/>
    <w:rsid w:val="00947973"/>
    <w:rsid w:val="00947AD8"/>
    <w:rsid w:val="00947D07"/>
    <w:rsid w:val="00950B1B"/>
    <w:rsid w:val="009523C9"/>
    <w:rsid w:val="00952C5D"/>
    <w:rsid w:val="00953032"/>
    <w:rsid w:val="009542BE"/>
    <w:rsid w:val="00955EE8"/>
    <w:rsid w:val="00957D7F"/>
    <w:rsid w:val="00957EB8"/>
    <w:rsid w:val="0096024D"/>
    <w:rsid w:val="009603AE"/>
    <w:rsid w:val="0096045A"/>
    <w:rsid w:val="009609BA"/>
    <w:rsid w:val="00960B14"/>
    <w:rsid w:val="009610D6"/>
    <w:rsid w:val="00962939"/>
    <w:rsid w:val="00962D63"/>
    <w:rsid w:val="00963203"/>
    <w:rsid w:val="00963649"/>
    <w:rsid w:val="009656F5"/>
    <w:rsid w:val="009672BC"/>
    <w:rsid w:val="00970C3E"/>
    <w:rsid w:val="0097167E"/>
    <w:rsid w:val="00972790"/>
    <w:rsid w:val="009729C3"/>
    <w:rsid w:val="00973684"/>
    <w:rsid w:val="00973D8F"/>
    <w:rsid w:val="00973FBD"/>
    <w:rsid w:val="009742E3"/>
    <w:rsid w:val="00974DB3"/>
    <w:rsid w:val="00974EE3"/>
    <w:rsid w:val="00975433"/>
    <w:rsid w:val="00975FB3"/>
    <w:rsid w:val="00977ACD"/>
    <w:rsid w:val="00977BBA"/>
    <w:rsid w:val="00980117"/>
    <w:rsid w:val="00981397"/>
    <w:rsid w:val="0098149A"/>
    <w:rsid w:val="00981AFE"/>
    <w:rsid w:val="009825AF"/>
    <w:rsid w:val="00982A98"/>
    <w:rsid w:val="00983774"/>
    <w:rsid w:val="009837E8"/>
    <w:rsid w:val="0098411F"/>
    <w:rsid w:val="00986C0A"/>
    <w:rsid w:val="009879FE"/>
    <w:rsid w:val="00987AAD"/>
    <w:rsid w:val="00987B2B"/>
    <w:rsid w:val="00987DE4"/>
    <w:rsid w:val="0099007F"/>
    <w:rsid w:val="00990391"/>
    <w:rsid w:val="0099099E"/>
    <w:rsid w:val="00991223"/>
    <w:rsid w:val="009923BD"/>
    <w:rsid w:val="00992FA8"/>
    <w:rsid w:val="00993090"/>
    <w:rsid w:val="0099354A"/>
    <w:rsid w:val="00993ABA"/>
    <w:rsid w:val="00993C05"/>
    <w:rsid w:val="00993DF2"/>
    <w:rsid w:val="009942DE"/>
    <w:rsid w:val="00994B09"/>
    <w:rsid w:val="00995A5F"/>
    <w:rsid w:val="00995D9C"/>
    <w:rsid w:val="00996A4C"/>
    <w:rsid w:val="00996B62"/>
    <w:rsid w:val="00996BB6"/>
    <w:rsid w:val="009A0B5A"/>
    <w:rsid w:val="009A1306"/>
    <w:rsid w:val="009A13F6"/>
    <w:rsid w:val="009A1F78"/>
    <w:rsid w:val="009A2B4E"/>
    <w:rsid w:val="009A3240"/>
    <w:rsid w:val="009A363C"/>
    <w:rsid w:val="009A3EF3"/>
    <w:rsid w:val="009A46C2"/>
    <w:rsid w:val="009A50DE"/>
    <w:rsid w:val="009A581D"/>
    <w:rsid w:val="009A5E34"/>
    <w:rsid w:val="009A7D92"/>
    <w:rsid w:val="009B3B26"/>
    <w:rsid w:val="009B4234"/>
    <w:rsid w:val="009B43FA"/>
    <w:rsid w:val="009B726A"/>
    <w:rsid w:val="009C1E90"/>
    <w:rsid w:val="009C2BCC"/>
    <w:rsid w:val="009C487E"/>
    <w:rsid w:val="009C4C16"/>
    <w:rsid w:val="009C5FEC"/>
    <w:rsid w:val="009C67FF"/>
    <w:rsid w:val="009C706C"/>
    <w:rsid w:val="009C79DC"/>
    <w:rsid w:val="009D0219"/>
    <w:rsid w:val="009D081E"/>
    <w:rsid w:val="009D235E"/>
    <w:rsid w:val="009D28C1"/>
    <w:rsid w:val="009D2A3B"/>
    <w:rsid w:val="009D35AE"/>
    <w:rsid w:val="009D423E"/>
    <w:rsid w:val="009D4C0F"/>
    <w:rsid w:val="009D5019"/>
    <w:rsid w:val="009D536E"/>
    <w:rsid w:val="009D613A"/>
    <w:rsid w:val="009D72A8"/>
    <w:rsid w:val="009D758E"/>
    <w:rsid w:val="009E1469"/>
    <w:rsid w:val="009E3BB0"/>
    <w:rsid w:val="009E3C58"/>
    <w:rsid w:val="009E4662"/>
    <w:rsid w:val="009E4EA0"/>
    <w:rsid w:val="009E5A30"/>
    <w:rsid w:val="009E661E"/>
    <w:rsid w:val="009E6BB4"/>
    <w:rsid w:val="009F0207"/>
    <w:rsid w:val="009F0658"/>
    <w:rsid w:val="009F0780"/>
    <w:rsid w:val="009F3478"/>
    <w:rsid w:val="009F456B"/>
    <w:rsid w:val="009F5498"/>
    <w:rsid w:val="009F5684"/>
    <w:rsid w:val="009F587A"/>
    <w:rsid w:val="009F5B2C"/>
    <w:rsid w:val="00A01444"/>
    <w:rsid w:val="00A01507"/>
    <w:rsid w:val="00A02D02"/>
    <w:rsid w:val="00A0330B"/>
    <w:rsid w:val="00A03A6D"/>
    <w:rsid w:val="00A0404B"/>
    <w:rsid w:val="00A042B2"/>
    <w:rsid w:val="00A05058"/>
    <w:rsid w:val="00A06642"/>
    <w:rsid w:val="00A07A33"/>
    <w:rsid w:val="00A10B8F"/>
    <w:rsid w:val="00A11559"/>
    <w:rsid w:val="00A12029"/>
    <w:rsid w:val="00A13E97"/>
    <w:rsid w:val="00A14886"/>
    <w:rsid w:val="00A14D41"/>
    <w:rsid w:val="00A162FF"/>
    <w:rsid w:val="00A163B0"/>
    <w:rsid w:val="00A16606"/>
    <w:rsid w:val="00A16AFC"/>
    <w:rsid w:val="00A16FC8"/>
    <w:rsid w:val="00A172EC"/>
    <w:rsid w:val="00A201FB"/>
    <w:rsid w:val="00A210CF"/>
    <w:rsid w:val="00A212BB"/>
    <w:rsid w:val="00A2178D"/>
    <w:rsid w:val="00A22147"/>
    <w:rsid w:val="00A2289F"/>
    <w:rsid w:val="00A2355F"/>
    <w:rsid w:val="00A23B77"/>
    <w:rsid w:val="00A2583A"/>
    <w:rsid w:val="00A26233"/>
    <w:rsid w:val="00A26483"/>
    <w:rsid w:val="00A26991"/>
    <w:rsid w:val="00A2703B"/>
    <w:rsid w:val="00A27651"/>
    <w:rsid w:val="00A277D3"/>
    <w:rsid w:val="00A30852"/>
    <w:rsid w:val="00A309E0"/>
    <w:rsid w:val="00A322FE"/>
    <w:rsid w:val="00A323A2"/>
    <w:rsid w:val="00A32702"/>
    <w:rsid w:val="00A328B3"/>
    <w:rsid w:val="00A32BD6"/>
    <w:rsid w:val="00A32F15"/>
    <w:rsid w:val="00A336F4"/>
    <w:rsid w:val="00A33843"/>
    <w:rsid w:val="00A34BEA"/>
    <w:rsid w:val="00A34BF1"/>
    <w:rsid w:val="00A36486"/>
    <w:rsid w:val="00A368EE"/>
    <w:rsid w:val="00A40484"/>
    <w:rsid w:val="00A419FF"/>
    <w:rsid w:val="00A42174"/>
    <w:rsid w:val="00A42FE2"/>
    <w:rsid w:val="00A45EE0"/>
    <w:rsid w:val="00A46CF4"/>
    <w:rsid w:val="00A46FDA"/>
    <w:rsid w:val="00A4711D"/>
    <w:rsid w:val="00A4768A"/>
    <w:rsid w:val="00A47EFD"/>
    <w:rsid w:val="00A5039C"/>
    <w:rsid w:val="00A51F71"/>
    <w:rsid w:val="00A52054"/>
    <w:rsid w:val="00A5288B"/>
    <w:rsid w:val="00A530C4"/>
    <w:rsid w:val="00A53219"/>
    <w:rsid w:val="00A53A22"/>
    <w:rsid w:val="00A53CF7"/>
    <w:rsid w:val="00A54366"/>
    <w:rsid w:val="00A54712"/>
    <w:rsid w:val="00A54B57"/>
    <w:rsid w:val="00A5624F"/>
    <w:rsid w:val="00A567D2"/>
    <w:rsid w:val="00A5684D"/>
    <w:rsid w:val="00A57985"/>
    <w:rsid w:val="00A60215"/>
    <w:rsid w:val="00A60B30"/>
    <w:rsid w:val="00A60C66"/>
    <w:rsid w:val="00A61B01"/>
    <w:rsid w:val="00A61C94"/>
    <w:rsid w:val="00A630FD"/>
    <w:rsid w:val="00A636F7"/>
    <w:rsid w:val="00A649E0"/>
    <w:rsid w:val="00A64B94"/>
    <w:rsid w:val="00A64C49"/>
    <w:rsid w:val="00A64F18"/>
    <w:rsid w:val="00A65539"/>
    <w:rsid w:val="00A657A3"/>
    <w:rsid w:val="00A65F23"/>
    <w:rsid w:val="00A66B7B"/>
    <w:rsid w:val="00A66CF7"/>
    <w:rsid w:val="00A701D7"/>
    <w:rsid w:val="00A70551"/>
    <w:rsid w:val="00A70A13"/>
    <w:rsid w:val="00A70D24"/>
    <w:rsid w:val="00A70E76"/>
    <w:rsid w:val="00A71383"/>
    <w:rsid w:val="00A71B11"/>
    <w:rsid w:val="00A725E4"/>
    <w:rsid w:val="00A72A3F"/>
    <w:rsid w:val="00A730A2"/>
    <w:rsid w:val="00A74A25"/>
    <w:rsid w:val="00A75B31"/>
    <w:rsid w:val="00A75C1A"/>
    <w:rsid w:val="00A75DC4"/>
    <w:rsid w:val="00A7666D"/>
    <w:rsid w:val="00A76768"/>
    <w:rsid w:val="00A7719C"/>
    <w:rsid w:val="00A77325"/>
    <w:rsid w:val="00A775B3"/>
    <w:rsid w:val="00A7765D"/>
    <w:rsid w:val="00A77890"/>
    <w:rsid w:val="00A80191"/>
    <w:rsid w:val="00A8043B"/>
    <w:rsid w:val="00A806A3"/>
    <w:rsid w:val="00A80DCB"/>
    <w:rsid w:val="00A82749"/>
    <w:rsid w:val="00A82790"/>
    <w:rsid w:val="00A8354C"/>
    <w:rsid w:val="00A83CA1"/>
    <w:rsid w:val="00A8409D"/>
    <w:rsid w:val="00A859A8"/>
    <w:rsid w:val="00A86517"/>
    <w:rsid w:val="00A877BD"/>
    <w:rsid w:val="00A87C86"/>
    <w:rsid w:val="00A90EAB"/>
    <w:rsid w:val="00A9127B"/>
    <w:rsid w:val="00A916ED"/>
    <w:rsid w:val="00A92302"/>
    <w:rsid w:val="00A93AC9"/>
    <w:rsid w:val="00A93CC0"/>
    <w:rsid w:val="00A95892"/>
    <w:rsid w:val="00A96377"/>
    <w:rsid w:val="00A96B1E"/>
    <w:rsid w:val="00A9761C"/>
    <w:rsid w:val="00A97F4D"/>
    <w:rsid w:val="00A97FAC"/>
    <w:rsid w:val="00AA0592"/>
    <w:rsid w:val="00AA0AA0"/>
    <w:rsid w:val="00AA159C"/>
    <w:rsid w:val="00AA1673"/>
    <w:rsid w:val="00AA2349"/>
    <w:rsid w:val="00AA3A23"/>
    <w:rsid w:val="00AA3B1C"/>
    <w:rsid w:val="00AA3F26"/>
    <w:rsid w:val="00AA46C0"/>
    <w:rsid w:val="00AA5041"/>
    <w:rsid w:val="00AA5CA7"/>
    <w:rsid w:val="00AA6940"/>
    <w:rsid w:val="00AA74EC"/>
    <w:rsid w:val="00AB003B"/>
    <w:rsid w:val="00AB1325"/>
    <w:rsid w:val="00AB19E5"/>
    <w:rsid w:val="00AB1CED"/>
    <w:rsid w:val="00AB2C5B"/>
    <w:rsid w:val="00AB3C90"/>
    <w:rsid w:val="00AB4500"/>
    <w:rsid w:val="00AB4A3A"/>
    <w:rsid w:val="00AB4F01"/>
    <w:rsid w:val="00AB511B"/>
    <w:rsid w:val="00AB5FA1"/>
    <w:rsid w:val="00AB6AB9"/>
    <w:rsid w:val="00AB7A84"/>
    <w:rsid w:val="00AC0211"/>
    <w:rsid w:val="00AC0261"/>
    <w:rsid w:val="00AC07BE"/>
    <w:rsid w:val="00AC10D4"/>
    <w:rsid w:val="00AC143C"/>
    <w:rsid w:val="00AC1B87"/>
    <w:rsid w:val="00AC2708"/>
    <w:rsid w:val="00AC2FD9"/>
    <w:rsid w:val="00AC3984"/>
    <w:rsid w:val="00AC453F"/>
    <w:rsid w:val="00AC45B5"/>
    <w:rsid w:val="00AC4DE7"/>
    <w:rsid w:val="00AC5C2A"/>
    <w:rsid w:val="00AC5DDD"/>
    <w:rsid w:val="00AC61AE"/>
    <w:rsid w:val="00AC68F6"/>
    <w:rsid w:val="00AC68FC"/>
    <w:rsid w:val="00AC6914"/>
    <w:rsid w:val="00AC6A26"/>
    <w:rsid w:val="00AC753F"/>
    <w:rsid w:val="00AD02DF"/>
    <w:rsid w:val="00AD1F28"/>
    <w:rsid w:val="00AD3131"/>
    <w:rsid w:val="00AD3381"/>
    <w:rsid w:val="00AD44B0"/>
    <w:rsid w:val="00AD4CA9"/>
    <w:rsid w:val="00AD5021"/>
    <w:rsid w:val="00AD5383"/>
    <w:rsid w:val="00AD5E34"/>
    <w:rsid w:val="00AD5FFC"/>
    <w:rsid w:val="00AD644C"/>
    <w:rsid w:val="00AD738C"/>
    <w:rsid w:val="00AD7CEC"/>
    <w:rsid w:val="00AE287B"/>
    <w:rsid w:val="00AE2AE2"/>
    <w:rsid w:val="00AE2C10"/>
    <w:rsid w:val="00AE3464"/>
    <w:rsid w:val="00AE3F51"/>
    <w:rsid w:val="00AE68CF"/>
    <w:rsid w:val="00AE6CC8"/>
    <w:rsid w:val="00AF02F6"/>
    <w:rsid w:val="00AF04ED"/>
    <w:rsid w:val="00AF0D75"/>
    <w:rsid w:val="00AF0E7C"/>
    <w:rsid w:val="00AF17A4"/>
    <w:rsid w:val="00AF408A"/>
    <w:rsid w:val="00AF435C"/>
    <w:rsid w:val="00AF4583"/>
    <w:rsid w:val="00AF4F18"/>
    <w:rsid w:val="00AF5F4C"/>
    <w:rsid w:val="00AF5FD0"/>
    <w:rsid w:val="00AF7AA0"/>
    <w:rsid w:val="00B005A2"/>
    <w:rsid w:val="00B009D1"/>
    <w:rsid w:val="00B01AA1"/>
    <w:rsid w:val="00B02405"/>
    <w:rsid w:val="00B02E06"/>
    <w:rsid w:val="00B039E4"/>
    <w:rsid w:val="00B04077"/>
    <w:rsid w:val="00B0444A"/>
    <w:rsid w:val="00B0666D"/>
    <w:rsid w:val="00B07531"/>
    <w:rsid w:val="00B0762B"/>
    <w:rsid w:val="00B07AE8"/>
    <w:rsid w:val="00B118E4"/>
    <w:rsid w:val="00B11B38"/>
    <w:rsid w:val="00B11B6D"/>
    <w:rsid w:val="00B11CE5"/>
    <w:rsid w:val="00B121BF"/>
    <w:rsid w:val="00B1304F"/>
    <w:rsid w:val="00B13CE0"/>
    <w:rsid w:val="00B1422A"/>
    <w:rsid w:val="00B160E2"/>
    <w:rsid w:val="00B16160"/>
    <w:rsid w:val="00B165B8"/>
    <w:rsid w:val="00B16A71"/>
    <w:rsid w:val="00B21011"/>
    <w:rsid w:val="00B210BD"/>
    <w:rsid w:val="00B2172B"/>
    <w:rsid w:val="00B220B9"/>
    <w:rsid w:val="00B22DC8"/>
    <w:rsid w:val="00B237CE"/>
    <w:rsid w:val="00B243BE"/>
    <w:rsid w:val="00B244C3"/>
    <w:rsid w:val="00B24798"/>
    <w:rsid w:val="00B24C53"/>
    <w:rsid w:val="00B25595"/>
    <w:rsid w:val="00B25BEB"/>
    <w:rsid w:val="00B25F62"/>
    <w:rsid w:val="00B260AC"/>
    <w:rsid w:val="00B27054"/>
    <w:rsid w:val="00B27691"/>
    <w:rsid w:val="00B30116"/>
    <w:rsid w:val="00B30344"/>
    <w:rsid w:val="00B30F07"/>
    <w:rsid w:val="00B314AB"/>
    <w:rsid w:val="00B32AFA"/>
    <w:rsid w:val="00B32F8E"/>
    <w:rsid w:val="00B32FBB"/>
    <w:rsid w:val="00B3371B"/>
    <w:rsid w:val="00B3394C"/>
    <w:rsid w:val="00B34D66"/>
    <w:rsid w:val="00B363F2"/>
    <w:rsid w:val="00B36507"/>
    <w:rsid w:val="00B40E38"/>
    <w:rsid w:val="00B4167D"/>
    <w:rsid w:val="00B423A3"/>
    <w:rsid w:val="00B42904"/>
    <w:rsid w:val="00B4300F"/>
    <w:rsid w:val="00B430BC"/>
    <w:rsid w:val="00B479CB"/>
    <w:rsid w:val="00B47DAA"/>
    <w:rsid w:val="00B502AB"/>
    <w:rsid w:val="00B512A1"/>
    <w:rsid w:val="00B52C42"/>
    <w:rsid w:val="00B52F7A"/>
    <w:rsid w:val="00B53393"/>
    <w:rsid w:val="00B54265"/>
    <w:rsid w:val="00B547AC"/>
    <w:rsid w:val="00B54A47"/>
    <w:rsid w:val="00B54F46"/>
    <w:rsid w:val="00B552FF"/>
    <w:rsid w:val="00B5584F"/>
    <w:rsid w:val="00B55AD9"/>
    <w:rsid w:val="00B55D1B"/>
    <w:rsid w:val="00B55D4E"/>
    <w:rsid w:val="00B56424"/>
    <w:rsid w:val="00B56F39"/>
    <w:rsid w:val="00B57989"/>
    <w:rsid w:val="00B6023A"/>
    <w:rsid w:val="00B62700"/>
    <w:rsid w:val="00B6273A"/>
    <w:rsid w:val="00B63DC1"/>
    <w:rsid w:val="00B63E76"/>
    <w:rsid w:val="00B644E7"/>
    <w:rsid w:val="00B652CE"/>
    <w:rsid w:val="00B66520"/>
    <w:rsid w:val="00B66978"/>
    <w:rsid w:val="00B67853"/>
    <w:rsid w:val="00B7063E"/>
    <w:rsid w:val="00B709AF"/>
    <w:rsid w:val="00B720C5"/>
    <w:rsid w:val="00B727A3"/>
    <w:rsid w:val="00B7295C"/>
    <w:rsid w:val="00B740DE"/>
    <w:rsid w:val="00B741E8"/>
    <w:rsid w:val="00B75E71"/>
    <w:rsid w:val="00B76019"/>
    <w:rsid w:val="00B765E9"/>
    <w:rsid w:val="00B76BAA"/>
    <w:rsid w:val="00B76CEC"/>
    <w:rsid w:val="00B77C6E"/>
    <w:rsid w:val="00B77CB9"/>
    <w:rsid w:val="00B77E01"/>
    <w:rsid w:val="00B80B58"/>
    <w:rsid w:val="00B80E47"/>
    <w:rsid w:val="00B813E3"/>
    <w:rsid w:val="00B81CAB"/>
    <w:rsid w:val="00B823E8"/>
    <w:rsid w:val="00B8384B"/>
    <w:rsid w:val="00B84A72"/>
    <w:rsid w:val="00B852B4"/>
    <w:rsid w:val="00B866D1"/>
    <w:rsid w:val="00B86A72"/>
    <w:rsid w:val="00B87F0C"/>
    <w:rsid w:val="00B90141"/>
    <w:rsid w:val="00B9087F"/>
    <w:rsid w:val="00B90F73"/>
    <w:rsid w:val="00B91BD7"/>
    <w:rsid w:val="00B92B4C"/>
    <w:rsid w:val="00B93D3A"/>
    <w:rsid w:val="00B93F95"/>
    <w:rsid w:val="00B94EF1"/>
    <w:rsid w:val="00B95AFC"/>
    <w:rsid w:val="00B95D23"/>
    <w:rsid w:val="00B95D59"/>
    <w:rsid w:val="00B9657B"/>
    <w:rsid w:val="00B96C73"/>
    <w:rsid w:val="00B96D3B"/>
    <w:rsid w:val="00B9777A"/>
    <w:rsid w:val="00BA0501"/>
    <w:rsid w:val="00BA15AE"/>
    <w:rsid w:val="00BA1B74"/>
    <w:rsid w:val="00BA1BCA"/>
    <w:rsid w:val="00BA1DC2"/>
    <w:rsid w:val="00BA201C"/>
    <w:rsid w:val="00BA28B8"/>
    <w:rsid w:val="00BA6A16"/>
    <w:rsid w:val="00BB2B91"/>
    <w:rsid w:val="00BB4319"/>
    <w:rsid w:val="00BB4723"/>
    <w:rsid w:val="00BB4C40"/>
    <w:rsid w:val="00BB5566"/>
    <w:rsid w:val="00BB61C9"/>
    <w:rsid w:val="00BB63C4"/>
    <w:rsid w:val="00BB6711"/>
    <w:rsid w:val="00BB6E17"/>
    <w:rsid w:val="00BB772B"/>
    <w:rsid w:val="00BB7B85"/>
    <w:rsid w:val="00BC1169"/>
    <w:rsid w:val="00BC11DE"/>
    <w:rsid w:val="00BC1383"/>
    <w:rsid w:val="00BC18B2"/>
    <w:rsid w:val="00BC2242"/>
    <w:rsid w:val="00BC2977"/>
    <w:rsid w:val="00BC38DD"/>
    <w:rsid w:val="00BC3B0C"/>
    <w:rsid w:val="00BC3C0F"/>
    <w:rsid w:val="00BC41FE"/>
    <w:rsid w:val="00BC44D7"/>
    <w:rsid w:val="00BC5685"/>
    <w:rsid w:val="00BC5F42"/>
    <w:rsid w:val="00BC6E49"/>
    <w:rsid w:val="00BC72D9"/>
    <w:rsid w:val="00BD19D0"/>
    <w:rsid w:val="00BD312D"/>
    <w:rsid w:val="00BD3558"/>
    <w:rsid w:val="00BD4657"/>
    <w:rsid w:val="00BD46A2"/>
    <w:rsid w:val="00BD4C47"/>
    <w:rsid w:val="00BD50A0"/>
    <w:rsid w:val="00BD5EA2"/>
    <w:rsid w:val="00BD778C"/>
    <w:rsid w:val="00BE0A9E"/>
    <w:rsid w:val="00BE405D"/>
    <w:rsid w:val="00BE4765"/>
    <w:rsid w:val="00BE4BB1"/>
    <w:rsid w:val="00BE51C4"/>
    <w:rsid w:val="00BE5796"/>
    <w:rsid w:val="00BE5BF6"/>
    <w:rsid w:val="00BE5FB1"/>
    <w:rsid w:val="00BE6219"/>
    <w:rsid w:val="00BF0340"/>
    <w:rsid w:val="00BF03B8"/>
    <w:rsid w:val="00BF12EA"/>
    <w:rsid w:val="00BF1369"/>
    <w:rsid w:val="00BF141A"/>
    <w:rsid w:val="00BF1960"/>
    <w:rsid w:val="00BF25AD"/>
    <w:rsid w:val="00BF2E3D"/>
    <w:rsid w:val="00BF361C"/>
    <w:rsid w:val="00BF446A"/>
    <w:rsid w:val="00BF47A3"/>
    <w:rsid w:val="00BF4EC7"/>
    <w:rsid w:val="00BF5044"/>
    <w:rsid w:val="00BF5692"/>
    <w:rsid w:val="00BF5B71"/>
    <w:rsid w:val="00BF6591"/>
    <w:rsid w:val="00BF6DE0"/>
    <w:rsid w:val="00BF7235"/>
    <w:rsid w:val="00BF7C47"/>
    <w:rsid w:val="00C00C0F"/>
    <w:rsid w:val="00C0106D"/>
    <w:rsid w:val="00C010B5"/>
    <w:rsid w:val="00C01DC5"/>
    <w:rsid w:val="00C02BAA"/>
    <w:rsid w:val="00C02E3A"/>
    <w:rsid w:val="00C034B8"/>
    <w:rsid w:val="00C03E8E"/>
    <w:rsid w:val="00C04368"/>
    <w:rsid w:val="00C048BC"/>
    <w:rsid w:val="00C04C36"/>
    <w:rsid w:val="00C05D29"/>
    <w:rsid w:val="00C0629F"/>
    <w:rsid w:val="00C104F4"/>
    <w:rsid w:val="00C11902"/>
    <w:rsid w:val="00C125AE"/>
    <w:rsid w:val="00C13047"/>
    <w:rsid w:val="00C138D9"/>
    <w:rsid w:val="00C154A2"/>
    <w:rsid w:val="00C157F7"/>
    <w:rsid w:val="00C178EF"/>
    <w:rsid w:val="00C20C82"/>
    <w:rsid w:val="00C20E41"/>
    <w:rsid w:val="00C21ACE"/>
    <w:rsid w:val="00C23544"/>
    <w:rsid w:val="00C23638"/>
    <w:rsid w:val="00C23C4C"/>
    <w:rsid w:val="00C23F39"/>
    <w:rsid w:val="00C24361"/>
    <w:rsid w:val="00C25AF0"/>
    <w:rsid w:val="00C25D5A"/>
    <w:rsid w:val="00C266C2"/>
    <w:rsid w:val="00C2672F"/>
    <w:rsid w:val="00C26DF7"/>
    <w:rsid w:val="00C30320"/>
    <w:rsid w:val="00C31D72"/>
    <w:rsid w:val="00C31E9C"/>
    <w:rsid w:val="00C321E6"/>
    <w:rsid w:val="00C33654"/>
    <w:rsid w:val="00C33A60"/>
    <w:rsid w:val="00C34796"/>
    <w:rsid w:val="00C34A9F"/>
    <w:rsid w:val="00C35B73"/>
    <w:rsid w:val="00C35E96"/>
    <w:rsid w:val="00C36198"/>
    <w:rsid w:val="00C37222"/>
    <w:rsid w:val="00C41659"/>
    <w:rsid w:val="00C41753"/>
    <w:rsid w:val="00C42EC9"/>
    <w:rsid w:val="00C43B55"/>
    <w:rsid w:val="00C43C66"/>
    <w:rsid w:val="00C45D50"/>
    <w:rsid w:val="00C46AEE"/>
    <w:rsid w:val="00C475BB"/>
    <w:rsid w:val="00C47666"/>
    <w:rsid w:val="00C47B80"/>
    <w:rsid w:val="00C50FA9"/>
    <w:rsid w:val="00C5201F"/>
    <w:rsid w:val="00C52983"/>
    <w:rsid w:val="00C53157"/>
    <w:rsid w:val="00C53292"/>
    <w:rsid w:val="00C535CB"/>
    <w:rsid w:val="00C53A1F"/>
    <w:rsid w:val="00C54040"/>
    <w:rsid w:val="00C54706"/>
    <w:rsid w:val="00C555C5"/>
    <w:rsid w:val="00C558DF"/>
    <w:rsid w:val="00C563A9"/>
    <w:rsid w:val="00C60090"/>
    <w:rsid w:val="00C60484"/>
    <w:rsid w:val="00C60560"/>
    <w:rsid w:val="00C60D36"/>
    <w:rsid w:val="00C60F19"/>
    <w:rsid w:val="00C60F8B"/>
    <w:rsid w:val="00C62B6E"/>
    <w:rsid w:val="00C63262"/>
    <w:rsid w:val="00C633F8"/>
    <w:rsid w:val="00C63610"/>
    <w:rsid w:val="00C63F36"/>
    <w:rsid w:val="00C64396"/>
    <w:rsid w:val="00C6535C"/>
    <w:rsid w:val="00C66389"/>
    <w:rsid w:val="00C66B47"/>
    <w:rsid w:val="00C67CAB"/>
    <w:rsid w:val="00C67ECD"/>
    <w:rsid w:val="00C70775"/>
    <w:rsid w:val="00C7081C"/>
    <w:rsid w:val="00C70CB1"/>
    <w:rsid w:val="00C7137C"/>
    <w:rsid w:val="00C7239E"/>
    <w:rsid w:val="00C7359E"/>
    <w:rsid w:val="00C73664"/>
    <w:rsid w:val="00C73722"/>
    <w:rsid w:val="00C75399"/>
    <w:rsid w:val="00C758F7"/>
    <w:rsid w:val="00C75E6B"/>
    <w:rsid w:val="00C760A5"/>
    <w:rsid w:val="00C76791"/>
    <w:rsid w:val="00C777F9"/>
    <w:rsid w:val="00C77A98"/>
    <w:rsid w:val="00C808D2"/>
    <w:rsid w:val="00C81491"/>
    <w:rsid w:val="00C81979"/>
    <w:rsid w:val="00C81B4E"/>
    <w:rsid w:val="00C81CA4"/>
    <w:rsid w:val="00C824DC"/>
    <w:rsid w:val="00C82B85"/>
    <w:rsid w:val="00C82F44"/>
    <w:rsid w:val="00C8328C"/>
    <w:rsid w:val="00C83BE4"/>
    <w:rsid w:val="00C8514D"/>
    <w:rsid w:val="00C85C0B"/>
    <w:rsid w:val="00C864CC"/>
    <w:rsid w:val="00C8699E"/>
    <w:rsid w:val="00C87006"/>
    <w:rsid w:val="00C874BB"/>
    <w:rsid w:val="00C87828"/>
    <w:rsid w:val="00C90B65"/>
    <w:rsid w:val="00C91217"/>
    <w:rsid w:val="00C912D9"/>
    <w:rsid w:val="00C9166C"/>
    <w:rsid w:val="00C925B7"/>
    <w:rsid w:val="00C92A1B"/>
    <w:rsid w:val="00C93084"/>
    <w:rsid w:val="00C93947"/>
    <w:rsid w:val="00C93FEB"/>
    <w:rsid w:val="00C94020"/>
    <w:rsid w:val="00C9497E"/>
    <w:rsid w:val="00C9512D"/>
    <w:rsid w:val="00C96558"/>
    <w:rsid w:val="00C96602"/>
    <w:rsid w:val="00C969C1"/>
    <w:rsid w:val="00C96D83"/>
    <w:rsid w:val="00C97912"/>
    <w:rsid w:val="00CA0746"/>
    <w:rsid w:val="00CA10C6"/>
    <w:rsid w:val="00CA1644"/>
    <w:rsid w:val="00CA2372"/>
    <w:rsid w:val="00CA25DD"/>
    <w:rsid w:val="00CA33FE"/>
    <w:rsid w:val="00CA3894"/>
    <w:rsid w:val="00CA524C"/>
    <w:rsid w:val="00CA5FB7"/>
    <w:rsid w:val="00CA6555"/>
    <w:rsid w:val="00CA687B"/>
    <w:rsid w:val="00CA6943"/>
    <w:rsid w:val="00CB0971"/>
    <w:rsid w:val="00CB0D55"/>
    <w:rsid w:val="00CB1357"/>
    <w:rsid w:val="00CB1CFF"/>
    <w:rsid w:val="00CB36F6"/>
    <w:rsid w:val="00CB3E6C"/>
    <w:rsid w:val="00CB3F8B"/>
    <w:rsid w:val="00CB42EA"/>
    <w:rsid w:val="00CB55BB"/>
    <w:rsid w:val="00CB5ABE"/>
    <w:rsid w:val="00CB6267"/>
    <w:rsid w:val="00CB6CAF"/>
    <w:rsid w:val="00CB7301"/>
    <w:rsid w:val="00CB75DF"/>
    <w:rsid w:val="00CC04BE"/>
    <w:rsid w:val="00CC2996"/>
    <w:rsid w:val="00CC3F1D"/>
    <w:rsid w:val="00CC48BE"/>
    <w:rsid w:val="00CC4A09"/>
    <w:rsid w:val="00CC53EE"/>
    <w:rsid w:val="00CC5BC5"/>
    <w:rsid w:val="00CC6243"/>
    <w:rsid w:val="00CC7DF7"/>
    <w:rsid w:val="00CD33DD"/>
    <w:rsid w:val="00CD4A92"/>
    <w:rsid w:val="00CD5B75"/>
    <w:rsid w:val="00CD6601"/>
    <w:rsid w:val="00CD7315"/>
    <w:rsid w:val="00CD7AFC"/>
    <w:rsid w:val="00CE0EEB"/>
    <w:rsid w:val="00CE0F08"/>
    <w:rsid w:val="00CE13B5"/>
    <w:rsid w:val="00CE172F"/>
    <w:rsid w:val="00CE1C9E"/>
    <w:rsid w:val="00CE240C"/>
    <w:rsid w:val="00CE2AB3"/>
    <w:rsid w:val="00CE3116"/>
    <w:rsid w:val="00CE5568"/>
    <w:rsid w:val="00CE63FE"/>
    <w:rsid w:val="00CF21F3"/>
    <w:rsid w:val="00CF29C9"/>
    <w:rsid w:val="00CF2C6F"/>
    <w:rsid w:val="00CF40A3"/>
    <w:rsid w:val="00CF4612"/>
    <w:rsid w:val="00CF4D81"/>
    <w:rsid w:val="00CF4E5A"/>
    <w:rsid w:val="00CF6EFB"/>
    <w:rsid w:val="00CF739C"/>
    <w:rsid w:val="00CF7FB7"/>
    <w:rsid w:val="00D00297"/>
    <w:rsid w:val="00D00359"/>
    <w:rsid w:val="00D00362"/>
    <w:rsid w:val="00D006D2"/>
    <w:rsid w:val="00D00A21"/>
    <w:rsid w:val="00D00F7F"/>
    <w:rsid w:val="00D01D3F"/>
    <w:rsid w:val="00D037B3"/>
    <w:rsid w:val="00D03F6B"/>
    <w:rsid w:val="00D04354"/>
    <w:rsid w:val="00D04E4D"/>
    <w:rsid w:val="00D05005"/>
    <w:rsid w:val="00D050D1"/>
    <w:rsid w:val="00D0591D"/>
    <w:rsid w:val="00D05DB1"/>
    <w:rsid w:val="00D06704"/>
    <w:rsid w:val="00D07360"/>
    <w:rsid w:val="00D0741A"/>
    <w:rsid w:val="00D1076D"/>
    <w:rsid w:val="00D10BB7"/>
    <w:rsid w:val="00D11ED3"/>
    <w:rsid w:val="00D120FD"/>
    <w:rsid w:val="00D12935"/>
    <w:rsid w:val="00D12DC9"/>
    <w:rsid w:val="00D12FAF"/>
    <w:rsid w:val="00D1367C"/>
    <w:rsid w:val="00D14A04"/>
    <w:rsid w:val="00D14D77"/>
    <w:rsid w:val="00D14FE6"/>
    <w:rsid w:val="00D1584F"/>
    <w:rsid w:val="00D16CA8"/>
    <w:rsid w:val="00D17860"/>
    <w:rsid w:val="00D20EE8"/>
    <w:rsid w:val="00D214CC"/>
    <w:rsid w:val="00D2386B"/>
    <w:rsid w:val="00D238FA"/>
    <w:rsid w:val="00D23A60"/>
    <w:rsid w:val="00D24237"/>
    <w:rsid w:val="00D24D26"/>
    <w:rsid w:val="00D25E65"/>
    <w:rsid w:val="00D26AB2"/>
    <w:rsid w:val="00D27086"/>
    <w:rsid w:val="00D2754D"/>
    <w:rsid w:val="00D27644"/>
    <w:rsid w:val="00D276F2"/>
    <w:rsid w:val="00D3095C"/>
    <w:rsid w:val="00D30A59"/>
    <w:rsid w:val="00D3288C"/>
    <w:rsid w:val="00D33087"/>
    <w:rsid w:val="00D33510"/>
    <w:rsid w:val="00D33FE3"/>
    <w:rsid w:val="00D34F04"/>
    <w:rsid w:val="00D35ABF"/>
    <w:rsid w:val="00D36362"/>
    <w:rsid w:val="00D36BD7"/>
    <w:rsid w:val="00D37F73"/>
    <w:rsid w:val="00D401D7"/>
    <w:rsid w:val="00D4227E"/>
    <w:rsid w:val="00D427ED"/>
    <w:rsid w:val="00D434EF"/>
    <w:rsid w:val="00D43DCF"/>
    <w:rsid w:val="00D4423A"/>
    <w:rsid w:val="00D45F72"/>
    <w:rsid w:val="00D46175"/>
    <w:rsid w:val="00D46224"/>
    <w:rsid w:val="00D47DEA"/>
    <w:rsid w:val="00D53B2E"/>
    <w:rsid w:val="00D53D93"/>
    <w:rsid w:val="00D5476F"/>
    <w:rsid w:val="00D566DC"/>
    <w:rsid w:val="00D60BA8"/>
    <w:rsid w:val="00D60D6B"/>
    <w:rsid w:val="00D62480"/>
    <w:rsid w:val="00D62794"/>
    <w:rsid w:val="00D62855"/>
    <w:rsid w:val="00D631DB"/>
    <w:rsid w:val="00D64039"/>
    <w:rsid w:val="00D65F61"/>
    <w:rsid w:val="00D666CF"/>
    <w:rsid w:val="00D672AD"/>
    <w:rsid w:val="00D67B26"/>
    <w:rsid w:val="00D67B83"/>
    <w:rsid w:val="00D67CFF"/>
    <w:rsid w:val="00D7048F"/>
    <w:rsid w:val="00D714E9"/>
    <w:rsid w:val="00D71FA7"/>
    <w:rsid w:val="00D72235"/>
    <w:rsid w:val="00D72A55"/>
    <w:rsid w:val="00D72BAA"/>
    <w:rsid w:val="00D742E0"/>
    <w:rsid w:val="00D74AD2"/>
    <w:rsid w:val="00D752D7"/>
    <w:rsid w:val="00D75385"/>
    <w:rsid w:val="00D75C1F"/>
    <w:rsid w:val="00D75D93"/>
    <w:rsid w:val="00D760F2"/>
    <w:rsid w:val="00D7678C"/>
    <w:rsid w:val="00D77032"/>
    <w:rsid w:val="00D772A9"/>
    <w:rsid w:val="00D77886"/>
    <w:rsid w:val="00D77B22"/>
    <w:rsid w:val="00D77F8A"/>
    <w:rsid w:val="00D81130"/>
    <w:rsid w:val="00D8254B"/>
    <w:rsid w:val="00D8381C"/>
    <w:rsid w:val="00D8415B"/>
    <w:rsid w:val="00D84485"/>
    <w:rsid w:val="00D869F2"/>
    <w:rsid w:val="00D8735B"/>
    <w:rsid w:val="00D87C3A"/>
    <w:rsid w:val="00D87F24"/>
    <w:rsid w:val="00D90935"/>
    <w:rsid w:val="00D9108D"/>
    <w:rsid w:val="00D91595"/>
    <w:rsid w:val="00D91750"/>
    <w:rsid w:val="00D9186B"/>
    <w:rsid w:val="00D91BD0"/>
    <w:rsid w:val="00D920AC"/>
    <w:rsid w:val="00D92908"/>
    <w:rsid w:val="00D9292B"/>
    <w:rsid w:val="00D93F47"/>
    <w:rsid w:val="00D94760"/>
    <w:rsid w:val="00D95E66"/>
    <w:rsid w:val="00D96DA9"/>
    <w:rsid w:val="00D973DE"/>
    <w:rsid w:val="00D97910"/>
    <w:rsid w:val="00DA0ACC"/>
    <w:rsid w:val="00DA0E4A"/>
    <w:rsid w:val="00DA0E6E"/>
    <w:rsid w:val="00DA33B9"/>
    <w:rsid w:val="00DA4A52"/>
    <w:rsid w:val="00DA5776"/>
    <w:rsid w:val="00DA6011"/>
    <w:rsid w:val="00DA6641"/>
    <w:rsid w:val="00DA6C97"/>
    <w:rsid w:val="00DA7885"/>
    <w:rsid w:val="00DA7DBB"/>
    <w:rsid w:val="00DB003A"/>
    <w:rsid w:val="00DB0192"/>
    <w:rsid w:val="00DB0297"/>
    <w:rsid w:val="00DB04CE"/>
    <w:rsid w:val="00DB1C30"/>
    <w:rsid w:val="00DB453B"/>
    <w:rsid w:val="00DB4807"/>
    <w:rsid w:val="00DB4897"/>
    <w:rsid w:val="00DB4AEA"/>
    <w:rsid w:val="00DB508F"/>
    <w:rsid w:val="00DB62CC"/>
    <w:rsid w:val="00DB66E8"/>
    <w:rsid w:val="00DB7AEA"/>
    <w:rsid w:val="00DC1909"/>
    <w:rsid w:val="00DC202D"/>
    <w:rsid w:val="00DC26B9"/>
    <w:rsid w:val="00DC2E06"/>
    <w:rsid w:val="00DC3A76"/>
    <w:rsid w:val="00DC3B4F"/>
    <w:rsid w:val="00DC4567"/>
    <w:rsid w:val="00DC4693"/>
    <w:rsid w:val="00DC5394"/>
    <w:rsid w:val="00DC78D5"/>
    <w:rsid w:val="00DD0408"/>
    <w:rsid w:val="00DD0A1D"/>
    <w:rsid w:val="00DD0C08"/>
    <w:rsid w:val="00DD0CAB"/>
    <w:rsid w:val="00DD1AAB"/>
    <w:rsid w:val="00DD1F0D"/>
    <w:rsid w:val="00DD228E"/>
    <w:rsid w:val="00DD242A"/>
    <w:rsid w:val="00DD3192"/>
    <w:rsid w:val="00DD31D7"/>
    <w:rsid w:val="00DD3275"/>
    <w:rsid w:val="00DD415D"/>
    <w:rsid w:val="00DD41B5"/>
    <w:rsid w:val="00DD45A4"/>
    <w:rsid w:val="00DD49A5"/>
    <w:rsid w:val="00DD5DE7"/>
    <w:rsid w:val="00DD6D18"/>
    <w:rsid w:val="00DD6D90"/>
    <w:rsid w:val="00DD731F"/>
    <w:rsid w:val="00DD79B5"/>
    <w:rsid w:val="00DD7A4A"/>
    <w:rsid w:val="00DE07F1"/>
    <w:rsid w:val="00DE15A4"/>
    <w:rsid w:val="00DE15B1"/>
    <w:rsid w:val="00DE1C5E"/>
    <w:rsid w:val="00DE24DC"/>
    <w:rsid w:val="00DE2DB2"/>
    <w:rsid w:val="00DE2E23"/>
    <w:rsid w:val="00DE34C5"/>
    <w:rsid w:val="00DE359B"/>
    <w:rsid w:val="00DE3A77"/>
    <w:rsid w:val="00DE6E62"/>
    <w:rsid w:val="00DE7180"/>
    <w:rsid w:val="00DE7B05"/>
    <w:rsid w:val="00DE7D1A"/>
    <w:rsid w:val="00DF1585"/>
    <w:rsid w:val="00DF392F"/>
    <w:rsid w:val="00DF41A5"/>
    <w:rsid w:val="00DF4F98"/>
    <w:rsid w:val="00DF5F99"/>
    <w:rsid w:val="00DF644F"/>
    <w:rsid w:val="00DF70BB"/>
    <w:rsid w:val="00E00317"/>
    <w:rsid w:val="00E005CC"/>
    <w:rsid w:val="00E006DB"/>
    <w:rsid w:val="00E00B00"/>
    <w:rsid w:val="00E0124A"/>
    <w:rsid w:val="00E02352"/>
    <w:rsid w:val="00E02440"/>
    <w:rsid w:val="00E0293D"/>
    <w:rsid w:val="00E02CF8"/>
    <w:rsid w:val="00E0320E"/>
    <w:rsid w:val="00E033F6"/>
    <w:rsid w:val="00E0431B"/>
    <w:rsid w:val="00E04553"/>
    <w:rsid w:val="00E0558D"/>
    <w:rsid w:val="00E0628C"/>
    <w:rsid w:val="00E068A2"/>
    <w:rsid w:val="00E06EF7"/>
    <w:rsid w:val="00E101F9"/>
    <w:rsid w:val="00E1185D"/>
    <w:rsid w:val="00E11D8A"/>
    <w:rsid w:val="00E11DF5"/>
    <w:rsid w:val="00E12D63"/>
    <w:rsid w:val="00E15A77"/>
    <w:rsid w:val="00E15B49"/>
    <w:rsid w:val="00E16D3C"/>
    <w:rsid w:val="00E174DD"/>
    <w:rsid w:val="00E17DEF"/>
    <w:rsid w:val="00E2170B"/>
    <w:rsid w:val="00E21E8C"/>
    <w:rsid w:val="00E22EDC"/>
    <w:rsid w:val="00E23AD3"/>
    <w:rsid w:val="00E23CF0"/>
    <w:rsid w:val="00E24743"/>
    <w:rsid w:val="00E24CF8"/>
    <w:rsid w:val="00E26468"/>
    <w:rsid w:val="00E27CD2"/>
    <w:rsid w:val="00E30062"/>
    <w:rsid w:val="00E3065D"/>
    <w:rsid w:val="00E30869"/>
    <w:rsid w:val="00E3126B"/>
    <w:rsid w:val="00E3499A"/>
    <w:rsid w:val="00E34AF7"/>
    <w:rsid w:val="00E34EDE"/>
    <w:rsid w:val="00E34FB3"/>
    <w:rsid w:val="00E34FE9"/>
    <w:rsid w:val="00E3635B"/>
    <w:rsid w:val="00E370DF"/>
    <w:rsid w:val="00E37941"/>
    <w:rsid w:val="00E402EE"/>
    <w:rsid w:val="00E40EC2"/>
    <w:rsid w:val="00E41D59"/>
    <w:rsid w:val="00E425E6"/>
    <w:rsid w:val="00E433B8"/>
    <w:rsid w:val="00E45046"/>
    <w:rsid w:val="00E45438"/>
    <w:rsid w:val="00E45481"/>
    <w:rsid w:val="00E4617A"/>
    <w:rsid w:val="00E461CC"/>
    <w:rsid w:val="00E462DF"/>
    <w:rsid w:val="00E46EAB"/>
    <w:rsid w:val="00E50968"/>
    <w:rsid w:val="00E526CD"/>
    <w:rsid w:val="00E53C17"/>
    <w:rsid w:val="00E5458B"/>
    <w:rsid w:val="00E54CA0"/>
    <w:rsid w:val="00E54D04"/>
    <w:rsid w:val="00E552DD"/>
    <w:rsid w:val="00E56085"/>
    <w:rsid w:val="00E567C6"/>
    <w:rsid w:val="00E56A41"/>
    <w:rsid w:val="00E572CA"/>
    <w:rsid w:val="00E57D5D"/>
    <w:rsid w:val="00E621E7"/>
    <w:rsid w:val="00E6227A"/>
    <w:rsid w:val="00E62D73"/>
    <w:rsid w:val="00E634BE"/>
    <w:rsid w:val="00E63566"/>
    <w:rsid w:val="00E63A5A"/>
    <w:rsid w:val="00E63AA6"/>
    <w:rsid w:val="00E66384"/>
    <w:rsid w:val="00E71257"/>
    <w:rsid w:val="00E71352"/>
    <w:rsid w:val="00E71DD7"/>
    <w:rsid w:val="00E72222"/>
    <w:rsid w:val="00E726DF"/>
    <w:rsid w:val="00E731D2"/>
    <w:rsid w:val="00E73A47"/>
    <w:rsid w:val="00E74B6E"/>
    <w:rsid w:val="00E7529B"/>
    <w:rsid w:val="00E7541C"/>
    <w:rsid w:val="00E75A45"/>
    <w:rsid w:val="00E76211"/>
    <w:rsid w:val="00E76411"/>
    <w:rsid w:val="00E77A29"/>
    <w:rsid w:val="00E77DFB"/>
    <w:rsid w:val="00E805B1"/>
    <w:rsid w:val="00E805D3"/>
    <w:rsid w:val="00E81834"/>
    <w:rsid w:val="00E81B81"/>
    <w:rsid w:val="00E820A8"/>
    <w:rsid w:val="00E829E4"/>
    <w:rsid w:val="00E82A7A"/>
    <w:rsid w:val="00E8329D"/>
    <w:rsid w:val="00E83BF1"/>
    <w:rsid w:val="00E83E26"/>
    <w:rsid w:val="00E83F13"/>
    <w:rsid w:val="00E84515"/>
    <w:rsid w:val="00E84727"/>
    <w:rsid w:val="00E85044"/>
    <w:rsid w:val="00E8600D"/>
    <w:rsid w:val="00E86C63"/>
    <w:rsid w:val="00E87CF9"/>
    <w:rsid w:val="00E90091"/>
    <w:rsid w:val="00E905E2"/>
    <w:rsid w:val="00E90692"/>
    <w:rsid w:val="00E9071D"/>
    <w:rsid w:val="00E90F29"/>
    <w:rsid w:val="00E910CB"/>
    <w:rsid w:val="00E91450"/>
    <w:rsid w:val="00E9291D"/>
    <w:rsid w:val="00E93DF9"/>
    <w:rsid w:val="00E9535C"/>
    <w:rsid w:val="00E95517"/>
    <w:rsid w:val="00E9561E"/>
    <w:rsid w:val="00E96FD1"/>
    <w:rsid w:val="00E973D5"/>
    <w:rsid w:val="00E97DB3"/>
    <w:rsid w:val="00EA0EC7"/>
    <w:rsid w:val="00EA127B"/>
    <w:rsid w:val="00EA13C2"/>
    <w:rsid w:val="00EA1E65"/>
    <w:rsid w:val="00EA1FC0"/>
    <w:rsid w:val="00EA1FED"/>
    <w:rsid w:val="00EA319F"/>
    <w:rsid w:val="00EA353B"/>
    <w:rsid w:val="00EA38E7"/>
    <w:rsid w:val="00EA57DE"/>
    <w:rsid w:val="00EA5C84"/>
    <w:rsid w:val="00EA6248"/>
    <w:rsid w:val="00EA6E4C"/>
    <w:rsid w:val="00EA7945"/>
    <w:rsid w:val="00EB0264"/>
    <w:rsid w:val="00EB0FE7"/>
    <w:rsid w:val="00EB1D04"/>
    <w:rsid w:val="00EB281E"/>
    <w:rsid w:val="00EB33DB"/>
    <w:rsid w:val="00EB3AFF"/>
    <w:rsid w:val="00EB3B53"/>
    <w:rsid w:val="00EB3C00"/>
    <w:rsid w:val="00EB4160"/>
    <w:rsid w:val="00EB448C"/>
    <w:rsid w:val="00EB491D"/>
    <w:rsid w:val="00EB497E"/>
    <w:rsid w:val="00EB4B1A"/>
    <w:rsid w:val="00EC08FE"/>
    <w:rsid w:val="00EC0C11"/>
    <w:rsid w:val="00EC135D"/>
    <w:rsid w:val="00EC135E"/>
    <w:rsid w:val="00EC14A2"/>
    <w:rsid w:val="00EC1B1C"/>
    <w:rsid w:val="00EC23C8"/>
    <w:rsid w:val="00EC264A"/>
    <w:rsid w:val="00EC26BE"/>
    <w:rsid w:val="00EC2F5F"/>
    <w:rsid w:val="00EC3237"/>
    <w:rsid w:val="00EC5562"/>
    <w:rsid w:val="00EC5D1E"/>
    <w:rsid w:val="00EC7495"/>
    <w:rsid w:val="00ED05D8"/>
    <w:rsid w:val="00ED141D"/>
    <w:rsid w:val="00ED45FB"/>
    <w:rsid w:val="00ED72E0"/>
    <w:rsid w:val="00ED78F8"/>
    <w:rsid w:val="00EE0332"/>
    <w:rsid w:val="00EE18E1"/>
    <w:rsid w:val="00EE2420"/>
    <w:rsid w:val="00EE2C58"/>
    <w:rsid w:val="00EE2C73"/>
    <w:rsid w:val="00EE3B80"/>
    <w:rsid w:val="00EE3C86"/>
    <w:rsid w:val="00EE3CD2"/>
    <w:rsid w:val="00EE4216"/>
    <w:rsid w:val="00EE4C43"/>
    <w:rsid w:val="00EE4D0E"/>
    <w:rsid w:val="00EE7137"/>
    <w:rsid w:val="00EF018A"/>
    <w:rsid w:val="00EF0A60"/>
    <w:rsid w:val="00EF1301"/>
    <w:rsid w:val="00EF1AFF"/>
    <w:rsid w:val="00EF1ED8"/>
    <w:rsid w:val="00EF221F"/>
    <w:rsid w:val="00EF2711"/>
    <w:rsid w:val="00EF343E"/>
    <w:rsid w:val="00EF439C"/>
    <w:rsid w:val="00EF69F2"/>
    <w:rsid w:val="00EF7AB1"/>
    <w:rsid w:val="00EF7CC1"/>
    <w:rsid w:val="00EF7FBF"/>
    <w:rsid w:val="00F0082C"/>
    <w:rsid w:val="00F00997"/>
    <w:rsid w:val="00F011F7"/>
    <w:rsid w:val="00F02633"/>
    <w:rsid w:val="00F02B60"/>
    <w:rsid w:val="00F032D8"/>
    <w:rsid w:val="00F03B0F"/>
    <w:rsid w:val="00F03C54"/>
    <w:rsid w:val="00F05867"/>
    <w:rsid w:val="00F05BD3"/>
    <w:rsid w:val="00F064EC"/>
    <w:rsid w:val="00F073FC"/>
    <w:rsid w:val="00F07801"/>
    <w:rsid w:val="00F106BB"/>
    <w:rsid w:val="00F10C68"/>
    <w:rsid w:val="00F10DB3"/>
    <w:rsid w:val="00F10DEC"/>
    <w:rsid w:val="00F11577"/>
    <w:rsid w:val="00F1227C"/>
    <w:rsid w:val="00F13E60"/>
    <w:rsid w:val="00F14432"/>
    <w:rsid w:val="00F1453E"/>
    <w:rsid w:val="00F147FC"/>
    <w:rsid w:val="00F14CB8"/>
    <w:rsid w:val="00F1611B"/>
    <w:rsid w:val="00F172D9"/>
    <w:rsid w:val="00F2052D"/>
    <w:rsid w:val="00F2085B"/>
    <w:rsid w:val="00F2088D"/>
    <w:rsid w:val="00F20E78"/>
    <w:rsid w:val="00F20FD0"/>
    <w:rsid w:val="00F21C41"/>
    <w:rsid w:val="00F225C5"/>
    <w:rsid w:val="00F22ED3"/>
    <w:rsid w:val="00F23AD4"/>
    <w:rsid w:val="00F24E33"/>
    <w:rsid w:val="00F2509B"/>
    <w:rsid w:val="00F25581"/>
    <w:rsid w:val="00F2701A"/>
    <w:rsid w:val="00F30B51"/>
    <w:rsid w:val="00F3124A"/>
    <w:rsid w:val="00F32665"/>
    <w:rsid w:val="00F32D94"/>
    <w:rsid w:val="00F336DF"/>
    <w:rsid w:val="00F339E1"/>
    <w:rsid w:val="00F33A58"/>
    <w:rsid w:val="00F33B64"/>
    <w:rsid w:val="00F33CBF"/>
    <w:rsid w:val="00F33DE7"/>
    <w:rsid w:val="00F348BB"/>
    <w:rsid w:val="00F35FD0"/>
    <w:rsid w:val="00F36752"/>
    <w:rsid w:val="00F3691D"/>
    <w:rsid w:val="00F37210"/>
    <w:rsid w:val="00F40033"/>
    <w:rsid w:val="00F40553"/>
    <w:rsid w:val="00F40E16"/>
    <w:rsid w:val="00F413CE"/>
    <w:rsid w:val="00F41EC5"/>
    <w:rsid w:val="00F41FC9"/>
    <w:rsid w:val="00F42228"/>
    <w:rsid w:val="00F42511"/>
    <w:rsid w:val="00F43095"/>
    <w:rsid w:val="00F4375D"/>
    <w:rsid w:val="00F44035"/>
    <w:rsid w:val="00F442D7"/>
    <w:rsid w:val="00F44C90"/>
    <w:rsid w:val="00F44E22"/>
    <w:rsid w:val="00F45249"/>
    <w:rsid w:val="00F455D1"/>
    <w:rsid w:val="00F47EF8"/>
    <w:rsid w:val="00F5006B"/>
    <w:rsid w:val="00F500F6"/>
    <w:rsid w:val="00F51219"/>
    <w:rsid w:val="00F5179D"/>
    <w:rsid w:val="00F519FE"/>
    <w:rsid w:val="00F51A2A"/>
    <w:rsid w:val="00F51E20"/>
    <w:rsid w:val="00F51FDB"/>
    <w:rsid w:val="00F533D6"/>
    <w:rsid w:val="00F534B7"/>
    <w:rsid w:val="00F53D22"/>
    <w:rsid w:val="00F54085"/>
    <w:rsid w:val="00F54270"/>
    <w:rsid w:val="00F54543"/>
    <w:rsid w:val="00F54555"/>
    <w:rsid w:val="00F55981"/>
    <w:rsid w:val="00F60914"/>
    <w:rsid w:val="00F60BC2"/>
    <w:rsid w:val="00F616BD"/>
    <w:rsid w:val="00F62435"/>
    <w:rsid w:val="00F62CA7"/>
    <w:rsid w:val="00F65A18"/>
    <w:rsid w:val="00F66E85"/>
    <w:rsid w:val="00F67217"/>
    <w:rsid w:val="00F6795C"/>
    <w:rsid w:val="00F67A0A"/>
    <w:rsid w:val="00F67ABF"/>
    <w:rsid w:val="00F67B12"/>
    <w:rsid w:val="00F67F97"/>
    <w:rsid w:val="00F716B2"/>
    <w:rsid w:val="00F7235E"/>
    <w:rsid w:val="00F73FE2"/>
    <w:rsid w:val="00F74D84"/>
    <w:rsid w:val="00F75592"/>
    <w:rsid w:val="00F757CE"/>
    <w:rsid w:val="00F760D2"/>
    <w:rsid w:val="00F76313"/>
    <w:rsid w:val="00F766BA"/>
    <w:rsid w:val="00F77A28"/>
    <w:rsid w:val="00F8021C"/>
    <w:rsid w:val="00F8062E"/>
    <w:rsid w:val="00F81068"/>
    <w:rsid w:val="00F816BE"/>
    <w:rsid w:val="00F81D46"/>
    <w:rsid w:val="00F8231B"/>
    <w:rsid w:val="00F82363"/>
    <w:rsid w:val="00F8245F"/>
    <w:rsid w:val="00F82F4C"/>
    <w:rsid w:val="00F82F6A"/>
    <w:rsid w:val="00F8350C"/>
    <w:rsid w:val="00F83E12"/>
    <w:rsid w:val="00F84616"/>
    <w:rsid w:val="00F84647"/>
    <w:rsid w:val="00F85CA5"/>
    <w:rsid w:val="00F9038E"/>
    <w:rsid w:val="00F90A33"/>
    <w:rsid w:val="00F90E63"/>
    <w:rsid w:val="00F911FF"/>
    <w:rsid w:val="00F913DE"/>
    <w:rsid w:val="00F931DC"/>
    <w:rsid w:val="00F935CC"/>
    <w:rsid w:val="00F93D57"/>
    <w:rsid w:val="00F9414A"/>
    <w:rsid w:val="00F94BB9"/>
    <w:rsid w:val="00F952DC"/>
    <w:rsid w:val="00F95E22"/>
    <w:rsid w:val="00F95FAD"/>
    <w:rsid w:val="00F9620C"/>
    <w:rsid w:val="00F970D8"/>
    <w:rsid w:val="00F97EA3"/>
    <w:rsid w:val="00FA0EAC"/>
    <w:rsid w:val="00FA1252"/>
    <w:rsid w:val="00FA1960"/>
    <w:rsid w:val="00FA45D6"/>
    <w:rsid w:val="00FA46C5"/>
    <w:rsid w:val="00FA4BE0"/>
    <w:rsid w:val="00FA4E80"/>
    <w:rsid w:val="00FA573F"/>
    <w:rsid w:val="00FA620A"/>
    <w:rsid w:val="00FA6AD6"/>
    <w:rsid w:val="00FA6B8A"/>
    <w:rsid w:val="00FA6ECB"/>
    <w:rsid w:val="00FA76EF"/>
    <w:rsid w:val="00FA7977"/>
    <w:rsid w:val="00FB08AF"/>
    <w:rsid w:val="00FB147E"/>
    <w:rsid w:val="00FB2966"/>
    <w:rsid w:val="00FB2A32"/>
    <w:rsid w:val="00FB2DBE"/>
    <w:rsid w:val="00FB40A9"/>
    <w:rsid w:val="00FB443D"/>
    <w:rsid w:val="00FB58F3"/>
    <w:rsid w:val="00FB67B5"/>
    <w:rsid w:val="00FB689E"/>
    <w:rsid w:val="00FB7AC0"/>
    <w:rsid w:val="00FB7C58"/>
    <w:rsid w:val="00FC0934"/>
    <w:rsid w:val="00FC0A46"/>
    <w:rsid w:val="00FC0DCE"/>
    <w:rsid w:val="00FC0DED"/>
    <w:rsid w:val="00FC0F7B"/>
    <w:rsid w:val="00FC1CB0"/>
    <w:rsid w:val="00FC3375"/>
    <w:rsid w:val="00FC406E"/>
    <w:rsid w:val="00FC536C"/>
    <w:rsid w:val="00FC591C"/>
    <w:rsid w:val="00FC696E"/>
    <w:rsid w:val="00FD02D0"/>
    <w:rsid w:val="00FD02D3"/>
    <w:rsid w:val="00FD2607"/>
    <w:rsid w:val="00FD3063"/>
    <w:rsid w:val="00FD3708"/>
    <w:rsid w:val="00FD4878"/>
    <w:rsid w:val="00FD5081"/>
    <w:rsid w:val="00FD5C5E"/>
    <w:rsid w:val="00FD613A"/>
    <w:rsid w:val="00FD6930"/>
    <w:rsid w:val="00FD7579"/>
    <w:rsid w:val="00FD7E6B"/>
    <w:rsid w:val="00FE2868"/>
    <w:rsid w:val="00FE342E"/>
    <w:rsid w:val="00FE38EA"/>
    <w:rsid w:val="00FE3A77"/>
    <w:rsid w:val="00FE3AE6"/>
    <w:rsid w:val="00FE5E54"/>
    <w:rsid w:val="00FE60D5"/>
    <w:rsid w:val="00FE6D76"/>
    <w:rsid w:val="00FE7CE3"/>
    <w:rsid w:val="00FE7F23"/>
    <w:rsid w:val="00FF0E0C"/>
    <w:rsid w:val="00FF3173"/>
    <w:rsid w:val="00FF35A3"/>
    <w:rsid w:val="00FF3B78"/>
    <w:rsid w:val="00FF4357"/>
    <w:rsid w:val="00FF4692"/>
    <w:rsid w:val="00FF4A4E"/>
    <w:rsid w:val="00FF5C75"/>
    <w:rsid w:val="00FF6027"/>
    <w:rsid w:val="00FF6B20"/>
    <w:rsid w:val="00FF6B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E47D78"/>
  <w15:docId w15:val="{F51ED094-7A4D-4565-997E-250B95D2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lang w:eastAsia="zh-CN"/>
    </w:rPr>
  </w:style>
  <w:style w:type="paragraph" w:styleId="3">
    <w:name w:val="heading 3"/>
    <w:basedOn w:val="a"/>
    <w:next w:val="a"/>
    <w:link w:val="3Char"/>
    <w:qFormat/>
    <w:rsid w:val="00780B9E"/>
    <w:pPr>
      <w:keepNext/>
      <w:keepLines/>
      <w:spacing w:before="260" w:after="260" w:line="416" w:lineRule="auto"/>
      <w:outlineLvl w:val="2"/>
    </w:pPr>
    <w:rPr>
      <w:b/>
      <w:bCs/>
      <w:sz w:val="32"/>
      <w:szCs w:val="32"/>
    </w:rPr>
  </w:style>
  <w:style w:type="paragraph" w:styleId="4">
    <w:name w:val="heading 4"/>
    <w:basedOn w:val="a"/>
    <w:qFormat/>
    <w:rsid w:val="00B67853"/>
    <w:pPr>
      <w:widowControl/>
      <w:spacing w:before="100" w:beforeAutospacing="1" w:after="100" w:afterAutospacing="1"/>
      <w:jc w:val="left"/>
      <w:outlineLvl w:val="3"/>
    </w:pPr>
    <w:rPr>
      <w:rFonts w:ascii="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paragraph" w:styleId="a6">
    <w:name w:val="Balloon Text"/>
    <w:basedOn w:val="a"/>
    <w:pPr>
      <w:jc w:val="left"/>
    </w:pPr>
    <w:rPr>
      <w:rFonts w:ascii="Tahoma" w:hAnsi="Tahoma" w:cs="Tahoma"/>
      <w:sz w:val="16"/>
      <w:szCs w:val="18"/>
    </w:rPr>
  </w:style>
  <w:style w:type="character" w:styleId="a7">
    <w:name w:val="line number"/>
    <w:basedOn w:val="a0"/>
    <w:rsid w:val="00B67853"/>
  </w:style>
  <w:style w:type="paragraph" w:customStyle="1" w:styleId="norm">
    <w:name w:val="norm"/>
    <w:basedOn w:val="a"/>
    <w:rsid w:val="000C14D2"/>
    <w:pPr>
      <w:widowControl/>
      <w:spacing w:before="100" w:beforeAutospacing="1" w:after="100" w:afterAutospacing="1"/>
      <w:jc w:val="left"/>
    </w:pPr>
    <w:rPr>
      <w:rFonts w:ascii="Times" w:hAnsi="Times"/>
      <w:kern w:val="0"/>
      <w:sz w:val="20"/>
      <w:lang w:val="en-HK" w:eastAsia="en-US"/>
    </w:rPr>
  </w:style>
  <w:style w:type="character" w:customStyle="1" w:styleId="apple-converted-space">
    <w:name w:val="apple-converted-space"/>
    <w:rsid w:val="000C14D2"/>
  </w:style>
  <w:style w:type="paragraph" w:customStyle="1" w:styleId="Body">
    <w:name w:val="Body"/>
    <w:rsid w:val="00DD731F"/>
    <w:pPr>
      <w:pBdr>
        <w:top w:val="nil"/>
        <w:left w:val="nil"/>
        <w:bottom w:val="nil"/>
        <w:right w:val="nil"/>
        <w:between w:val="nil"/>
        <w:bar w:val="nil"/>
      </w:pBdr>
    </w:pPr>
    <w:rPr>
      <w:rFonts w:ascii="Cambria" w:eastAsia="Cambria" w:hAnsi="Cambria" w:cs="Cambria"/>
      <w:color w:val="000000"/>
      <w:sz w:val="24"/>
      <w:szCs w:val="24"/>
      <w:u w:color="000000"/>
      <w:bdr w:val="nil"/>
    </w:rPr>
  </w:style>
  <w:style w:type="paragraph" w:customStyle="1" w:styleId="p">
    <w:name w:val="p"/>
    <w:basedOn w:val="a"/>
    <w:rsid w:val="00D77F8A"/>
    <w:pPr>
      <w:widowControl/>
      <w:spacing w:before="100" w:beforeAutospacing="1" w:after="100" w:afterAutospacing="1"/>
      <w:jc w:val="left"/>
    </w:pPr>
    <w:rPr>
      <w:rFonts w:ascii="Times" w:hAnsi="Times"/>
      <w:kern w:val="0"/>
      <w:sz w:val="20"/>
      <w:lang w:val="en-HK" w:eastAsia="en-US"/>
    </w:rPr>
  </w:style>
  <w:style w:type="character" w:styleId="a8">
    <w:name w:val="Emphasis"/>
    <w:uiPriority w:val="20"/>
    <w:qFormat/>
    <w:rsid w:val="001A6071"/>
    <w:rPr>
      <w:i/>
      <w:iCs/>
    </w:rPr>
  </w:style>
  <w:style w:type="character" w:styleId="a9">
    <w:name w:val="Strong"/>
    <w:uiPriority w:val="22"/>
    <w:qFormat/>
    <w:rsid w:val="00071138"/>
    <w:rPr>
      <w:b/>
      <w:bCs/>
    </w:rPr>
  </w:style>
  <w:style w:type="paragraph" w:styleId="aa">
    <w:name w:val="Normal (Web)"/>
    <w:basedOn w:val="a"/>
    <w:uiPriority w:val="99"/>
    <w:unhideWhenUsed/>
    <w:rsid w:val="00071138"/>
    <w:pPr>
      <w:widowControl/>
      <w:spacing w:before="100" w:beforeAutospacing="1" w:after="100" w:afterAutospacing="1"/>
      <w:jc w:val="left"/>
    </w:pPr>
    <w:rPr>
      <w:rFonts w:ascii="Times" w:hAnsi="Times"/>
      <w:kern w:val="0"/>
      <w:sz w:val="20"/>
      <w:lang w:eastAsia="en-US"/>
    </w:rPr>
  </w:style>
  <w:style w:type="character" w:styleId="ab">
    <w:name w:val="page number"/>
    <w:rsid w:val="002F7938"/>
  </w:style>
  <w:style w:type="paragraph" w:customStyle="1" w:styleId="xmsonormal">
    <w:name w:val="x_msonormal"/>
    <w:basedOn w:val="a"/>
    <w:rsid w:val="0093489E"/>
    <w:pPr>
      <w:widowControl/>
      <w:spacing w:before="100" w:beforeAutospacing="1" w:after="100" w:afterAutospacing="1"/>
      <w:jc w:val="left"/>
    </w:pPr>
    <w:rPr>
      <w:rFonts w:ascii="Times" w:hAnsi="Times"/>
      <w:kern w:val="0"/>
      <w:sz w:val="20"/>
      <w:lang w:eastAsia="en-US"/>
    </w:rPr>
  </w:style>
  <w:style w:type="paragraph" w:customStyle="1" w:styleId="EndNoteBibliographyTitle">
    <w:name w:val="EndNote Bibliography Title"/>
    <w:basedOn w:val="a"/>
    <w:link w:val="EndNoteBibliographyTitleChar"/>
    <w:rsid w:val="00253FDD"/>
    <w:pPr>
      <w:jc w:val="center"/>
    </w:pPr>
    <w:rPr>
      <w:noProof/>
      <w:sz w:val="20"/>
    </w:rPr>
  </w:style>
  <w:style w:type="character" w:customStyle="1" w:styleId="EndNoteBibliographyTitleChar">
    <w:name w:val="EndNote Bibliography Title Char"/>
    <w:link w:val="EndNoteBibliographyTitle"/>
    <w:rsid w:val="00253FDD"/>
    <w:rPr>
      <w:noProof/>
      <w:kern w:val="2"/>
      <w:lang w:eastAsia="zh-CN"/>
    </w:rPr>
  </w:style>
  <w:style w:type="paragraph" w:customStyle="1" w:styleId="EndNoteBibliography">
    <w:name w:val="EndNote Bibliography"/>
    <w:basedOn w:val="a"/>
    <w:link w:val="EndNoteBibliographyChar"/>
    <w:rsid w:val="00253FDD"/>
    <w:rPr>
      <w:noProof/>
      <w:sz w:val="20"/>
    </w:rPr>
  </w:style>
  <w:style w:type="character" w:customStyle="1" w:styleId="EndNoteBibliographyChar">
    <w:name w:val="EndNote Bibliography Char"/>
    <w:link w:val="EndNoteBibliography"/>
    <w:rsid w:val="00253FDD"/>
    <w:rPr>
      <w:noProof/>
      <w:kern w:val="2"/>
      <w:lang w:eastAsia="zh-CN"/>
    </w:rPr>
  </w:style>
  <w:style w:type="paragraph" w:customStyle="1" w:styleId="Default">
    <w:name w:val="Default"/>
    <w:rsid w:val="00973FBD"/>
    <w:pPr>
      <w:widowControl w:val="0"/>
      <w:autoSpaceDE w:val="0"/>
      <w:autoSpaceDN w:val="0"/>
      <w:adjustRightInd w:val="0"/>
    </w:pPr>
    <w:rPr>
      <w:color w:val="000000"/>
      <w:sz w:val="24"/>
      <w:szCs w:val="24"/>
      <w:lang w:eastAsia="zh-TW"/>
    </w:rPr>
  </w:style>
  <w:style w:type="character" w:customStyle="1" w:styleId="3Char">
    <w:name w:val="标题 3 Char"/>
    <w:basedOn w:val="a0"/>
    <w:link w:val="3"/>
    <w:rsid w:val="00E02CF8"/>
    <w:rPr>
      <w:b/>
      <w:bCs/>
      <w:kern w:val="2"/>
      <w:sz w:val="32"/>
      <w:szCs w:val="32"/>
      <w:lang w:eastAsia="zh-CN"/>
    </w:rPr>
  </w:style>
  <w:style w:type="paragraph" w:customStyle="1" w:styleId="ecxmsonormal">
    <w:name w:val="ecxmsonormal"/>
    <w:basedOn w:val="a"/>
    <w:rsid w:val="00A65539"/>
    <w:pPr>
      <w:widowControl/>
      <w:spacing w:before="100" w:beforeAutospacing="1" w:after="100" w:afterAutospacing="1"/>
      <w:jc w:val="left"/>
    </w:pPr>
    <w:rPr>
      <w:rFonts w:ascii="宋体" w:hAnsi="宋体" w:cs="宋体"/>
      <w:kern w:val="0"/>
      <w:sz w:val="24"/>
      <w:szCs w:val="24"/>
    </w:rPr>
  </w:style>
  <w:style w:type="paragraph" w:customStyle="1" w:styleId="Pa9">
    <w:name w:val="Pa9"/>
    <w:basedOn w:val="Default"/>
    <w:next w:val="Default"/>
    <w:uiPriority w:val="99"/>
    <w:rsid w:val="000D7D64"/>
    <w:pPr>
      <w:spacing w:line="151" w:lineRule="atLeast"/>
    </w:pPr>
    <w:rPr>
      <w:rFonts w:ascii="Trade Gothic LT Std" w:eastAsia="Trade Gothic LT Std"/>
      <w:color w:val="auto"/>
      <w:lang w:eastAsia="en-US"/>
    </w:rPr>
  </w:style>
  <w:style w:type="paragraph" w:styleId="ac">
    <w:name w:val="annotation text"/>
    <w:basedOn w:val="a"/>
    <w:link w:val="Char"/>
    <w:semiHidden/>
    <w:unhideWhenUsed/>
    <w:rsid w:val="00E9561E"/>
    <w:pPr>
      <w:jc w:val="left"/>
    </w:pPr>
    <w:rPr>
      <w:rFonts w:ascii="Tahoma" w:hAnsi="Tahoma" w:cs="Tahoma"/>
      <w:color w:val="000000"/>
      <w:sz w:val="16"/>
    </w:rPr>
  </w:style>
  <w:style w:type="character" w:customStyle="1" w:styleId="Char">
    <w:name w:val="批注文字 Char"/>
    <w:basedOn w:val="a0"/>
    <w:link w:val="ac"/>
    <w:semiHidden/>
    <w:rsid w:val="00E9561E"/>
    <w:rPr>
      <w:rFonts w:ascii="Tahoma" w:hAnsi="Tahoma" w:cs="Tahoma"/>
      <w:color w:val="000000"/>
      <w:kern w:val="2"/>
      <w:sz w:val="16"/>
      <w:lang w:eastAsia="zh-CN"/>
    </w:rPr>
  </w:style>
  <w:style w:type="character" w:styleId="ad">
    <w:name w:val="annotation reference"/>
    <w:basedOn w:val="a0"/>
    <w:semiHidden/>
    <w:unhideWhenUsed/>
    <w:rsid w:val="00E9561E"/>
    <w:rPr>
      <w:sz w:val="16"/>
      <w:szCs w:val="16"/>
    </w:rPr>
  </w:style>
  <w:style w:type="paragraph" w:styleId="ae">
    <w:name w:val="annotation subject"/>
    <w:basedOn w:val="ac"/>
    <w:next w:val="ac"/>
    <w:link w:val="Char0"/>
    <w:semiHidden/>
    <w:unhideWhenUsed/>
    <w:rsid w:val="00E9561E"/>
    <w:pPr>
      <w:jc w:val="both"/>
    </w:pPr>
    <w:rPr>
      <w:rFonts w:ascii="Times New Roman" w:hAnsi="Times New Roman" w:cs="Times New Roman"/>
      <w:b/>
      <w:bCs/>
      <w:color w:val="auto"/>
      <w:sz w:val="20"/>
    </w:rPr>
  </w:style>
  <w:style w:type="character" w:customStyle="1" w:styleId="Char0">
    <w:name w:val="批注主题 Char"/>
    <w:basedOn w:val="Char"/>
    <w:link w:val="ae"/>
    <w:semiHidden/>
    <w:rsid w:val="00E9561E"/>
    <w:rPr>
      <w:rFonts w:ascii="Tahoma" w:hAnsi="Tahoma" w:cs="Tahoma"/>
      <w:b/>
      <w:bCs/>
      <w:color w:val="000000"/>
      <w:kern w:val="2"/>
      <w:sz w:val="16"/>
      <w:lang w:eastAsia="zh-CN"/>
    </w:rPr>
  </w:style>
  <w:style w:type="paragraph" w:styleId="af">
    <w:name w:val="Revision"/>
    <w:hidden/>
    <w:uiPriority w:val="99"/>
    <w:semiHidden/>
    <w:rsid w:val="0042522C"/>
    <w:rPr>
      <w:kern w:val="2"/>
      <w:sz w:val="21"/>
      <w:lang w:eastAsia="zh-CN"/>
    </w:rPr>
  </w:style>
  <w:style w:type="paragraph" w:styleId="af0">
    <w:name w:val="List Paragraph"/>
    <w:basedOn w:val="a"/>
    <w:uiPriority w:val="34"/>
    <w:qFormat/>
    <w:rsid w:val="00842B4D"/>
    <w:pPr>
      <w:ind w:left="720"/>
      <w:contextualSpacing/>
    </w:pPr>
  </w:style>
  <w:style w:type="paragraph" w:customStyle="1" w:styleId="Paragraph">
    <w:name w:val="Paragraph"/>
    <w:basedOn w:val="a"/>
    <w:rsid w:val="00DA0ACC"/>
    <w:pPr>
      <w:widowControl/>
      <w:spacing w:before="120"/>
      <w:ind w:firstLine="720"/>
      <w:jc w:val="left"/>
    </w:pPr>
    <w:rPr>
      <w:rFonts w:eastAsia="Times New Roman"/>
      <w:kern w:val="0"/>
      <w:sz w:val="24"/>
      <w:szCs w:val="24"/>
      <w:lang w:eastAsia="en-US"/>
    </w:rPr>
  </w:style>
  <w:style w:type="character" w:customStyle="1" w:styleId="apple-style-span">
    <w:name w:val="apple-style-span"/>
    <w:qFormat/>
    <w:rsid w:val="00D33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171">
      <w:bodyDiv w:val="1"/>
      <w:marLeft w:val="0"/>
      <w:marRight w:val="0"/>
      <w:marTop w:val="0"/>
      <w:marBottom w:val="0"/>
      <w:divBdr>
        <w:top w:val="none" w:sz="0" w:space="0" w:color="auto"/>
        <w:left w:val="none" w:sz="0" w:space="0" w:color="auto"/>
        <w:bottom w:val="none" w:sz="0" w:space="0" w:color="auto"/>
        <w:right w:val="none" w:sz="0" w:space="0" w:color="auto"/>
      </w:divBdr>
    </w:div>
    <w:div w:id="4090661">
      <w:bodyDiv w:val="1"/>
      <w:marLeft w:val="0"/>
      <w:marRight w:val="0"/>
      <w:marTop w:val="0"/>
      <w:marBottom w:val="0"/>
      <w:divBdr>
        <w:top w:val="none" w:sz="0" w:space="0" w:color="auto"/>
        <w:left w:val="none" w:sz="0" w:space="0" w:color="auto"/>
        <w:bottom w:val="none" w:sz="0" w:space="0" w:color="auto"/>
        <w:right w:val="none" w:sz="0" w:space="0" w:color="auto"/>
      </w:divBdr>
    </w:div>
    <w:div w:id="57628040">
      <w:bodyDiv w:val="1"/>
      <w:marLeft w:val="0"/>
      <w:marRight w:val="0"/>
      <w:marTop w:val="0"/>
      <w:marBottom w:val="0"/>
      <w:divBdr>
        <w:top w:val="none" w:sz="0" w:space="0" w:color="auto"/>
        <w:left w:val="none" w:sz="0" w:space="0" w:color="auto"/>
        <w:bottom w:val="none" w:sz="0" w:space="0" w:color="auto"/>
        <w:right w:val="none" w:sz="0" w:space="0" w:color="auto"/>
      </w:divBdr>
    </w:div>
    <w:div w:id="57947274">
      <w:bodyDiv w:val="1"/>
      <w:marLeft w:val="0"/>
      <w:marRight w:val="0"/>
      <w:marTop w:val="0"/>
      <w:marBottom w:val="0"/>
      <w:divBdr>
        <w:top w:val="none" w:sz="0" w:space="0" w:color="auto"/>
        <w:left w:val="none" w:sz="0" w:space="0" w:color="auto"/>
        <w:bottom w:val="none" w:sz="0" w:space="0" w:color="auto"/>
        <w:right w:val="none" w:sz="0" w:space="0" w:color="auto"/>
      </w:divBdr>
    </w:div>
    <w:div w:id="132716279">
      <w:bodyDiv w:val="1"/>
      <w:marLeft w:val="0"/>
      <w:marRight w:val="0"/>
      <w:marTop w:val="0"/>
      <w:marBottom w:val="0"/>
      <w:divBdr>
        <w:top w:val="none" w:sz="0" w:space="0" w:color="auto"/>
        <w:left w:val="none" w:sz="0" w:space="0" w:color="auto"/>
        <w:bottom w:val="none" w:sz="0" w:space="0" w:color="auto"/>
        <w:right w:val="none" w:sz="0" w:space="0" w:color="auto"/>
      </w:divBdr>
    </w:div>
    <w:div w:id="144392760">
      <w:bodyDiv w:val="1"/>
      <w:marLeft w:val="0"/>
      <w:marRight w:val="0"/>
      <w:marTop w:val="0"/>
      <w:marBottom w:val="0"/>
      <w:divBdr>
        <w:top w:val="none" w:sz="0" w:space="0" w:color="auto"/>
        <w:left w:val="none" w:sz="0" w:space="0" w:color="auto"/>
        <w:bottom w:val="none" w:sz="0" w:space="0" w:color="auto"/>
        <w:right w:val="none" w:sz="0" w:space="0" w:color="auto"/>
      </w:divBdr>
    </w:div>
    <w:div w:id="148638487">
      <w:bodyDiv w:val="1"/>
      <w:marLeft w:val="0"/>
      <w:marRight w:val="0"/>
      <w:marTop w:val="0"/>
      <w:marBottom w:val="0"/>
      <w:divBdr>
        <w:top w:val="none" w:sz="0" w:space="0" w:color="auto"/>
        <w:left w:val="none" w:sz="0" w:space="0" w:color="auto"/>
        <w:bottom w:val="none" w:sz="0" w:space="0" w:color="auto"/>
        <w:right w:val="none" w:sz="0" w:space="0" w:color="auto"/>
      </w:divBdr>
    </w:div>
    <w:div w:id="161359440">
      <w:bodyDiv w:val="1"/>
      <w:marLeft w:val="0"/>
      <w:marRight w:val="0"/>
      <w:marTop w:val="0"/>
      <w:marBottom w:val="0"/>
      <w:divBdr>
        <w:top w:val="none" w:sz="0" w:space="0" w:color="auto"/>
        <w:left w:val="none" w:sz="0" w:space="0" w:color="auto"/>
        <w:bottom w:val="none" w:sz="0" w:space="0" w:color="auto"/>
        <w:right w:val="none" w:sz="0" w:space="0" w:color="auto"/>
      </w:divBdr>
      <w:divsChild>
        <w:div w:id="1669167429">
          <w:marLeft w:val="0"/>
          <w:marRight w:val="0"/>
          <w:marTop w:val="0"/>
          <w:marBottom w:val="0"/>
          <w:divBdr>
            <w:top w:val="none" w:sz="0" w:space="0" w:color="auto"/>
            <w:left w:val="none" w:sz="0" w:space="0" w:color="auto"/>
            <w:bottom w:val="none" w:sz="0" w:space="0" w:color="auto"/>
            <w:right w:val="none" w:sz="0" w:space="0" w:color="auto"/>
          </w:divBdr>
          <w:divsChild>
            <w:div w:id="327178299">
              <w:marLeft w:val="0"/>
              <w:marRight w:val="0"/>
              <w:marTop w:val="0"/>
              <w:marBottom w:val="0"/>
              <w:divBdr>
                <w:top w:val="none" w:sz="0" w:space="0" w:color="auto"/>
                <w:left w:val="none" w:sz="0" w:space="0" w:color="auto"/>
                <w:bottom w:val="none" w:sz="0" w:space="0" w:color="auto"/>
                <w:right w:val="none" w:sz="0" w:space="0" w:color="auto"/>
              </w:divBdr>
            </w:div>
            <w:div w:id="1621841649">
              <w:marLeft w:val="0"/>
              <w:marRight w:val="0"/>
              <w:marTop w:val="0"/>
              <w:marBottom w:val="0"/>
              <w:divBdr>
                <w:top w:val="none" w:sz="0" w:space="0" w:color="auto"/>
                <w:left w:val="none" w:sz="0" w:space="0" w:color="auto"/>
                <w:bottom w:val="none" w:sz="0" w:space="0" w:color="auto"/>
                <w:right w:val="none" w:sz="0" w:space="0" w:color="auto"/>
              </w:divBdr>
            </w:div>
            <w:div w:id="176484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7139">
      <w:bodyDiv w:val="1"/>
      <w:marLeft w:val="0"/>
      <w:marRight w:val="0"/>
      <w:marTop w:val="0"/>
      <w:marBottom w:val="0"/>
      <w:divBdr>
        <w:top w:val="none" w:sz="0" w:space="0" w:color="auto"/>
        <w:left w:val="none" w:sz="0" w:space="0" w:color="auto"/>
        <w:bottom w:val="none" w:sz="0" w:space="0" w:color="auto"/>
        <w:right w:val="none" w:sz="0" w:space="0" w:color="auto"/>
      </w:divBdr>
    </w:div>
    <w:div w:id="168063957">
      <w:bodyDiv w:val="1"/>
      <w:marLeft w:val="0"/>
      <w:marRight w:val="0"/>
      <w:marTop w:val="0"/>
      <w:marBottom w:val="0"/>
      <w:divBdr>
        <w:top w:val="none" w:sz="0" w:space="0" w:color="auto"/>
        <w:left w:val="none" w:sz="0" w:space="0" w:color="auto"/>
        <w:bottom w:val="none" w:sz="0" w:space="0" w:color="auto"/>
        <w:right w:val="none" w:sz="0" w:space="0" w:color="auto"/>
      </w:divBdr>
    </w:div>
    <w:div w:id="172766902">
      <w:bodyDiv w:val="1"/>
      <w:marLeft w:val="0"/>
      <w:marRight w:val="0"/>
      <w:marTop w:val="0"/>
      <w:marBottom w:val="0"/>
      <w:divBdr>
        <w:top w:val="none" w:sz="0" w:space="0" w:color="auto"/>
        <w:left w:val="none" w:sz="0" w:space="0" w:color="auto"/>
        <w:bottom w:val="none" w:sz="0" w:space="0" w:color="auto"/>
        <w:right w:val="none" w:sz="0" w:space="0" w:color="auto"/>
      </w:divBdr>
    </w:div>
    <w:div w:id="178467156">
      <w:bodyDiv w:val="1"/>
      <w:marLeft w:val="0"/>
      <w:marRight w:val="0"/>
      <w:marTop w:val="0"/>
      <w:marBottom w:val="0"/>
      <w:divBdr>
        <w:top w:val="none" w:sz="0" w:space="0" w:color="auto"/>
        <w:left w:val="none" w:sz="0" w:space="0" w:color="auto"/>
        <w:bottom w:val="none" w:sz="0" w:space="0" w:color="auto"/>
        <w:right w:val="none" w:sz="0" w:space="0" w:color="auto"/>
      </w:divBdr>
      <w:divsChild>
        <w:div w:id="1359768841">
          <w:marLeft w:val="0"/>
          <w:marRight w:val="0"/>
          <w:marTop w:val="0"/>
          <w:marBottom w:val="0"/>
          <w:divBdr>
            <w:top w:val="none" w:sz="0" w:space="0" w:color="auto"/>
            <w:left w:val="none" w:sz="0" w:space="0" w:color="auto"/>
            <w:bottom w:val="none" w:sz="0" w:space="0" w:color="auto"/>
            <w:right w:val="none" w:sz="0" w:space="0" w:color="auto"/>
          </w:divBdr>
          <w:divsChild>
            <w:div w:id="131525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9004">
      <w:bodyDiv w:val="1"/>
      <w:marLeft w:val="0"/>
      <w:marRight w:val="0"/>
      <w:marTop w:val="0"/>
      <w:marBottom w:val="0"/>
      <w:divBdr>
        <w:top w:val="none" w:sz="0" w:space="0" w:color="auto"/>
        <w:left w:val="none" w:sz="0" w:space="0" w:color="auto"/>
        <w:bottom w:val="none" w:sz="0" w:space="0" w:color="auto"/>
        <w:right w:val="none" w:sz="0" w:space="0" w:color="auto"/>
      </w:divBdr>
      <w:divsChild>
        <w:div w:id="2091585300">
          <w:marLeft w:val="0"/>
          <w:marRight w:val="0"/>
          <w:marTop w:val="0"/>
          <w:marBottom w:val="0"/>
          <w:divBdr>
            <w:top w:val="none" w:sz="0" w:space="0" w:color="auto"/>
            <w:left w:val="none" w:sz="0" w:space="0" w:color="auto"/>
            <w:bottom w:val="none" w:sz="0" w:space="0" w:color="auto"/>
            <w:right w:val="none" w:sz="0" w:space="0" w:color="auto"/>
          </w:divBdr>
        </w:div>
      </w:divsChild>
    </w:div>
    <w:div w:id="183179837">
      <w:bodyDiv w:val="1"/>
      <w:marLeft w:val="0"/>
      <w:marRight w:val="0"/>
      <w:marTop w:val="0"/>
      <w:marBottom w:val="0"/>
      <w:divBdr>
        <w:top w:val="none" w:sz="0" w:space="0" w:color="auto"/>
        <w:left w:val="none" w:sz="0" w:space="0" w:color="auto"/>
        <w:bottom w:val="none" w:sz="0" w:space="0" w:color="auto"/>
        <w:right w:val="none" w:sz="0" w:space="0" w:color="auto"/>
      </w:divBdr>
    </w:div>
    <w:div w:id="199561456">
      <w:bodyDiv w:val="1"/>
      <w:marLeft w:val="0"/>
      <w:marRight w:val="0"/>
      <w:marTop w:val="0"/>
      <w:marBottom w:val="0"/>
      <w:divBdr>
        <w:top w:val="none" w:sz="0" w:space="0" w:color="auto"/>
        <w:left w:val="none" w:sz="0" w:space="0" w:color="auto"/>
        <w:bottom w:val="none" w:sz="0" w:space="0" w:color="auto"/>
        <w:right w:val="none" w:sz="0" w:space="0" w:color="auto"/>
      </w:divBdr>
    </w:div>
    <w:div w:id="221714122">
      <w:bodyDiv w:val="1"/>
      <w:marLeft w:val="0"/>
      <w:marRight w:val="0"/>
      <w:marTop w:val="0"/>
      <w:marBottom w:val="0"/>
      <w:divBdr>
        <w:top w:val="none" w:sz="0" w:space="0" w:color="auto"/>
        <w:left w:val="none" w:sz="0" w:space="0" w:color="auto"/>
        <w:bottom w:val="none" w:sz="0" w:space="0" w:color="auto"/>
        <w:right w:val="none" w:sz="0" w:space="0" w:color="auto"/>
      </w:divBdr>
    </w:div>
    <w:div w:id="221794204">
      <w:bodyDiv w:val="1"/>
      <w:marLeft w:val="0"/>
      <w:marRight w:val="0"/>
      <w:marTop w:val="0"/>
      <w:marBottom w:val="0"/>
      <w:divBdr>
        <w:top w:val="none" w:sz="0" w:space="0" w:color="auto"/>
        <w:left w:val="none" w:sz="0" w:space="0" w:color="auto"/>
        <w:bottom w:val="none" w:sz="0" w:space="0" w:color="auto"/>
        <w:right w:val="none" w:sz="0" w:space="0" w:color="auto"/>
      </w:divBdr>
    </w:div>
    <w:div w:id="245844406">
      <w:bodyDiv w:val="1"/>
      <w:marLeft w:val="0"/>
      <w:marRight w:val="0"/>
      <w:marTop w:val="0"/>
      <w:marBottom w:val="0"/>
      <w:divBdr>
        <w:top w:val="none" w:sz="0" w:space="0" w:color="auto"/>
        <w:left w:val="none" w:sz="0" w:space="0" w:color="auto"/>
        <w:bottom w:val="none" w:sz="0" w:space="0" w:color="auto"/>
        <w:right w:val="none" w:sz="0" w:space="0" w:color="auto"/>
      </w:divBdr>
    </w:div>
    <w:div w:id="288320301">
      <w:bodyDiv w:val="1"/>
      <w:marLeft w:val="0"/>
      <w:marRight w:val="0"/>
      <w:marTop w:val="0"/>
      <w:marBottom w:val="0"/>
      <w:divBdr>
        <w:top w:val="none" w:sz="0" w:space="0" w:color="auto"/>
        <w:left w:val="none" w:sz="0" w:space="0" w:color="auto"/>
        <w:bottom w:val="none" w:sz="0" w:space="0" w:color="auto"/>
        <w:right w:val="none" w:sz="0" w:space="0" w:color="auto"/>
      </w:divBdr>
    </w:div>
    <w:div w:id="295259598">
      <w:bodyDiv w:val="1"/>
      <w:marLeft w:val="0"/>
      <w:marRight w:val="0"/>
      <w:marTop w:val="0"/>
      <w:marBottom w:val="0"/>
      <w:divBdr>
        <w:top w:val="none" w:sz="0" w:space="0" w:color="auto"/>
        <w:left w:val="none" w:sz="0" w:space="0" w:color="auto"/>
        <w:bottom w:val="none" w:sz="0" w:space="0" w:color="auto"/>
        <w:right w:val="none" w:sz="0" w:space="0" w:color="auto"/>
      </w:divBdr>
    </w:div>
    <w:div w:id="312098768">
      <w:bodyDiv w:val="1"/>
      <w:marLeft w:val="0"/>
      <w:marRight w:val="0"/>
      <w:marTop w:val="0"/>
      <w:marBottom w:val="0"/>
      <w:divBdr>
        <w:top w:val="none" w:sz="0" w:space="0" w:color="auto"/>
        <w:left w:val="none" w:sz="0" w:space="0" w:color="auto"/>
        <w:bottom w:val="none" w:sz="0" w:space="0" w:color="auto"/>
        <w:right w:val="none" w:sz="0" w:space="0" w:color="auto"/>
      </w:divBdr>
    </w:div>
    <w:div w:id="314921839">
      <w:bodyDiv w:val="1"/>
      <w:marLeft w:val="0"/>
      <w:marRight w:val="0"/>
      <w:marTop w:val="0"/>
      <w:marBottom w:val="0"/>
      <w:divBdr>
        <w:top w:val="none" w:sz="0" w:space="0" w:color="auto"/>
        <w:left w:val="none" w:sz="0" w:space="0" w:color="auto"/>
        <w:bottom w:val="none" w:sz="0" w:space="0" w:color="auto"/>
        <w:right w:val="none" w:sz="0" w:space="0" w:color="auto"/>
      </w:divBdr>
      <w:divsChild>
        <w:div w:id="719326036">
          <w:marLeft w:val="0"/>
          <w:marRight w:val="0"/>
          <w:marTop w:val="0"/>
          <w:marBottom w:val="0"/>
          <w:divBdr>
            <w:top w:val="none" w:sz="0" w:space="0" w:color="auto"/>
            <w:left w:val="none" w:sz="0" w:space="0" w:color="auto"/>
            <w:bottom w:val="none" w:sz="0" w:space="0" w:color="auto"/>
            <w:right w:val="none" w:sz="0" w:space="0" w:color="auto"/>
          </w:divBdr>
          <w:divsChild>
            <w:div w:id="1189567445">
              <w:marLeft w:val="0"/>
              <w:marRight w:val="0"/>
              <w:marTop w:val="0"/>
              <w:marBottom w:val="0"/>
              <w:divBdr>
                <w:top w:val="none" w:sz="0" w:space="0" w:color="auto"/>
                <w:left w:val="none" w:sz="0" w:space="0" w:color="auto"/>
                <w:bottom w:val="none" w:sz="0" w:space="0" w:color="auto"/>
                <w:right w:val="none" w:sz="0" w:space="0" w:color="auto"/>
              </w:divBdr>
            </w:div>
            <w:div w:id="1664897749">
              <w:marLeft w:val="0"/>
              <w:marRight w:val="0"/>
              <w:marTop w:val="0"/>
              <w:marBottom w:val="0"/>
              <w:divBdr>
                <w:top w:val="none" w:sz="0" w:space="0" w:color="auto"/>
                <w:left w:val="none" w:sz="0" w:space="0" w:color="auto"/>
                <w:bottom w:val="none" w:sz="0" w:space="0" w:color="auto"/>
                <w:right w:val="none" w:sz="0" w:space="0" w:color="auto"/>
              </w:divBdr>
            </w:div>
            <w:div w:id="167787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55395">
      <w:bodyDiv w:val="1"/>
      <w:marLeft w:val="0"/>
      <w:marRight w:val="0"/>
      <w:marTop w:val="0"/>
      <w:marBottom w:val="0"/>
      <w:divBdr>
        <w:top w:val="none" w:sz="0" w:space="0" w:color="auto"/>
        <w:left w:val="none" w:sz="0" w:space="0" w:color="auto"/>
        <w:bottom w:val="none" w:sz="0" w:space="0" w:color="auto"/>
        <w:right w:val="none" w:sz="0" w:space="0" w:color="auto"/>
      </w:divBdr>
    </w:div>
    <w:div w:id="329984328">
      <w:bodyDiv w:val="1"/>
      <w:marLeft w:val="0"/>
      <w:marRight w:val="0"/>
      <w:marTop w:val="0"/>
      <w:marBottom w:val="0"/>
      <w:divBdr>
        <w:top w:val="none" w:sz="0" w:space="0" w:color="auto"/>
        <w:left w:val="none" w:sz="0" w:space="0" w:color="auto"/>
        <w:bottom w:val="none" w:sz="0" w:space="0" w:color="auto"/>
        <w:right w:val="none" w:sz="0" w:space="0" w:color="auto"/>
      </w:divBdr>
      <w:divsChild>
        <w:div w:id="1762070416">
          <w:marLeft w:val="0"/>
          <w:marRight w:val="0"/>
          <w:marTop w:val="0"/>
          <w:marBottom w:val="0"/>
          <w:divBdr>
            <w:top w:val="none" w:sz="0" w:space="0" w:color="auto"/>
            <w:left w:val="none" w:sz="0" w:space="0" w:color="auto"/>
            <w:bottom w:val="none" w:sz="0" w:space="0" w:color="auto"/>
            <w:right w:val="none" w:sz="0" w:space="0" w:color="auto"/>
          </w:divBdr>
          <w:divsChild>
            <w:div w:id="1781680222">
              <w:marLeft w:val="0"/>
              <w:marRight w:val="0"/>
              <w:marTop w:val="0"/>
              <w:marBottom w:val="0"/>
              <w:divBdr>
                <w:top w:val="none" w:sz="0" w:space="0" w:color="auto"/>
                <w:left w:val="none" w:sz="0" w:space="0" w:color="auto"/>
                <w:bottom w:val="none" w:sz="0" w:space="0" w:color="auto"/>
                <w:right w:val="none" w:sz="0" w:space="0" w:color="auto"/>
              </w:divBdr>
            </w:div>
            <w:div w:id="1839733781">
              <w:marLeft w:val="0"/>
              <w:marRight w:val="0"/>
              <w:marTop w:val="0"/>
              <w:marBottom w:val="0"/>
              <w:divBdr>
                <w:top w:val="none" w:sz="0" w:space="0" w:color="auto"/>
                <w:left w:val="none" w:sz="0" w:space="0" w:color="auto"/>
                <w:bottom w:val="none" w:sz="0" w:space="0" w:color="auto"/>
                <w:right w:val="none" w:sz="0" w:space="0" w:color="auto"/>
              </w:divBdr>
            </w:div>
            <w:div w:id="188070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02030">
      <w:bodyDiv w:val="1"/>
      <w:marLeft w:val="0"/>
      <w:marRight w:val="0"/>
      <w:marTop w:val="0"/>
      <w:marBottom w:val="0"/>
      <w:divBdr>
        <w:top w:val="none" w:sz="0" w:space="0" w:color="auto"/>
        <w:left w:val="none" w:sz="0" w:space="0" w:color="auto"/>
        <w:bottom w:val="none" w:sz="0" w:space="0" w:color="auto"/>
        <w:right w:val="none" w:sz="0" w:space="0" w:color="auto"/>
      </w:divBdr>
    </w:div>
    <w:div w:id="384108984">
      <w:bodyDiv w:val="1"/>
      <w:marLeft w:val="0"/>
      <w:marRight w:val="0"/>
      <w:marTop w:val="0"/>
      <w:marBottom w:val="0"/>
      <w:divBdr>
        <w:top w:val="none" w:sz="0" w:space="0" w:color="auto"/>
        <w:left w:val="none" w:sz="0" w:space="0" w:color="auto"/>
        <w:bottom w:val="none" w:sz="0" w:space="0" w:color="auto"/>
        <w:right w:val="none" w:sz="0" w:space="0" w:color="auto"/>
      </w:divBdr>
    </w:div>
    <w:div w:id="426387271">
      <w:bodyDiv w:val="1"/>
      <w:marLeft w:val="0"/>
      <w:marRight w:val="0"/>
      <w:marTop w:val="0"/>
      <w:marBottom w:val="0"/>
      <w:divBdr>
        <w:top w:val="none" w:sz="0" w:space="0" w:color="auto"/>
        <w:left w:val="none" w:sz="0" w:space="0" w:color="auto"/>
        <w:bottom w:val="none" w:sz="0" w:space="0" w:color="auto"/>
        <w:right w:val="none" w:sz="0" w:space="0" w:color="auto"/>
      </w:divBdr>
    </w:div>
    <w:div w:id="429352133">
      <w:bodyDiv w:val="1"/>
      <w:marLeft w:val="0"/>
      <w:marRight w:val="0"/>
      <w:marTop w:val="0"/>
      <w:marBottom w:val="0"/>
      <w:divBdr>
        <w:top w:val="none" w:sz="0" w:space="0" w:color="auto"/>
        <w:left w:val="none" w:sz="0" w:space="0" w:color="auto"/>
        <w:bottom w:val="none" w:sz="0" w:space="0" w:color="auto"/>
        <w:right w:val="none" w:sz="0" w:space="0" w:color="auto"/>
      </w:divBdr>
    </w:div>
    <w:div w:id="440540929">
      <w:bodyDiv w:val="1"/>
      <w:marLeft w:val="0"/>
      <w:marRight w:val="0"/>
      <w:marTop w:val="0"/>
      <w:marBottom w:val="0"/>
      <w:divBdr>
        <w:top w:val="none" w:sz="0" w:space="0" w:color="auto"/>
        <w:left w:val="none" w:sz="0" w:space="0" w:color="auto"/>
        <w:bottom w:val="none" w:sz="0" w:space="0" w:color="auto"/>
        <w:right w:val="none" w:sz="0" w:space="0" w:color="auto"/>
      </w:divBdr>
    </w:div>
    <w:div w:id="458650958">
      <w:bodyDiv w:val="1"/>
      <w:marLeft w:val="0"/>
      <w:marRight w:val="0"/>
      <w:marTop w:val="0"/>
      <w:marBottom w:val="0"/>
      <w:divBdr>
        <w:top w:val="none" w:sz="0" w:space="0" w:color="auto"/>
        <w:left w:val="none" w:sz="0" w:space="0" w:color="auto"/>
        <w:bottom w:val="none" w:sz="0" w:space="0" w:color="auto"/>
        <w:right w:val="none" w:sz="0" w:space="0" w:color="auto"/>
      </w:divBdr>
    </w:div>
    <w:div w:id="472530514">
      <w:bodyDiv w:val="1"/>
      <w:marLeft w:val="0"/>
      <w:marRight w:val="0"/>
      <w:marTop w:val="0"/>
      <w:marBottom w:val="0"/>
      <w:divBdr>
        <w:top w:val="none" w:sz="0" w:space="0" w:color="auto"/>
        <w:left w:val="none" w:sz="0" w:space="0" w:color="auto"/>
        <w:bottom w:val="none" w:sz="0" w:space="0" w:color="auto"/>
        <w:right w:val="none" w:sz="0" w:space="0" w:color="auto"/>
      </w:divBdr>
    </w:div>
    <w:div w:id="475536298">
      <w:bodyDiv w:val="1"/>
      <w:marLeft w:val="0"/>
      <w:marRight w:val="0"/>
      <w:marTop w:val="0"/>
      <w:marBottom w:val="0"/>
      <w:divBdr>
        <w:top w:val="none" w:sz="0" w:space="0" w:color="auto"/>
        <w:left w:val="none" w:sz="0" w:space="0" w:color="auto"/>
        <w:bottom w:val="none" w:sz="0" w:space="0" w:color="auto"/>
        <w:right w:val="none" w:sz="0" w:space="0" w:color="auto"/>
      </w:divBdr>
    </w:div>
    <w:div w:id="484784137">
      <w:bodyDiv w:val="1"/>
      <w:marLeft w:val="0"/>
      <w:marRight w:val="0"/>
      <w:marTop w:val="0"/>
      <w:marBottom w:val="0"/>
      <w:divBdr>
        <w:top w:val="none" w:sz="0" w:space="0" w:color="auto"/>
        <w:left w:val="none" w:sz="0" w:space="0" w:color="auto"/>
        <w:bottom w:val="none" w:sz="0" w:space="0" w:color="auto"/>
        <w:right w:val="none" w:sz="0" w:space="0" w:color="auto"/>
      </w:divBdr>
    </w:div>
    <w:div w:id="485588082">
      <w:bodyDiv w:val="1"/>
      <w:marLeft w:val="0"/>
      <w:marRight w:val="0"/>
      <w:marTop w:val="0"/>
      <w:marBottom w:val="0"/>
      <w:divBdr>
        <w:top w:val="none" w:sz="0" w:space="0" w:color="auto"/>
        <w:left w:val="none" w:sz="0" w:space="0" w:color="auto"/>
        <w:bottom w:val="none" w:sz="0" w:space="0" w:color="auto"/>
        <w:right w:val="none" w:sz="0" w:space="0" w:color="auto"/>
      </w:divBdr>
    </w:div>
    <w:div w:id="501506571">
      <w:bodyDiv w:val="1"/>
      <w:marLeft w:val="0"/>
      <w:marRight w:val="0"/>
      <w:marTop w:val="0"/>
      <w:marBottom w:val="0"/>
      <w:divBdr>
        <w:top w:val="none" w:sz="0" w:space="0" w:color="auto"/>
        <w:left w:val="none" w:sz="0" w:space="0" w:color="auto"/>
        <w:bottom w:val="none" w:sz="0" w:space="0" w:color="auto"/>
        <w:right w:val="none" w:sz="0" w:space="0" w:color="auto"/>
      </w:divBdr>
    </w:div>
    <w:div w:id="508104440">
      <w:bodyDiv w:val="1"/>
      <w:marLeft w:val="0"/>
      <w:marRight w:val="0"/>
      <w:marTop w:val="0"/>
      <w:marBottom w:val="0"/>
      <w:divBdr>
        <w:top w:val="none" w:sz="0" w:space="0" w:color="auto"/>
        <w:left w:val="none" w:sz="0" w:space="0" w:color="auto"/>
        <w:bottom w:val="none" w:sz="0" w:space="0" w:color="auto"/>
        <w:right w:val="none" w:sz="0" w:space="0" w:color="auto"/>
      </w:divBdr>
      <w:divsChild>
        <w:div w:id="216628654">
          <w:marLeft w:val="0"/>
          <w:marRight w:val="0"/>
          <w:marTop w:val="0"/>
          <w:marBottom w:val="0"/>
          <w:divBdr>
            <w:top w:val="none" w:sz="0" w:space="0" w:color="auto"/>
            <w:left w:val="none" w:sz="0" w:space="0" w:color="auto"/>
            <w:bottom w:val="none" w:sz="0" w:space="0" w:color="auto"/>
            <w:right w:val="none" w:sz="0" w:space="0" w:color="auto"/>
          </w:divBdr>
          <w:divsChild>
            <w:div w:id="129784916">
              <w:marLeft w:val="0"/>
              <w:marRight w:val="0"/>
              <w:marTop w:val="0"/>
              <w:marBottom w:val="0"/>
              <w:divBdr>
                <w:top w:val="none" w:sz="0" w:space="0" w:color="auto"/>
                <w:left w:val="none" w:sz="0" w:space="0" w:color="auto"/>
                <w:bottom w:val="none" w:sz="0" w:space="0" w:color="auto"/>
                <w:right w:val="none" w:sz="0" w:space="0" w:color="auto"/>
              </w:divBdr>
            </w:div>
            <w:div w:id="7772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69946">
      <w:bodyDiv w:val="1"/>
      <w:marLeft w:val="0"/>
      <w:marRight w:val="0"/>
      <w:marTop w:val="0"/>
      <w:marBottom w:val="0"/>
      <w:divBdr>
        <w:top w:val="none" w:sz="0" w:space="0" w:color="auto"/>
        <w:left w:val="none" w:sz="0" w:space="0" w:color="auto"/>
        <w:bottom w:val="none" w:sz="0" w:space="0" w:color="auto"/>
        <w:right w:val="none" w:sz="0" w:space="0" w:color="auto"/>
      </w:divBdr>
    </w:div>
    <w:div w:id="544290255">
      <w:bodyDiv w:val="1"/>
      <w:marLeft w:val="0"/>
      <w:marRight w:val="0"/>
      <w:marTop w:val="0"/>
      <w:marBottom w:val="0"/>
      <w:divBdr>
        <w:top w:val="none" w:sz="0" w:space="0" w:color="auto"/>
        <w:left w:val="none" w:sz="0" w:space="0" w:color="auto"/>
        <w:bottom w:val="none" w:sz="0" w:space="0" w:color="auto"/>
        <w:right w:val="none" w:sz="0" w:space="0" w:color="auto"/>
      </w:divBdr>
      <w:divsChild>
        <w:div w:id="713117429">
          <w:marLeft w:val="0"/>
          <w:marRight w:val="0"/>
          <w:marTop w:val="332"/>
          <w:marBottom w:val="332"/>
          <w:divBdr>
            <w:top w:val="none" w:sz="0" w:space="0" w:color="auto"/>
            <w:left w:val="none" w:sz="0" w:space="0" w:color="auto"/>
            <w:bottom w:val="none" w:sz="0" w:space="0" w:color="auto"/>
            <w:right w:val="none" w:sz="0" w:space="0" w:color="auto"/>
          </w:divBdr>
          <w:divsChild>
            <w:div w:id="19125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949571">
      <w:bodyDiv w:val="1"/>
      <w:marLeft w:val="0"/>
      <w:marRight w:val="0"/>
      <w:marTop w:val="0"/>
      <w:marBottom w:val="0"/>
      <w:divBdr>
        <w:top w:val="none" w:sz="0" w:space="0" w:color="auto"/>
        <w:left w:val="none" w:sz="0" w:space="0" w:color="auto"/>
        <w:bottom w:val="none" w:sz="0" w:space="0" w:color="auto"/>
        <w:right w:val="none" w:sz="0" w:space="0" w:color="auto"/>
      </w:divBdr>
      <w:divsChild>
        <w:div w:id="395402070">
          <w:marLeft w:val="0"/>
          <w:marRight w:val="0"/>
          <w:marTop w:val="0"/>
          <w:marBottom w:val="0"/>
          <w:divBdr>
            <w:top w:val="none" w:sz="0" w:space="0" w:color="auto"/>
            <w:left w:val="none" w:sz="0" w:space="0" w:color="auto"/>
            <w:bottom w:val="none" w:sz="0" w:space="0" w:color="auto"/>
            <w:right w:val="none" w:sz="0" w:space="0" w:color="auto"/>
          </w:divBdr>
          <w:divsChild>
            <w:div w:id="152155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7485">
      <w:bodyDiv w:val="1"/>
      <w:marLeft w:val="0"/>
      <w:marRight w:val="0"/>
      <w:marTop w:val="0"/>
      <w:marBottom w:val="0"/>
      <w:divBdr>
        <w:top w:val="none" w:sz="0" w:space="0" w:color="auto"/>
        <w:left w:val="none" w:sz="0" w:space="0" w:color="auto"/>
        <w:bottom w:val="none" w:sz="0" w:space="0" w:color="auto"/>
        <w:right w:val="none" w:sz="0" w:space="0" w:color="auto"/>
      </w:divBdr>
      <w:divsChild>
        <w:div w:id="1349597305">
          <w:marLeft w:val="0"/>
          <w:marRight w:val="0"/>
          <w:marTop w:val="0"/>
          <w:marBottom w:val="0"/>
          <w:divBdr>
            <w:top w:val="none" w:sz="0" w:space="0" w:color="auto"/>
            <w:left w:val="none" w:sz="0" w:space="0" w:color="auto"/>
            <w:bottom w:val="none" w:sz="0" w:space="0" w:color="auto"/>
            <w:right w:val="none" w:sz="0" w:space="0" w:color="auto"/>
          </w:divBdr>
        </w:div>
      </w:divsChild>
    </w:div>
    <w:div w:id="587538081">
      <w:bodyDiv w:val="1"/>
      <w:marLeft w:val="0"/>
      <w:marRight w:val="0"/>
      <w:marTop w:val="0"/>
      <w:marBottom w:val="0"/>
      <w:divBdr>
        <w:top w:val="none" w:sz="0" w:space="0" w:color="auto"/>
        <w:left w:val="none" w:sz="0" w:space="0" w:color="auto"/>
        <w:bottom w:val="none" w:sz="0" w:space="0" w:color="auto"/>
        <w:right w:val="none" w:sz="0" w:space="0" w:color="auto"/>
      </w:divBdr>
    </w:div>
    <w:div w:id="620499157">
      <w:bodyDiv w:val="1"/>
      <w:marLeft w:val="0"/>
      <w:marRight w:val="0"/>
      <w:marTop w:val="0"/>
      <w:marBottom w:val="0"/>
      <w:divBdr>
        <w:top w:val="none" w:sz="0" w:space="0" w:color="auto"/>
        <w:left w:val="none" w:sz="0" w:space="0" w:color="auto"/>
        <w:bottom w:val="none" w:sz="0" w:space="0" w:color="auto"/>
        <w:right w:val="none" w:sz="0" w:space="0" w:color="auto"/>
      </w:divBdr>
    </w:div>
    <w:div w:id="633364332">
      <w:bodyDiv w:val="1"/>
      <w:marLeft w:val="0"/>
      <w:marRight w:val="0"/>
      <w:marTop w:val="0"/>
      <w:marBottom w:val="0"/>
      <w:divBdr>
        <w:top w:val="none" w:sz="0" w:space="0" w:color="auto"/>
        <w:left w:val="none" w:sz="0" w:space="0" w:color="auto"/>
        <w:bottom w:val="none" w:sz="0" w:space="0" w:color="auto"/>
        <w:right w:val="none" w:sz="0" w:space="0" w:color="auto"/>
      </w:divBdr>
    </w:div>
    <w:div w:id="647133368">
      <w:bodyDiv w:val="1"/>
      <w:marLeft w:val="0"/>
      <w:marRight w:val="0"/>
      <w:marTop w:val="0"/>
      <w:marBottom w:val="0"/>
      <w:divBdr>
        <w:top w:val="none" w:sz="0" w:space="0" w:color="auto"/>
        <w:left w:val="none" w:sz="0" w:space="0" w:color="auto"/>
        <w:bottom w:val="none" w:sz="0" w:space="0" w:color="auto"/>
        <w:right w:val="none" w:sz="0" w:space="0" w:color="auto"/>
      </w:divBdr>
    </w:div>
    <w:div w:id="697581288">
      <w:bodyDiv w:val="1"/>
      <w:marLeft w:val="0"/>
      <w:marRight w:val="0"/>
      <w:marTop w:val="0"/>
      <w:marBottom w:val="0"/>
      <w:divBdr>
        <w:top w:val="none" w:sz="0" w:space="0" w:color="auto"/>
        <w:left w:val="none" w:sz="0" w:space="0" w:color="auto"/>
        <w:bottom w:val="none" w:sz="0" w:space="0" w:color="auto"/>
        <w:right w:val="none" w:sz="0" w:space="0" w:color="auto"/>
      </w:divBdr>
    </w:div>
    <w:div w:id="701637766">
      <w:bodyDiv w:val="1"/>
      <w:marLeft w:val="0"/>
      <w:marRight w:val="0"/>
      <w:marTop w:val="0"/>
      <w:marBottom w:val="0"/>
      <w:divBdr>
        <w:top w:val="none" w:sz="0" w:space="0" w:color="auto"/>
        <w:left w:val="none" w:sz="0" w:space="0" w:color="auto"/>
        <w:bottom w:val="none" w:sz="0" w:space="0" w:color="auto"/>
        <w:right w:val="none" w:sz="0" w:space="0" w:color="auto"/>
      </w:divBdr>
    </w:div>
    <w:div w:id="701788711">
      <w:bodyDiv w:val="1"/>
      <w:marLeft w:val="0"/>
      <w:marRight w:val="0"/>
      <w:marTop w:val="0"/>
      <w:marBottom w:val="0"/>
      <w:divBdr>
        <w:top w:val="none" w:sz="0" w:space="0" w:color="auto"/>
        <w:left w:val="none" w:sz="0" w:space="0" w:color="auto"/>
        <w:bottom w:val="none" w:sz="0" w:space="0" w:color="auto"/>
        <w:right w:val="none" w:sz="0" w:space="0" w:color="auto"/>
      </w:divBdr>
    </w:div>
    <w:div w:id="747847175">
      <w:bodyDiv w:val="1"/>
      <w:marLeft w:val="0"/>
      <w:marRight w:val="0"/>
      <w:marTop w:val="0"/>
      <w:marBottom w:val="0"/>
      <w:divBdr>
        <w:top w:val="none" w:sz="0" w:space="0" w:color="auto"/>
        <w:left w:val="none" w:sz="0" w:space="0" w:color="auto"/>
        <w:bottom w:val="none" w:sz="0" w:space="0" w:color="auto"/>
        <w:right w:val="none" w:sz="0" w:space="0" w:color="auto"/>
      </w:divBdr>
    </w:div>
    <w:div w:id="751657008">
      <w:bodyDiv w:val="1"/>
      <w:marLeft w:val="0"/>
      <w:marRight w:val="0"/>
      <w:marTop w:val="0"/>
      <w:marBottom w:val="0"/>
      <w:divBdr>
        <w:top w:val="none" w:sz="0" w:space="0" w:color="auto"/>
        <w:left w:val="none" w:sz="0" w:space="0" w:color="auto"/>
        <w:bottom w:val="none" w:sz="0" w:space="0" w:color="auto"/>
        <w:right w:val="none" w:sz="0" w:space="0" w:color="auto"/>
      </w:divBdr>
    </w:div>
    <w:div w:id="766972516">
      <w:bodyDiv w:val="1"/>
      <w:marLeft w:val="0"/>
      <w:marRight w:val="0"/>
      <w:marTop w:val="0"/>
      <w:marBottom w:val="0"/>
      <w:divBdr>
        <w:top w:val="none" w:sz="0" w:space="0" w:color="auto"/>
        <w:left w:val="none" w:sz="0" w:space="0" w:color="auto"/>
        <w:bottom w:val="none" w:sz="0" w:space="0" w:color="auto"/>
        <w:right w:val="none" w:sz="0" w:space="0" w:color="auto"/>
      </w:divBdr>
      <w:divsChild>
        <w:div w:id="2145660809">
          <w:marLeft w:val="0"/>
          <w:marRight w:val="0"/>
          <w:marTop w:val="0"/>
          <w:marBottom w:val="0"/>
          <w:divBdr>
            <w:top w:val="none" w:sz="0" w:space="0" w:color="auto"/>
            <w:left w:val="none" w:sz="0" w:space="0" w:color="auto"/>
            <w:bottom w:val="none" w:sz="0" w:space="0" w:color="auto"/>
            <w:right w:val="none" w:sz="0" w:space="0" w:color="auto"/>
          </w:divBdr>
          <w:divsChild>
            <w:div w:id="76291520">
              <w:marLeft w:val="0"/>
              <w:marRight w:val="0"/>
              <w:marTop w:val="0"/>
              <w:marBottom w:val="0"/>
              <w:divBdr>
                <w:top w:val="none" w:sz="0" w:space="0" w:color="auto"/>
                <w:left w:val="none" w:sz="0" w:space="0" w:color="auto"/>
                <w:bottom w:val="none" w:sz="0" w:space="0" w:color="auto"/>
                <w:right w:val="none" w:sz="0" w:space="0" w:color="auto"/>
              </w:divBdr>
            </w:div>
            <w:div w:id="1670327703">
              <w:marLeft w:val="0"/>
              <w:marRight w:val="0"/>
              <w:marTop w:val="0"/>
              <w:marBottom w:val="0"/>
              <w:divBdr>
                <w:top w:val="none" w:sz="0" w:space="0" w:color="auto"/>
                <w:left w:val="none" w:sz="0" w:space="0" w:color="auto"/>
                <w:bottom w:val="none" w:sz="0" w:space="0" w:color="auto"/>
                <w:right w:val="none" w:sz="0" w:space="0" w:color="auto"/>
              </w:divBdr>
            </w:div>
            <w:div w:id="213274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23563">
      <w:bodyDiv w:val="1"/>
      <w:marLeft w:val="0"/>
      <w:marRight w:val="0"/>
      <w:marTop w:val="0"/>
      <w:marBottom w:val="0"/>
      <w:divBdr>
        <w:top w:val="none" w:sz="0" w:space="0" w:color="auto"/>
        <w:left w:val="none" w:sz="0" w:space="0" w:color="auto"/>
        <w:bottom w:val="none" w:sz="0" w:space="0" w:color="auto"/>
        <w:right w:val="none" w:sz="0" w:space="0" w:color="auto"/>
      </w:divBdr>
    </w:div>
    <w:div w:id="828715925">
      <w:bodyDiv w:val="1"/>
      <w:marLeft w:val="0"/>
      <w:marRight w:val="0"/>
      <w:marTop w:val="0"/>
      <w:marBottom w:val="0"/>
      <w:divBdr>
        <w:top w:val="none" w:sz="0" w:space="0" w:color="auto"/>
        <w:left w:val="none" w:sz="0" w:space="0" w:color="auto"/>
        <w:bottom w:val="none" w:sz="0" w:space="0" w:color="auto"/>
        <w:right w:val="none" w:sz="0" w:space="0" w:color="auto"/>
      </w:divBdr>
    </w:div>
    <w:div w:id="865798240">
      <w:bodyDiv w:val="1"/>
      <w:marLeft w:val="0"/>
      <w:marRight w:val="0"/>
      <w:marTop w:val="0"/>
      <w:marBottom w:val="0"/>
      <w:divBdr>
        <w:top w:val="none" w:sz="0" w:space="0" w:color="auto"/>
        <w:left w:val="none" w:sz="0" w:space="0" w:color="auto"/>
        <w:bottom w:val="none" w:sz="0" w:space="0" w:color="auto"/>
        <w:right w:val="none" w:sz="0" w:space="0" w:color="auto"/>
      </w:divBdr>
    </w:div>
    <w:div w:id="887187943">
      <w:bodyDiv w:val="1"/>
      <w:marLeft w:val="0"/>
      <w:marRight w:val="0"/>
      <w:marTop w:val="0"/>
      <w:marBottom w:val="0"/>
      <w:divBdr>
        <w:top w:val="none" w:sz="0" w:space="0" w:color="auto"/>
        <w:left w:val="none" w:sz="0" w:space="0" w:color="auto"/>
        <w:bottom w:val="none" w:sz="0" w:space="0" w:color="auto"/>
        <w:right w:val="none" w:sz="0" w:space="0" w:color="auto"/>
      </w:divBdr>
      <w:divsChild>
        <w:div w:id="383068658">
          <w:marLeft w:val="0"/>
          <w:marRight w:val="0"/>
          <w:marTop w:val="0"/>
          <w:marBottom w:val="0"/>
          <w:divBdr>
            <w:top w:val="none" w:sz="0" w:space="0" w:color="auto"/>
            <w:left w:val="none" w:sz="0" w:space="0" w:color="auto"/>
            <w:bottom w:val="none" w:sz="0" w:space="0" w:color="auto"/>
            <w:right w:val="none" w:sz="0" w:space="0" w:color="auto"/>
          </w:divBdr>
        </w:div>
      </w:divsChild>
    </w:div>
    <w:div w:id="887301019">
      <w:bodyDiv w:val="1"/>
      <w:marLeft w:val="0"/>
      <w:marRight w:val="0"/>
      <w:marTop w:val="0"/>
      <w:marBottom w:val="0"/>
      <w:divBdr>
        <w:top w:val="none" w:sz="0" w:space="0" w:color="auto"/>
        <w:left w:val="none" w:sz="0" w:space="0" w:color="auto"/>
        <w:bottom w:val="none" w:sz="0" w:space="0" w:color="auto"/>
        <w:right w:val="none" w:sz="0" w:space="0" w:color="auto"/>
      </w:divBdr>
    </w:div>
    <w:div w:id="929124343">
      <w:bodyDiv w:val="1"/>
      <w:marLeft w:val="0"/>
      <w:marRight w:val="0"/>
      <w:marTop w:val="0"/>
      <w:marBottom w:val="0"/>
      <w:divBdr>
        <w:top w:val="none" w:sz="0" w:space="0" w:color="auto"/>
        <w:left w:val="none" w:sz="0" w:space="0" w:color="auto"/>
        <w:bottom w:val="none" w:sz="0" w:space="0" w:color="auto"/>
        <w:right w:val="none" w:sz="0" w:space="0" w:color="auto"/>
      </w:divBdr>
    </w:div>
    <w:div w:id="929854780">
      <w:bodyDiv w:val="1"/>
      <w:marLeft w:val="0"/>
      <w:marRight w:val="0"/>
      <w:marTop w:val="0"/>
      <w:marBottom w:val="0"/>
      <w:divBdr>
        <w:top w:val="none" w:sz="0" w:space="0" w:color="auto"/>
        <w:left w:val="none" w:sz="0" w:space="0" w:color="auto"/>
        <w:bottom w:val="none" w:sz="0" w:space="0" w:color="auto"/>
        <w:right w:val="none" w:sz="0" w:space="0" w:color="auto"/>
      </w:divBdr>
    </w:div>
    <w:div w:id="934744921">
      <w:bodyDiv w:val="1"/>
      <w:marLeft w:val="0"/>
      <w:marRight w:val="0"/>
      <w:marTop w:val="0"/>
      <w:marBottom w:val="0"/>
      <w:divBdr>
        <w:top w:val="none" w:sz="0" w:space="0" w:color="auto"/>
        <w:left w:val="none" w:sz="0" w:space="0" w:color="auto"/>
        <w:bottom w:val="none" w:sz="0" w:space="0" w:color="auto"/>
        <w:right w:val="none" w:sz="0" w:space="0" w:color="auto"/>
      </w:divBdr>
    </w:div>
    <w:div w:id="946930571">
      <w:bodyDiv w:val="1"/>
      <w:marLeft w:val="0"/>
      <w:marRight w:val="0"/>
      <w:marTop w:val="0"/>
      <w:marBottom w:val="0"/>
      <w:divBdr>
        <w:top w:val="none" w:sz="0" w:space="0" w:color="auto"/>
        <w:left w:val="none" w:sz="0" w:space="0" w:color="auto"/>
        <w:bottom w:val="none" w:sz="0" w:space="0" w:color="auto"/>
        <w:right w:val="none" w:sz="0" w:space="0" w:color="auto"/>
      </w:divBdr>
      <w:divsChild>
        <w:div w:id="15838289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533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14511">
      <w:bodyDiv w:val="1"/>
      <w:marLeft w:val="0"/>
      <w:marRight w:val="0"/>
      <w:marTop w:val="0"/>
      <w:marBottom w:val="0"/>
      <w:divBdr>
        <w:top w:val="none" w:sz="0" w:space="0" w:color="auto"/>
        <w:left w:val="none" w:sz="0" w:space="0" w:color="auto"/>
        <w:bottom w:val="none" w:sz="0" w:space="0" w:color="auto"/>
        <w:right w:val="none" w:sz="0" w:space="0" w:color="auto"/>
      </w:divBdr>
    </w:div>
    <w:div w:id="952058404">
      <w:bodyDiv w:val="1"/>
      <w:marLeft w:val="0"/>
      <w:marRight w:val="0"/>
      <w:marTop w:val="0"/>
      <w:marBottom w:val="0"/>
      <w:divBdr>
        <w:top w:val="none" w:sz="0" w:space="0" w:color="auto"/>
        <w:left w:val="none" w:sz="0" w:space="0" w:color="auto"/>
        <w:bottom w:val="none" w:sz="0" w:space="0" w:color="auto"/>
        <w:right w:val="none" w:sz="0" w:space="0" w:color="auto"/>
      </w:divBdr>
      <w:divsChild>
        <w:div w:id="1353265233">
          <w:marLeft w:val="0"/>
          <w:marRight w:val="0"/>
          <w:marTop w:val="0"/>
          <w:marBottom w:val="0"/>
          <w:divBdr>
            <w:top w:val="none" w:sz="0" w:space="0" w:color="auto"/>
            <w:left w:val="none" w:sz="0" w:space="0" w:color="auto"/>
            <w:bottom w:val="none" w:sz="0" w:space="0" w:color="auto"/>
            <w:right w:val="none" w:sz="0" w:space="0" w:color="auto"/>
          </w:divBdr>
          <w:divsChild>
            <w:div w:id="16911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51971">
      <w:bodyDiv w:val="1"/>
      <w:marLeft w:val="0"/>
      <w:marRight w:val="0"/>
      <w:marTop w:val="0"/>
      <w:marBottom w:val="0"/>
      <w:divBdr>
        <w:top w:val="none" w:sz="0" w:space="0" w:color="auto"/>
        <w:left w:val="none" w:sz="0" w:space="0" w:color="auto"/>
        <w:bottom w:val="none" w:sz="0" w:space="0" w:color="auto"/>
        <w:right w:val="none" w:sz="0" w:space="0" w:color="auto"/>
      </w:divBdr>
    </w:div>
    <w:div w:id="992758687">
      <w:bodyDiv w:val="1"/>
      <w:marLeft w:val="0"/>
      <w:marRight w:val="0"/>
      <w:marTop w:val="0"/>
      <w:marBottom w:val="0"/>
      <w:divBdr>
        <w:top w:val="none" w:sz="0" w:space="0" w:color="auto"/>
        <w:left w:val="none" w:sz="0" w:space="0" w:color="auto"/>
        <w:bottom w:val="none" w:sz="0" w:space="0" w:color="auto"/>
        <w:right w:val="none" w:sz="0" w:space="0" w:color="auto"/>
      </w:divBdr>
    </w:div>
    <w:div w:id="1026180452">
      <w:bodyDiv w:val="1"/>
      <w:marLeft w:val="0"/>
      <w:marRight w:val="0"/>
      <w:marTop w:val="0"/>
      <w:marBottom w:val="0"/>
      <w:divBdr>
        <w:top w:val="none" w:sz="0" w:space="0" w:color="auto"/>
        <w:left w:val="none" w:sz="0" w:space="0" w:color="auto"/>
        <w:bottom w:val="none" w:sz="0" w:space="0" w:color="auto"/>
        <w:right w:val="none" w:sz="0" w:space="0" w:color="auto"/>
      </w:divBdr>
    </w:div>
    <w:div w:id="1048451511">
      <w:bodyDiv w:val="1"/>
      <w:marLeft w:val="0"/>
      <w:marRight w:val="0"/>
      <w:marTop w:val="0"/>
      <w:marBottom w:val="0"/>
      <w:divBdr>
        <w:top w:val="none" w:sz="0" w:space="0" w:color="auto"/>
        <w:left w:val="none" w:sz="0" w:space="0" w:color="auto"/>
        <w:bottom w:val="none" w:sz="0" w:space="0" w:color="auto"/>
        <w:right w:val="none" w:sz="0" w:space="0" w:color="auto"/>
      </w:divBdr>
    </w:div>
    <w:div w:id="1071807848">
      <w:bodyDiv w:val="1"/>
      <w:marLeft w:val="0"/>
      <w:marRight w:val="0"/>
      <w:marTop w:val="0"/>
      <w:marBottom w:val="0"/>
      <w:divBdr>
        <w:top w:val="none" w:sz="0" w:space="0" w:color="auto"/>
        <w:left w:val="none" w:sz="0" w:space="0" w:color="auto"/>
        <w:bottom w:val="none" w:sz="0" w:space="0" w:color="auto"/>
        <w:right w:val="none" w:sz="0" w:space="0" w:color="auto"/>
      </w:divBdr>
    </w:div>
    <w:div w:id="1102918094">
      <w:bodyDiv w:val="1"/>
      <w:marLeft w:val="0"/>
      <w:marRight w:val="0"/>
      <w:marTop w:val="0"/>
      <w:marBottom w:val="0"/>
      <w:divBdr>
        <w:top w:val="none" w:sz="0" w:space="0" w:color="auto"/>
        <w:left w:val="none" w:sz="0" w:space="0" w:color="auto"/>
        <w:bottom w:val="none" w:sz="0" w:space="0" w:color="auto"/>
        <w:right w:val="none" w:sz="0" w:space="0" w:color="auto"/>
      </w:divBdr>
      <w:divsChild>
        <w:div w:id="111555919">
          <w:marLeft w:val="0"/>
          <w:marRight w:val="0"/>
          <w:marTop w:val="0"/>
          <w:marBottom w:val="0"/>
          <w:divBdr>
            <w:top w:val="none" w:sz="0" w:space="0" w:color="auto"/>
            <w:left w:val="none" w:sz="0" w:space="0" w:color="auto"/>
            <w:bottom w:val="none" w:sz="0" w:space="0" w:color="auto"/>
            <w:right w:val="none" w:sz="0" w:space="0" w:color="auto"/>
          </w:divBdr>
          <w:divsChild>
            <w:div w:id="1659310028">
              <w:marLeft w:val="0"/>
              <w:marRight w:val="0"/>
              <w:marTop w:val="0"/>
              <w:marBottom w:val="0"/>
              <w:divBdr>
                <w:top w:val="none" w:sz="0" w:space="0" w:color="auto"/>
                <w:left w:val="none" w:sz="0" w:space="0" w:color="auto"/>
                <w:bottom w:val="none" w:sz="0" w:space="0" w:color="auto"/>
                <w:right w:val="none" w:sz="0" w:space="0" w:color="auto"/>
              </w:divBdr>
            </w:div>
          </w:divsChild>
        </w:div>
        <w:div w:id="455023897">
          <w:marLeft w:val="0"/>
          <w:marRight w:val="0"/>
          <w:marTop w:val="0"/>
          <w:marBottom w:val="0"/>
          <w:divBdr>
            <w:top w:val="none" w:sz="0" w:space="0" w:color="auto"/>
            <w:left w:val="none" w:sz="0" w:space="0" w:color="auto"/>
            <w:bottom w:val="none" w:sz="0" w:space="0" w:color="auto"/>
            <w:right w:val="none" w:sz="0" w:space="0" w:color="auto"/>
          </w:divBdr>
          <w:divsChild>
            <w:div w:id="277663">
              <w:marLeft w:val="0"/>
              <w:marRight w:val="0"/>
              <w:marTop w:val="0"/>
              <w:marBottom w:val="0"/>
              <w:divBdr>
                <w:top w:val="none" w:sz="0" w:space="0" w:color="auto"/>
                <w:left w:val="none" w:sz="0" w:space="0" w:color="auto"/>
                <w:bottom w:val="none" w:sz="0" w:space="0" w:color="auto"/>
                <w:right w:val="none" w:sz="0" w:space="0" w:color="auto"/>
              </w:divBdr>
            </w:div>
            <w:div w:id="849179136">
              <w:marLeft w:val="0"/>
              <w:marRight w:val="0"/>
              <w:marTop w:val="0"/>
              <w:marBottom w:val="0"/>
              <w:divBdr>
                <w:top w:val="none" w:sz="0" w:space="0" w:color="auto"/>
                <w:left w:val="none" w:sz="0" w:space="0" w:color="auto"/>
                <w:bottom w:val="none" w:sz="0" w:space="0" w:color="auto"/>
                <w:right w:val="none" w:sz="0" w:space="0" w:color="auto"/>
              </w:divBdr>
            </w:div>
          </w:divsChild>
        </w:div>
        <w:div w:id="587808615">
          <w:marLeft w:val="0"/>
          <w:marRight w:val="0"/>
          <w:marTop w:val="0"/>
          <w:marBottom w:val="0"/>
          <w:divBdr>
            <w:top w:val="none" w:sz="0" w:space="0" w:color="auto"/>
            <w:left w:val="none" w:sz="0" w:space="0" w:color="auto"/>
            <w:bottom w:val="none" w:sz="0" w:space="0" w:color="auto"/>
            <w:right w:val="none" w:sz="0" w:space="0" w:color="auto"/>
          </w:divBdr>
          <w:divsChild>
            <w:div w:id="1428310859">
              <w:marLeft w:val="0"/>
              <w:marRight w:val="0"/>
              <w:marTop w:val="0"/>
              <w:marBottom w:val="0"/>
              <w:divBdr>
                <w:top w:val="none" w:sz="0" w:space="0" w:color="auto"/>
                <w:left w:val="none" w:sz="0" w:space="0" w:color="auto"/>
                <w:bottom w:val="none" w:sz="0" w:space="0" w:color="auto"/>
                <w:right w:val="none" w:sz="0" w:space="0" w:color="auto"/>
              </w:divBdr>
            </w:div>
          </w:divsChild>
        </w:div>
        <w:div w:id="1103381797">
          <w:marLeft w:val="0"/>
          <w:marRight w:val="0"/>
          <w:marTop w:val="0"/>
          <w:marBottom w:val="0"/>
          <w:divBdr>
            <w:top w:val="none" w:sz="0" w:space="0" w:color="auto"/>
            <w:left w:val="none" w:sz="0" w:space="0" w:color="auto"/>
            <w:bottom w:val="none" w:sz="0" w:space="0" w:color="auto"/>
            <w:right w:val="none" w:sz="0" w:space="0" w:color="auto"/>
          </w:divBdr>
          <w:divsChild>
            <w:div w:id="803500946">
              <w:marLeft w:val="0"/>
              <w:marRight w:val="0"/>
              <w:marTop w:val="0"/>
              <w:marBottom w:val="0"/>
              <w:divBdr>
                <w:top w:val="none" w:sz="0" w:space="0" w:color="auto"/>
                <w:left w:val="none" w:sz="0" w:space="0" w:color="auto"/>
                <w:bottom w:val="none" w:sz="0" w:space="0" w:color="auto"/>
                <w:right w:val="none" w:sz="0" w:space="0" w:color="auto"/>
              </w:divBdr>
            </w:div>
          </w:divsChild>
        </w:div>
        <w:div w:id="1855801414">
          <w:marLeft w:val="0"/>
          <w:marRight w:val="0"/>
          <w:marTop w:val="0"/>
          <w:marBottom w:val="0"/>
          <w:divBdr>
            <w:top w:val="none" w:sz="0" w:space="0" w:color="auto"/>
            <w:left w:val="none" w:sz="0" w:space="0" w:color="auto"/>
            <w:bottom w:val="none" w:sz="0" w:space="0" w:color="auto"/>
            <w:right w:val="none" w:sz="0" w:space="0" w:color="auto"/>
          </w:divBdr>
          <w:divsChild>
            <w:div w:id="978261620">
              <w:marLeft w:val="0"/>
              <w:marRight w:val="0"/>
              <w:marTop w:val="0"/>
              <w:marBottom w:val="0"/>
              <w:divBdr>
                <w:top w:val="none" w:sz="0" w:space="0" w:color="auto"/>
                <w:left w:val="none" w:sz="0" w:space="0" w:color="auto"/>
                <w:bottom w:val="none" w:sz="0" w:space="0" w:color="auto"/>
                <w:right w:val="none" w:sz="0" w:space="0" w:color="auto"/>
              </w:divBdr>
            </w:div>
            <w:div w:id="1425491868">
              <w:marLeft w:val="0"/>
              <w:marRight w:val="0"/>
              <w:marTop w:val="0"/>
              <w:marBottom w:val="0"/>
              <w:divBdr>
                <w:top w:val="none" w:sz="0" w:space="0" w:color="auto"/>
                <w:left w:val="none" w:sz="0" w:space="0" w:color="auto"/>
                <w:bottom w:val="none" w:sz="0" w:space="0" w:color="auto"/>
                <w:right w:val="none" w:sz="0" w:space="0" w:color="auto"/>
              </w:divBdr>
            </w:div>
            <w:div w:id="1800561714">
              <w:marLeft w:val="0"/>
              <w:marRight w:val="0"/>
              <w:marTop w:val="0"/>
              <w:marBottom w:val="0"/>
              <w:divBdr>
                <w:top w:val="none" w:sz="0" w:space="0" w:color="auto"/>
                <w:left w:val="none" w:sz="0" w:space="0" w:color="auto"/>
                <w:bottom w:val="none" w:sz="0" w:space="0" w:color="auto"/>
                <w:right w:val="none" w:sz="0" w:space="0" w:color="auto"/>
              </w:divBdr>
            </w:div>
            <w:div w:id="1815483373">
              <w:marLeft w:val="0"/>
              <w:marRight w:val="0"/>
              <w:marTop w:val="0"/>
              <w:marBottom w:val="0"/>
              <w:divBdr>
                <w:top w:val="none" w:sz="0" w:space="0" w:color="auto"/>
                <w:left w:val="none" w:sz="0" w:space="0" w:color="auto"/>
                <w:bottom w:val="none" w:sz="0" w:space="0" w:color="auto"/>
                <w:right w:val="none" w:sz="0" w:space="0" w:color="auto"/>
              </w:divBdr>
            </w:div>
            <w:div w:id="1931158677">
              <w:marLeft w:val="0"/>
              <w:marRight w:val="0"/>
              <w:marTop w:val="0"/>
              <w:marBottom w:val="0"/>
              <w:divBdr>
                <w:top w:val="none" w:sz="0" w:space="0" w:color="auto"/>
                <w:left w:val="none" w:sz="0" w:space="0" w:color="auto"/>
                <w:bottom w:val="none" w:sz="0" w:space="0" w:color="auto"/>
                <w:right w:val="none" w:sz="0" w:space="0" w:color="auto"/>
              </w:divBdr>
            </w:div>
          </w:divsChild>
        </w:div>
        <w:div w:id="2091778677">
          <w:marLeft w:val="0"/>
          <w:marRight w:val="0"/>
          <w:marTop w:val="0"/>
          <w:marBottom w:val="0"/>
          <w:divBdr>
            <w:top w:val="none" w:sz="0" w:space="0" w:color="auto"/>
            <w:left w:val="none" w:sz="0" w:space="0" w:color="auto"/>
            <w:bottom w:val="none" w:sz="0" w:space="0" w:color="auto"/>
            <w:right w:val="none" w:sz="0" w:space="0" w:color="auto"/>
          </w:divBdr>
          <w:divsChild>
            <w:div w:id="1275669249">
              <w:marLeft w:val="0"/>
              <w:marRight w:val="0"/>
              <w:marTop w:val="0"/>
              <w:marBottom w:val="0"/>
              <w:divBdr>
                <w:top w:val="none" w:sz="0" w:space="0" w:color="auto"/>
                <w:left w:val="none" w:sz="0" w:space="0" w:color="auto"/>
                <w:bottom w:val="none" w:sz="0" w:space="0" w:color="auto"/>
                <w:right w:val="none" w:sz="0" w:space="0" w:color="auto"/>
              </w:divBdr>
            </w:div>
            <w:div w:id="1607695872">
              <w:marLeft w:val="0"/>
              <w:marRight w:val="0"/>
              <w:marTop w:val="0"/>
              <w:marBottom w:val="0"/>
              <w:divBdr>
                <w:top w:val="none" w:sz="0" w:space="0" w:color="auto"/>
                <w:left w:val="none" w:sz="0" w:space="0" w:color="auto"/>
                <w:bottom w:val="none" w:sz="0" w:space="0" w:color="auto"/>
                <w:right w:val="none" w:sz="0" w:space="0" w:color="auto"/>
              </w:divBdr>
            </w:div>
            <w:div w:id="1635521797">
              <w:marLeft w:val="0"/>
              <w:marRight w:val="0"/>
              <w:marTop w:val="0"/>
              <w:marBottom w:val="0"/>
              <w:divBdr>
                <w:top w:val="none" w:sz="0" w:space="0" w:color="auto"/>
                <w:left w:val="none" w:sz="0" w:space="0" w:color="auto"/>
                <w:bottom w:val="none" w:sz="0" w:space="0" w:color="auto"/>
                <w:right w:val="none" w:sz="0" w:space="0" w:color="auto"/>
              </w:divBdr>
            </w:div>
          </w:divsChild>
        </w:div>
        <w:div w:id="2119375063">
          <w:marLeft w:val="0"/>
          <w:marRight w:val="0"/>
          <w:marTop w:val="0"/>
          <w:marBottom w:val="0"/>
          <w:divBdr>
            <w:top w:val="none" w:sz="0" w:space="0" w:color="auto"/>
            <w:left w:val="none" w:sz="0" w:space="0" w:color="auto"/>
            <w:bottom w:val="none" w:sz="0" w:space="0" w:color="auto"/>
            <w:right w:val="none" w:sz="0" w:space="0" w:color="auto"/>
          </w:divBdr>
          <w:divsChild>
            <w:div w:id="205750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47498">
      <w:bodyDiv w:val="1"/>
      <w:marLeft w:val="0"/>
      <w:marRight w:val="0"/>
      <w:marTop w:val="0"/>
      <w:marBottom w:val="0"/>
      <w:divBdr>
        <w:top w:val="none" w:sz="0" w:space="0" w:color="auto"/>
        <w:left w:val="none" w:sz="0" w:space="0" w:color="auto"/>
        <w:bottom w:val="none" w:sz="0" w:space="0" w:color="auto"/>
        <w:right w:val="none" w:sz="0" w:space="0" w:color="auto"/>
      </w:divBdr>
    </w:div>
    <w:div w:id="1162239801">
      <w:bodyDiv w:val="1"/>
      <w:marLeft w:val="0"/>
      <w:marRight w:val="0"/>
      <w:marTop w:val="0"/>
      <w:marBottom w:val="0"/>
      <w:divBdr>
        <w:top w:val="none" w:sz="0" w:space="0" w:color="auto"/>
        <w:left w:val="none" w:sz="0" w:space="0" w:color="auto"/>
        <w:bottom w:val="none" w:sz="0" w:space="0" w:color="auto"/>
        <w:right w:val="none" w:sz="0" w:space="0" w:color="auto"/>
      </w:divBdr>
    </w:div>
    <w:div w:id="1198733275">
      <w:bodyDiv w:val="1"/>
      <w:marLeft w:val="0"/>
      <w:marRight w:val="0"/>
      <w:marTop w:val="0"/>
      <w:marBottom w:val="0"/>
      <w:divBdr>
        <w:top w:val="none" w:sz="0" w:space="0" w:color="auto"/>
        <w:left w:val="none" w:sz="0" w:space="0" w:color="auto"/>
        <w:bottom w:val="none" w:sz="0" w:space="0" w:color="auto"/>
        <w:right w:val="none" w:sz="0" w:space="0" w:color="auto"/>
      </w:divBdr>
    </w:div>
    <w:div w:id="1201746557">
      <w:bodyDiv w:val="1"/>
      <w:marLeft w:val="0"/>
      <w:marRight w:val="0"/>
      <w:marTop w:val="0"/>
      <w:marBottom w:val="0"/>
      <w:divBdr>
        <w:top w:val="none" w:sz="0" w:space="0" w:color="auto"/>
        <w:left w:val="none" w:sz="0" w:space="0" w:color="auto"/>
        <w:bottom w:val="none" w:sz="0" w:space="0" w:color="auto"/>
        <w:right w:val="none" w:sz="0" w:space="0" w:color="auto"/>
      </w:divBdr>
      <w:divsChild>
        <w:div w:id="841238415">
          <w:marLeft w:val="0"/>
          <w:marRight w:val="0"/>
          <w:marTop w:val="0"/>
          <w:marBottom w:val="0"/>
          <w:divBdr>
            <w:top w:val="none" w:sz="0" w:space="0" w:color="auto"/>
            <w:left w:val="none" w:sz="0" w:space="0" w:color="auto"/>
            <w:bottom w:val="none" w:sz="0" w:space="0" w:color="auto"/>
            <w:right w:val="none" w:sz="0" w:space="0" w:color="auto"/>
          </w:divBdr>
          <w:divsChild>
            <w:div w:id="12927904">
              <w:marLeft w:val="0"/>
              <w:marRight w:val="0"/>
              <w:marTop w:val="0"/>
              <w:marBottom w:val="0"/>
              <w:divBdr>
                <w:top w:val="none" w:sz="0" w:space="0" w:color="auto"/>
                <w:left w:val="none" w:sz="0" w:space="0" w:color="auto"/>
                <w:bottom w:val="none" w:sz="0" w:space="0" w:color="auto"/>
                <w:right w:val="none" w:sz="0" w:space="0" w:color="auto"/>
              </w:divBdr>
            </w:div>
            <w:div w:id="2036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87947">
      <w:bodyDiv w:val="1"/>
      <w:marLeft w:val="0"/>
      <w:marRight w:val="0"/>
      <w:marTop w:val="0"/>
      <w:marBottom w:val="0"/>
      <w:divBdr>
        <w:top w:val="none" w:sz="0" w:space="0" w:color="auto"/>
        <w:left w:val="none" w:sz="0" w:space="0" w:color="auto"/>
        <w:bottom w:val="none" w:sz="0" w:space="0" w:color="auto"/>
        <w:right w:val="none" w:sz="0" w:space="0" w:color="auto"/>
      </w:divBdr>
    </w:div>
    <w:div w:id="1256671725">
      <w:bodyDiv w:val="1"/>
      <w:marLeft w:val="0"/>
      <w:marRight w:val="0"/>
      <w:marTop w:val="0"/>
      <w:marBottom w:val="0"/>
      <w:divBdr>
        <w:top w:val="none" w:sz="0" w:space="0" w:color="auto"/>
        <w:left w:val="none" w:sz="0" w:space="0" w:color="auto"/>
        <w:bottom w:val="none" w:sz="0" w:space="0" w:color="auto"/>
        <w:right w:val="none" w:sz="0" w:space="0" w:color="auto"/>
      </w:divBdr>
    </w:div>
    <w:div w:id="1276405687">
      <w:bodyDiv w:val="1"/>
      <w:marLeft w:val="0"/>
      <w:marRight w:val="0"/>
      <w:marTop w:val="0"/>
      <w:marBottom w:val="0"/>
      <w:divBdr>
        <w:top w:val="none" w:sz="0" w:space="0" w:color="auto"/>
        <w:left w:val="none" w:sz="0" w:space="0" w:color="auto"/>
        <w:bottom w:val="none" w:sz="0" w:space="0" w:color="auto"/>
        <w:right w:val="none" w:sz="0" w:space="0" w:color="auto"/>
      </w:divBdr>
    </w:div>
    <w:div w:id="1282885660">
      <w:bodyDiv w:val="1"/>
      <w:marLeft w:val="0"/>
      <w:marRight w:val="0"/>
      <w:marTop w:val="0"/>
      <w:marBottom w:val="0"/>
      <w:divBdr>
        <w:top w:val="none" w:sz="0" w:space="0" w:color="auto"/>
        <w:left w:val="none" w:sz="0" w:space="0" w:color="auto"/>
        <w:bottom w:val="none" w:sz="0" w:space="0" w:color="auto"/>
        <w:right w:val="none" w:sz="0" w:space="0" w:color="auto"/>
      </w:divBdr>
    </w:div>
    <w:div w:id="1347439969">
      <w:bodyDiv w:val="1"/>
      <w:marLeft w:val="0"/>
      <w:marRight w:val="0"/>
      <w:marTop w:val="0"/>
      <w:marBottom w:val="0"/>
      <w:divBdr>
        <w:top w:val="none" w:sz="0" w:space="0" w:color="auto"/>
        <w:left w:val="none" w:sz="0" w:space="0" w:color="auto"/>
        <w:bottom w:val="none" w:sz="0" w:space="0" w:color="auto"/>
        <w:right w:val="none" w:sz="0" w:space="0" w:color="auto"/>
      </w:divBdr>
    </w:div>
    <w:div w:id="1349865481">
      <w:bodyDiv w:val="1"/>
      <w:marLeft w:val="0"/>
      <w:marRight w:val="0"/>
      <w:marTop w:val="0"/>
      <w:marBottom w:val="0"/>
      <w:divBdr>
        <w:top w:val="none" w:sz="0" w:space="0" w:color="auto"/>
        <w:left w:val="none" w:sz="0" w:space="0" w:color="auto"/>
        <w:bottom w:val="none" w:sz="0" w:space="0" w:color="auto"/>
        <w:right w:val="none" w:sz="0" w:space="0" w:color="auto"/>
      </w:divBdr>
    </w:div>
    <w:div w:id="1359744117">
      <w:bodyDiv w:val="1"/>
      <w:marLeft w:val="0"/>
      <w:marRight w:val="0"/>
      <w:marTop w:val="0"/>
      <w:marBottom w:val="0"/>
      <w:divBdr>
        <w:top w:val="none" w:sz="0" w:space="0" w:color="auto"/>
        <w:left w:val="none" w:sz="0" w:space="0" w:color="auto"/>
        <w:bottom w:val="none" w:sz="0" w:space="0" w:color="auto"/>
        <w:right w:val="none" w:sz="0" w:space="0" w:color="auto"/>
      </w:divBdr>
    </w:div>
    <w:div w:id="1389769045">
      <w:bodyDiv w:val="1"/>
      <w:marLeft w:val="0"/>
      <w:marRight w:val="0"/>
      <w:marTop w:val="0"/>
      <w:marBottom w:val="0"/>
      <w:divBdr>
        <w:top w:val="none" w:sz="0" w:space="0" w:color="auto"/>
        <w:left w:val="none" w:sz="0" w:space="0" w:color="auto"/>
        <w:bottom w:val="none" w:sz="0" w:space="0" w:color="auto"/>
        <w:right w:val="none" w:sz="0" w:space="0" w:color="auto"/>
      </w:divBdr>
    </w:div>
    <w:div w:id="1392115795">
      <w:bodyDiv w:val="1"/>
      <w:marLeft w:val="0"/>
      <w:marRight w:val="0"/>
      <w:marTop w:val="0"/>
      <w:marBottom w:val="0"/>
      <w:divBdr>
        <w:top w:val="none" w:sz="0" w:space="0" w:color="auto"/>
        <w:left w:val="none" w:sz="0" w:space="0" w:color="auto"/>
        <w:bottom w:val="none" w:sz="0" w:space="0" w:color="auto"/>
        <w:right w:val="none" w:sz="0" w:space="0" w:color="auto"/>
      </w:divBdr>
    </w:div>
    <w:div w:id="1406687557">
      <w:bodyDiv w:val="1"/>
      <w:marLeft w:val="0"/>
      <w:marRight w:val="0"/>
      <w:marTop w:val="0"/>
      <w:marBottom w:val="0"/>
      <w:divBdr>
        <w:top w:val="none" w:sz="0" w:space="0" w:color="auto"/>
        <w:left w:val="none" w:sz="0" w:space="0" w:color="auto"/>
        <w:bottom w:val="none" w:sz="0" w:space="0" w:color="auto"/>
        <w:right w:val="none" w:sz="0" w:space="0" w:color="auto"/>
      </w:divBdr>
    </w:div>
    <w:div w:id="1432582101">
      <w:bodyDiv w:val="1"/>
      <w:marLeft w:val="0"/>
      <w:marRight w:val="0"/>
      <w:marTop w:val="0"/>
      <w:marBottom w:val="0"/>
      <w:divBdr>
        <w:top w:val="none" w:sz="0" w:space="0" w:color="auto"/>
        <w:left w:val="none" w:sz="0" w:space="0" w:color="auto"/>
        <w:bottom w:val="none" w:sz="0" w:space="0" w:color="auto"/>
        <w:right w:val="none" w:sz="0" w:space="0" w:color="auto"/>
      </w:divBdr>
      <w:divsChild>
        <w:div w:id="5180492">
          <w:marLeft w:val="0"/>
          <w:marRight w:val="0"/>
          <w:marTop w:val="0"/>
          <w:marBottom w:val="0"/>
          <w:divBdr>
            <w:top w:val="none" w:sz="0" w:space="0" w:color="auto"/>
            <w:left w:val="none" w:sz="0" w:space="0" w:color="auto"/>
            <w:bottom w:val="none" w:sz="0" w:space="0" w:color="auto"/>
            <w:right w:val="none" w:sz="0" w:space="0" w:color="auto"/>
          </w:divBdr>
          <w:divsChild>
            <w:div w:id="740253566">
              <w:marLeft w:val="0"/>
              <w:marRight w:val="0"/>
              <w:marTop w:val="0"/>
              <w:marBottom w:val="0"/>
              <w:divBdr>
                <w:top w:val="none" w:sz="0" w:space="0" w:color="auto"/>
                <w:left w:val="none" w:sz="0" w:space="0" w:color="auto"/>
                <w:bottom w:val="none" w:sz="0" w:space="0" w:color="auto"/>
                <w:right w:val="none" w:sz="0" w:space="0" w:color="auto"/>
              </w:divBdr>
            </w:div>
            <w:div w:id="1846902052">
              <w:marLeft w:val="0"/>
              <w:marRight w:val="0"/>
              <w:marTop w:val="0"/>
              <w:marBottom w:val="0"/>
              <w:divBdr>
                <w:top w:val="none" w:sz="0" w:space="0" w:color="auto"/>
                <w:left w:val="none" w:sz="0" w:space="0" w:color="auto"/>
                <w:bottom w:val="none" w:sz="0" w:space="0" w:color="auto"/>
                <w:right w:val="none" w:sz="0" w:space="0" w:color="auto"/>
              </w:divBdr>
            </w:div>
            <w:div w:id="20450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26948">
      <w:bodyDiv w:val="1"/>
      <w:marLeft w:val="0"/>
      <w:marRight w:val="0"/>
      <w:marTop w:val="0"/>
      <w:marBottom w:val="0"/>
      <w:divBdr>
        <w:top w:val="none" w:sz="0" w:space="0" w:color="auto"/>
        <w:left w:val="none" w:sz="0" w:space="0" w:color="auto"/>
        <w:bottom w:val="none" w:sz="0" w:space="0" w:color="auto"/>
        <w:right w:val="none" w:sz="0" w:space="0" w:color="auto"/>
      </w:divBdr>
      <w:divsChild>
        <w:div w:id="828057134">
          <w:marLeft w:val="0"/>
          <w:marRight w:val="0"/>
          <w:marTop w:val="0"/>
          <w:marBottom w:val="0"/>
          <w:divBdr>
            <w:top w:val="none" w:sz="0" w:space="0" w:color="auto"/>
            <w:left w:val="none" w:sz="0" w:space="0" w:color="auto"/>
            <w:bottom w:val="none" w:sz="0" w:space="0" w:color="auto"/>
            <w:right w:val="none" w:sz="0" w:space="0" w:color="auto"/>
          </w:divBdr>
        </w:div>
      </w:divsChild>
    </w:div>
    <w:div w:id="1458833055">
      <w:bodyDiv w:val="1"/>
      <w:marLeft w:val="0"/>
      <w:marRight w:val="0"/>
      <w:marTop w:val="0"/>
      <w:marBottom w:val="0"/>
      <w:divBdr>
        <w:top w:val="none" w:sz="0" w:space="0" w:color="auto"/>
        <w:left w:val="none" w:sz="0" w:space="0" w:color="auto"/>
        <w:bottom w:val="none" w:sz="0" w:space="0" w:color="auto"/>
        <w:right w:val="none" w:sz="0" w:space="0" w:color="auto"/>
      </w:divBdr>
    </w:div>
    <w:div w:id="1466578011">
      <w:bodyDiv w:val="1"/>
      <w:marLeft w:val="0"/>
      <w:marRight w:val="0"/>
      <w:marTop w:val="0"/>
      <w:marBottom w:val="0"/>
      <w:divBdr>
        <w:top w:val="none" w:sz="0" w:space="0" w:color="auto"/>
        <w:left w:val="none" w:sz="0" w:space="0" w:color="auto"/>
        <w:bottom w:val="none" w:sz="0" w:space="0" w:color="auto"/>
        <w:right w:val="none" w:sz="0" w:space="0" w:color="auto"/>
      </w:divBdr>
      <w:divsChild>
        <w:div w:id="321663188">
          <w:marLeft w:val="0"/>
          <w:marRight w:val="0"/>
          <w:marTop w:val="0"/>
          <w:marBottom w:val="0"/>
          <w:divBdr>
            <w:top w:val="none" w:sz="0" w:space="0" w:color="auto"/>
            <w:left w:val="none" w:sz="0" w:space="0" w:color="auto"/>
            <w:bottom w:val="none" w:sz="0" w:space="0" w:color="auto"/>
            <w:right w:val="none" w:sz="0" w:space="0" w:color="auto"/>
          </w:divBdr>
          <w:divsChild>
            <w:div w:id="200967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78703">
      <w:bodyDiv w:val="1"/>
      <w:marLeft w:val="0"/>
      <w:marRight w:val="0"/>
      <w:marTop w:val="0"/>
      <w:marBottom w:val="0"/>
      <w:divBdr>
        <w:top w:val="none" w:sz="0" w:space="0" w:color="auto"/>
        <w:left w:val="none" w:sz="0" w:space="0" w:color="auto"/>
        <w:bottom w:val="none" w:sz="0" w:space="0" w:color="auto"/>
        <w:right w:val="none" w:sz="0" w:space="0" w:color="auto"/>
      </w:divBdr>
    </w:div>
    <w:div w:id="1576167296">
      <w:bodyDiv w:val="1"/>
      <w:marLeft w:val="0"/>
      <w:marRight w:val="0"/>
      <w:marTop w:val="0"/>
      <w:marBottom w:val="0"/>
      <w:divBdr>
        <w:top w:val="none" w:sz="0" w:space="0" w:color="auto"/>
        <w:left w:val="none" w:sz="0" w:space="0" w:color="auto"/>
        <w:bottom w:val="none" w:sz="0" w:space="0" w:color="auto"/>
        <w:right w:val="none" w:sz="0" w:space="0" w:color="auto"/>
      </w:divBdr>
    </w:div>
    <w:div w:id="1592811887">
      <w:bodyDiv w:val="1"/>
      <w:marLeft w:val="0"/>
      <w:marRight w:val="0"/>
      <w:marTop w:val="0"/>
      <w:marBottom w:val="0"/>
      <w:divBdr>
        <w:top w:val="none" w:sz="0" w:space="0" w:color="auto"/>
        <w:left w:val="none" w:sz="0" w:space="0" w:color="auto"/>
        <w:bottom w:val="none" w:sz="0" w:space="0" w:color="auto"/>
        <w:right w:val="none" w:sz="0" w:space="0" w:color="auto"/>
      </w:divBdr>
    </w:div>
    <w:div w:id="1593468106">
      <w:bodyDiv w:val="1"/>
      <w:marLeft w:val="0"/>
      <w:marRight w:val="0"/>
      <w:marTop w:val="0"/>
      <w:marBottom w:val="0"/>
      <w:divBdr>
        <w:top w:val="none" w:sz="0" w:space="0" w:color="auto"/>
        <w:left w:val="none" w:sz="0" w:space="0" w:color="auto"/>
        <w:bottom w:val="none" w:sz="0" w:space="0" w:color="auto"/>
        <w:right w:val="none" w:sz="0" w:space="0" w:color="auto"/>
      </w:divBdr>
    </w:div>
    <w:div w:id="1618489090">
      <w:bodyDiv w:val="1"/>
      <w:marLeft w:val="0"/>
      <w:marRight w:val="0"/>
      <w:marTop w:val="0"/>
      <w:marBottom w:val="0"/>
      <w:divBdr>
        <w:top w:val="none" w:sz="0" w:space="0" w:color="auto"/>
        <w:left w:val="none" w:sz="0" w:space="0" w:color="auto"/>
        <w:bottom w:val="none" w:sz="0" w:space="0" w:color="auto"/>
        <w:right w:val="none" w:sz="0" w:space="0" w:color="auto"/>
      </w:divBdr>
    </w:div>
    <w:div w:id="1668095827">
      <w:bodyDiv w:val="1"/>
      <w:marLeft w:val="0"/>
      <w:marRight w:val="0"/>
      <w:marTop w:val="0"/>
      <w:marBottom w:val="0"/>
      <w:divBdr>
        <w:top w:val="none" w:sz="0" w:space="0" w:color="auto"/>
        <w:left w:val="none" w:sz="0" w:space="0" w:color="auto"/>
        <w:bottom w:val="none" w:sz="0" w:space="0" w:color="auto"/>
        <w:right w:val="none" w:sz="0" w:space="0" w:color="auto"/>
      </w:divBdr>
    </w:div>
    <w:div w:id="1679194228">
      <w:bodyDiv w:val="1"/>
      <w:marLeft w:val="0"/>
      <w:marRight w:val="0"/>
      <w:marTop w:val="0"/>
      <w:marBottom w:val="0"/>
      <w:divBdr>
        <w:top w:val="none" w:sz="0" w:space="0" w:color="auto"/>
        <w:left w:val="none" w:sz="0" w:space="0" w:color="auto"/>
        <w:bottom w:val="none" w:sz="0" w:space="0" w:color="auto"/>
        <w:right w:val="none" w:sz="0" w:space="0" w:color="auto"/>
      </w:divBdr>
      <w:divsChild>
        <w:div w:id="5843383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84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845660">
      <w:bodyDiv w:val="1"/>
      <w:marLeft w:val="0"/>
      <w:marRight w:val="0"/>
      <w:marTop w:val="0"/>
      <w:marBottom w:val="0"/>
      <w:divBdr>
        <w:top w:val="none" w:sz="0" w:space="0" w:color="auto"/>
        <w:left w:val="none" w:sz="0" w:space="0" w:color="auto"/>
        <w:bottom w:val="none" w:sz="0" w:space="0" w:color="auto"/>
        <w:right w:val="none" w:sz="0" w:space="0" w:color="auto"/>
      </w:divBdr>
    </w:div>
    <w:div w:id="1713767226">
      <w:bodyDiv w:val="1"/>
      <w:marLeft w:val="0"/>
      <w:marRight w:val="0"/>
      <w:marTop w:val="0"/>
      <w:marBottom w:val="0"/>
      <w:divBdr>
        <w:top w:val="none" w:sz="0" w:space="0" w:color="auto"/>
        <w:left w:val="none" w:sz="0" w:space="0" w:color="auto"/>
        <w:bottom w:val="none" w:sz="0" w:space="0" w:color="auto"/>
        <w:right w:val="none" w:sz="0" w:space="0" w:color="auto"/>
      </w:divBdr>
    </w:div>
    <w:div w:id="1776637167">
      <w:bodyDiv w:val="1"/>
      <w:marLeft w:val="0"/>
      <w:marRight w:val="0"/>
      <w:marTop w:val="0"/>
      <w:marBottom w:val="0"/>
      <w:divBdr>
        <w:top w:val="none" w:sz="0" w:space="0" w:color="auto"/>
        <w:left w:val="none" w:sz="0" w:space="0" w:color="auto"/>
        <w:bottom w:val="none" w:sz="0" w:space="0" w:color="auto"/>
        <w:right w:val="none" w:sz="0" w:space="0" w:color="auto"/>
      </w:divBdr>
    </w:div>
    <w:div w:id="1813327379">
      <w:bodyDiv w:val="1"/>
      <w:marLeft w:val="0"/>
      <w:marRight w:val="0"/>
      <w:marTop w:val="0"/>
      <w:marBottom w:val="0"/>
      <w:divBdr>
        <w:top w:val="none" w:sz="0" w:space="0" w:color="auto"/>
        <w:left w:val="none" w:sz="0" w:space="0" w:color="auto"/>
        <w:bottom w:val="none" w:sz="0" w:space="0" w:color="auto"/>
        <w:right w:val="none" w:sz="0" w:space="0" w:color="auto"/>
      </w:divBdr>
    </w:div>
    <w:div w:id="1813717736">
      <w:bodyDiv w:val="1"/>
      <w:marLeft w:val="0"/>
      <w:marRight w:val="0"/>
      <w:marTop w:val="0"/>
      <w:marBottom w:val="0"/>
      <w:divBdr>
        <w:top w:val="none" w:sz="0" w:space="0" w:color="auto"/>
        <w:left w:val="none" w:sz="0" w:space="0" w:color="auto"/>
        <w:bottom w:val="none" w:sz="0" w:space="0" w:color="auto"/>
        <w:right w:val="none" w:sz="0" w:space="0" w:color="auto"/>
      </w:divBdr>
    </w:div>
    <w:div w:id="1816529385">
      <w:bodyDiv w:val="1"/>
      <w:marLeft w:val="0"/>
      <w:marRight w:val="0"/>
      <w:marTop w:val="0"/>
      <w:marBottom w:val="0"/>
      <w:divBdr>
        <w:top w:val="none" w:sz="0" w:space="0" w:color="auto"/>
        <w:left w:val="none" w:sz="0" w:space="0" w:color="auto"/>
        <w:bottom w:val="none" w:sz="0" w:space="0" w:color="auto"/>
        <w:right w:val="none" w:sz="0" w:space="0" w:color="auto"/>
      </w:divBdr>
    </w:div>
    <w:div w:id="1822694972">
      <w:bodyDiv w:val="1"/>
      <w:marLeft w:val="0"/>
      <w:marRight w:val="0"/>
      <w:marTop w:val="0"/>
      <w:marBottom w:val="0"/>
      <w:divBdr>
        <w:top w:val="none" w:sz="0" w:space="0" w:color="auto"/>
        <w:left w:val="none" w:sz="0" w:space="0" w:color="auto"/>
        <w:bottom w:val="none" w:sz="0" w:space="0" w:color="auto"/>
        <w:right w:val="none" w:sz="0" w:space="0" w:color="auto"/>
      </w:divBdr>
    </w:div>
    <w:div w:id="1848328475">
      <w:bodyDiv w:val="1"/>
      <w:marLeft w:val="0"/>
      <w:marRight w:val="0"/>
      <w:marTop w:val="0"/>
      <w:marBottom w:val="0"/>
      <w:divBdr>
        <w:top w:val="none" w:sz="0" w:space="0" w:color="auto"/>
        <w:left w:val="none" w:sz="0" w:space="0" w:color="auto"/>
        <w:bottom w:val="none" w:sz="0" w:space="0" w:color="auto"/>
        <w:right w:val="none" w:sz="0" w:space="0" w:color="auto"/>
      </w:divBdr>
    </w:div>
    <w:div w:id="1860046307">
      <w:bodyDiv w:val="1"/>
      <w:marLeft w:val="0"/>
      <w:marRight w:val="0"/>
      <w:marTop w:val="0"/>
      <w:marBottom w:val="0"/>
      <w:divBdr>
        <w:top w:val="none" w:sz="0" w:space="0" w:color="auto"/>
        <w:left w:val="none" w:sz="0" w:space="0" w:color="auto"/>
        <w:bottom w:val="none" w:sz="0" w:space="0" w:color="auto"/>
        <w:right w:val="none" w:sz="0" w:space="0" w:color="auto"/>
      </w:divBdr>
      <w:divsChild>
        <w:div w:id="501434569">
          <w:marLeft w:val="0"/>
          <w:marRight w:val="0"/>
          <w:marTop w:val="332"/>
          <w:marBottom w:val="332"/>
          <w:divBdr>
            <w:top w:val="none" w:sz="0" w:space="0" w:color="auto"/>
            <w:left w:val="none" w:sz="0" w:space="0" w:color="auto"/>
            <w:bottom w:val="none" w:sz="0" w:space="0" w:color="auto"/>
            <w:right w:val="none" w:sz="0" w:space="0" w:color="auto"/>
          </w:divBdr>
          <w:divsChild>
            <w:div w:id="41471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463567">
      <w:bodyDiv w:val="1"/>
      <w:marLeft w:val="0"/>
      <w:marRight w:val="0"/>
      <w:marTop w:val="0"/>
      <w:marBottom w:val="0"/>
      <w:divBdr>
        <w:top w:val="none" w:sz="0" w:space="0" w:color="auto"/>
        <w:left w:val="none" w:sz="0" w:space="0" w:color="auto"/>
        <w:bottom w:val="none" w:sz="0" w:space="0" w:color="auto"/>
        <w:right w:val="none" w:sz="0" w:space="0" w:color="auto"/>
      </w:divBdr>
    </w:div>
    <w:div w:id="1877962933">
      <w:bodyDiv w:val="1"/>
      <w:marLeft w:val="0"/>
      <w:marRight w:val="0"/>
      <w:marTop w:val="0"/>
      <w:marBottom w:val="0"/>
      <w:divBdr>
        <w:top w:val="none" w:sz="0" w:space="0" w:color="auto"/>
        <w:left w:val="none" w:sz="0" w:space="0" w:color="auto"/>
        <w:bottom w:val="none" w:sz="0" w:space="0" w:color="auto"/>
        <w:right w:val="none" w:sz="0" w:space="0" w:color="auto"/>
      </w:divBdr>
    </w:div>
    <w:div w:id="1903638342">
      <w:bodyDiv w:val="1"/>
      <w:marLeft w:val="0"/>
      <w:marRight w:val="0"/>
      <w:marTop w:val="0"/>
      <w:marBottom w:val="0"/>
      <w:divBdr>
        <w:top w:val="none" w:sz="0" w:space="0" w:color="auto"/>
        <w:left w:val="none" w:sz="0" w:space="0" w:color="auto"/>
        <w:bottom w:val="none" w:sz="0" w:space="0" w:color="auto"/>
        <w:right w:val="none" w:sz="0" w:space="0" w:color="auto"/>
      </w:divBdr>
    </w:div>
    <w:div w:id="1909657081">
      <w:bodyDiv w:val="1"/>
      <w:marLeft w:val="0"/>
      <w:marRight w:val="0"/>
      <w:marTop w:val="0"/>
      <w:marBottom w:val="0"/>
      <w:divBdr>
        <w:top w:val="none" w:sz="0" w:space="0" w:color="auto"/>
        <w:left w:val="none" w:sz="0" w:space="0" w:color="auto"/>
        <w:bottom w:val="none" w:sz="0" w:space="0" w:color="auto"/>
        <w:right w:val="none" w:sz="0" w:space="0" w:color="auto"/>
      </w:divBdr>
      <w:divsChild>
        <w:div w:id="342905821">
          <w:marLeft w:val="0"/>
          <w:marRight w:val="0"/>
          <w:marTop w:val="0"/>
          <w:marBottom w:val="0"/>
          <w:divBdr>
            <w:top w:val="none" w:sz="0" w:space="0" w:color="auto"/>
            <w:left w:val="none" w:sz="0" w:space="0" w:color="auto"/>
            <w:bottom w:val="none" w:sz="0" w:space="0" w:color="auto"/>
            <w:right w:val="none" w:sz="0" w:space="0" w:color="auto"/>
          </w:divBdr>
        </w:div>
        <w:div w:id="1100494192">
          <w:marLeft w:val="0"/>
          <w:marRight w:val="0"/>
          <w:marTop w:val="0"/>
          <w:marBottom w:val="0"/>
          <w:divBdr>
            <w:top w:val="none" w:sz="0" w:space="0" w:color="auto"/>
            <w:left w:val="none" w:sz="0" w:space="0" w:color="auto"/>
            <w:bottom w:val="none" w:sz="0" w:space="0" w:color="auto"/>
            <w:right w:val="none" w:sz="0" w:space="0" w:color="auto"/>
          </w:divBdr>
        </w:div>
      </w:divsChild>
    </w:div>
    <w:div w:id="1926067839">
      <w:bodyDiv w:val="1"/>
      <w:marLeft w:val="0"/>
      <w:marRight w:val="0"/>
      <w:marTop w:val="0"/>
      <w:marBottom w:val="0"/>
      <w:divBdr>
        <w:top w:val="none" w:sz="0" w:space="0" w:color="auto"/>
        <w:left w:val="none" w:sz="0" w:space="0" w:color="auto"/>
        <w:bottom w:val="none" w:sz="0" w:space="0" w:color="auto"/>
        <w:right w:val="none" w:sz="0" w:space="0" w:color="auto"/>
      </w:divBdr>
    </w:div>
    <w:div w:id="1932470517">
      <w:bodyDiv w:val="1"/>
      <w:marLeft w:val="0"/>
      <w:marRight w:val="0"/>
      <w:marTop w:val="0"/>
      <w:marBottom w:val="0"/>
      <w:divBdr>
        <w:top w:val="none" w:sz="0" w:space="0" w:color="auto"/>
        <w:left w:val="none" w:sz="0" w:space="0" w:color="auto"/>
        <w:bottom w:val="none" w:sz="0" w:space="0" w:color="auto"/>
        <w:right w:val="none" w:sz="0" w:space="0" w:color="auto"/>
      </w:divBdr>
    </w:div>
    <w:div w:id="1933859218">
      <w:bodyDiv w:val="1"/>
      <w:marLeft w:val="0"/>
      <w:marRight w:val="0"/>
      <w:marTop w:val="0"/>
      <w:marBottom w:val="0"/>
      <w:divBdr>
        <w:top w:val="none" w:sz="0" w:space="0" w:color="auto"/>
        <w:left w:val="none" w:sz="0" w:space="0" w:color="auto"/>
        <w:bottom w:val="none" w:sz="0" w:space="0" w:color="auto"/>
        <w:right w:val="none" w:sz="0" w:space="0" w:color="auto"/>
      </w:divBdr>
    </w:div>
    <w:div w:id="1966156943">
      <w:bodyDiv w:val="1"/>
      <w:marLeft w:val="0"/>
      <w:marRight w:val="0"/>
      <w:marTop w:val="0"/>
      <w:marBottom w:val="0"/>
      <w:divBdr>
        <w:top w:val="none" w:sz="0" w:space="0" w:color="auto"/>
        <w:left w:val="none" w:sz="0" w:space="0" w:color="auto"/>
        <w:bottom w:val="none" w:sz="0" w:space="0" w:color="auto"/>
        <w:right w:val="none" w:sz="0" w:space="0" w:color="auto"/>
      </w:divBdr>
    </w:div>
    <w:div w:id="1987935452">
      <w:bodyDiv w:val="1"/>
      <w:marLeft w:val="0"/>
      <w:marRight w:val="0"/>
      <w:marTop w:val="0"/>
      <w:marBottom w:val="0"/>
      <w:divBdr>
        <w:top w:val="none" w:sz="0" w:space="0" w:color="auto"/>
        <w:left w:val="none" w:sz="0" w:space="0" w:color="auto"/>
        <w:bottom w:val="none" w:sz="0" w:space="0" w:color="auto"/>
        <w:right w:val="none" w:sz="0" w:space="0" w:color="auto"/>
      </w:divBdr>
    </w:div>
    <w:div w:id="2028559877">
      <w:bodyDiv w:val="1"/>
      <w:marLeft w:val="0"/>
      <w:marRight w:val="0"/>
      <w:marTop w:val="0"/>
      <w:marBottom w:val="0"/>
      <w:divBdr>
        <w:top w:val="none" w:sz="0" w:space="0" w:color="auto"/>
        <w:left w:val="none" w:sz="0" w:space="0" w:color="auto"/>
        <w:bottom w:val="none" w:sz="0" w:space="0" w:color="auto"/>
        <w:right w:val="none" w:sz="0" w:space="0" w:color="auto"/>
      </w:divBdr>
    </w:div>
    <w:div w:id="2033876827">
      <w:bodyDiv w:val="1"/>
      <w:marLeft w:val="0"/>
      <w:marRight w:val="0"/>
      <w:marTop w:val="0"/>
      <w:marBottom w:val="0"/>
      <w:divBdr>
        <w:top w:val="none" w:sz="0" w:space="0" w:color="auto"/>
        <w:left w:val="none" w:sz="0" w:space="0" w:color="auto"/>
        <w:bottom w:val="none" w:sz="0" w:space="0" w:color="auto"/>
        <w:right w:val="none" w:sz="0" w:space="0" w:color="auto"/>
      </w:divBdr>
      <w:divsChild>
        <w:div w:id="1198086207">
          <w:marLeft w:val="0"/>
          <w:marRight w:val="0"/>
          <w:marTop w:val="332"/>
          <w:marBottom w:val="332"/>
          <w:divBdr>
            <w:top w:val="none" w:sz="0" w:space="0" w:color="auto"/>
            <w:left w:val="none" w:sz="0" w:space="0" w:color="auto"/>
            <w:bottom w:val="none" w:sz="0" w:space="0" w:color="auto"/>
            <w:right w:val="none" w:sz="0" w:space="0" w:color="auto"/>
          </w:divBdr>
          <w:divsChild>
            <w:div w:id="16675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294958">
      <w:bodyDiv w:val="1"/>
      <w:marLeft w:val="0"/>
      <w:marRight w:val="0"/>
      <w:marTop w:val="0"/>
      <w:marBottom w:val="0"/>
      <w:divBdr>
        <w:top w:val="none" w:sz="0" w:space="0" w:color="auto"/>
        <w:left w:val="none" w:sz="0" w:space="0" w:color="auto"/>
        <w:bottom w:val="none" w:sz="0" w:space="0" w:color="auto"/>
        <w:right w:val="none" w:sz="0" w:space="0" w:color="auto"/>
      </w:divBdr>
    </w:div>
    <w:div w:id="2057965221">
      <w:bodyDiv w:val="1"/>
      <w:marLeft w:val="0"/>
      <w:marRight w:val="0"/>
      <w:marTop w:val="0"/>
      <w:marBottom w:val="0"/>
      <w:divBdr>
        <w:top w:val="none" w:sz="0" w:space="0" w:color="auto"/>
        <w:left w:val="none" w:sz="0" w:space="0" w:color="auto"/>
        <w:bottom w:val="none" w:sz="0" w:space="0" w:color="auto"/>
        <w:right w:val="none" w:sz="0" w:space="0" w:color="auto"/>
      </w:divBdr>
    </w:div>
    <w:div w:id="2068798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engz@nju.edu.cn" TargetMode="External"/><Relationship Id="rId18" Type="http://schemas.openxmlformats.org/officeDocument/2006/relationships/image" Target="media/image5.TIF"/><Relationship Id="rId26" Type="http://schemas.openxmlformats.org/officeDocument/2006/relationships/image" Target="media/image13.TIF"/><Relationship Id="rId39" Type="http://schemas.openxmlformats.org/officeDocument/2006/relationships/footer" Target="footer2.xml"/><Relationship Id="rId21" Type="http://schemas.openxmlformats.org/officeDocument/2006/relationships/image" Target="media/image8.TIF"/><Relationship Id="rId34" Type="http://schemas.openxmlformats.org/officeDocument/2006/relationships/image" Target="media/image19.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image" Target="media/image7.TIF"/><Relationship Id="rId29" Type="http://schemas.openxmlformats.org/officeDocument/2006/relationships/image" Target="media/image16.TI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hanglinqi@tsinghua.edu.cn" TargetMode="External"/><Relationship Id="rId24" Type="http://schemas.openxmlformats.org/officeDocument/2006/relationships/image" Target="media/image11.TIF"/><Relationship Id="rId32" Type="http://schemas.openxmlformats.org/officeDocument/2006/relationships/image" Target="media/image18.emf"/><Relationship Id="rId37" Type="http://schemas.openxmlformats.org/officeDocument/2006/relationships/package" Target="embeddings/Microsoft_Excel____4.xlsx"/><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TIF"/><Relationship Id="rId23" Type="http://schemas.openxmlformats.org/officeDocument/2006/relationships/image" Target="media/image10.TIF"/><Relationship Id="rId28" Type="http://schemas.openxmlformats.org/officeDocument/2006/relationships/image" Target="media/image15.TIF"/><Relationship Id="rId36" Type="http://schemas.openxmlformats.org/officeDocument/2006/relationships/image" Target="media/image20.emf"/><Relationship Id="rId10" Type="http://schemas.openxmlformats.org/officeDocument/2006/relationships/hyperlink" Target="mailto:liuyl@wh.iov.cn" TargetMode="External"/><Relationship Id="rId19" Type="http://schemas.openxmlformats.org/officeDocument/2006/relationships/image" Target="media/image6.TIF"/><Relationship Id="rId31" Type="http://schemas.openxmlformats.org/officeDocument/2006/relationships/package" Target="embeddings/Microsoft_Excel____1.xlsx"/><Relationship Id="rId4" Type="http://schemas.openxmlformats.org/officeDocument/2006/relationships/settings" Target="settings.xml"/><Relationship Id="rId9" Type="http://schemas.openxmlformats.org/officeDocument/2006/relationships/hyperlink" Target="mailto:xilinwu@nju.edu.cn" TargetMode="External"/><Relationship Id="rId14" Type="http://schemas.openxmlformats.org/officeDocument/2006/relationships/image" Target="media/image1.TIF"/><Relationship Id="rId22" Type="http://schemas.openxmlformats.org/officeDocument/2006/relationships/image" Target="media/image9.TIF"/><Relationship Id="rId27" Type="http://schemas.openxmlformats.org/officeDocument/2006/relationships/image" Target="media/image14.tif"/><Relationship Id="rId30" Type="http://schemas.openxmlformats.org/officeDocument/2006/relationships/image" Target="media/image17.emf"/><Relationship Id="rId35" Type="http://schemas.openxmlformats.org/officeDocument/2006/relationships/package" Target="embeddings/Microsoft_Excel____3.xlsx"/><Relationship Id="rId8" Type="http://schemas.openxmlformats.org/officeDocument/2006/relationships/hyperlink" Target="mailto:wzhw@nju.edu.cn" TargetMode="External"/><Relationship Id="rId3" Type="http://schemas.openxmlformats.org/officeDocument/2006/relationships/styles" Target="styles.xml"/><Relationship Id="rId12" Type="http://schemas.openxmlformats.org/officeDocument/2006/relationships/hyperlink" Target="mailto:wghongxia@sina.com" TargetMode="External"/><Relationship Id="rId17" Type="http://schemas.openxmlformats.org/officeDocument/2006/relationships/image" Target="media/image4.TIF"/><Relationship Id="rId25" Type="http://schemas.openxmlformats.org/officeDocument/2006/relationships/image" Target="media/image12.TIF"/><Relationship Id="rId33" Type="http://schemas.openxmlformats.org/officeDocument/2006/relationships/package" Target="embeddings/Microsoft_Excel____2.xlsx"/><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24739-C303-4B1B-AB54-BC4419DA9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3839</Words>
  <Characters>21886</Characters>
  <Application>Microsoft Office Word</Application>
  <DocSecurity>0</DocSecurity>
  <PresentationFormat/>
  <Lines>182</Lines>
  <Paragraphs>51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TO AIDS</vt:lpstr>
    </vt:vector>
  </TitlesOfParts>
  <Company>Eaton Corp</Company>
  <LinksUpToDate>false</LinksUpToDate>
  <CharactersWithSpaces>25674</CharactersWithSpaces>
  <SharedDoc>false</SharedDoc>
  <HLinks>
    <vt:vector size="366" baseType="variant">
      <vt:variant>
        <vt:i4>4522046</vt:i4>
      </vt:variant>
      <vt:variant>
        <vt:i4>361</vt:i4>
      </vt:variant>
      <vt:variant>
        <vt:i4>0</vt:i4>
      </vt:variant>
      <vt:variant>
        <vt:i4>5</vt:i4>
      </vt:variant>
      <vt:variant>
        <vt:lpwstr/>
      </vt:variant>
      <vt:variant>
        <vt:lpwstr>_ENREF_45</vt:lpwstr>
      </vt:variant>
      <vt:variant>
        <vt:i4>4522040</vt:i4>
      </vt:variant>
      <vt:variant>
        <vt:i4>353</vt:i4>
      </vt:variant>
      <vt:variant>
        <vt:i4>0</vt:i4>
      </vt:variant>
      <vt:variant>
        <vt:i4>5</vt:i4>
      </vt:variant>
      <vt:variant>
        <vt:lpwstr/>
      </vt:variant>
      <vt:variant>
        <vt:lpwstr>_ENREF_43</vt:lpwstr>
      </vt:variant>
      <vt:variant>
        <vt:i4>4522047</vt:i4>
      </vt:variant>
      <vt:variant>
        <vt:i4>345</vt:i4>
      </vt:variant>
      <vt:variant>
        <vt:i4>0</vt:i4>
      </vt:variant>
      <vt:variant>
        <vt:i4>5</vt:i4>
      </vt:variant>
      <vt:variant>
        <vt:lpwstr/>
      </vt:variant>
      <vt:variant>
        <vt:lpwstr>_ENREF_44</vt:lpwstr>
      </vt:variant>
      <vt:variant>
        <vt:i4>4522040</vt:i4>
      </vt:variant>
      <vt:variant>
        <vt:i4>342</vt:i4>
      </vt:variant>
      <vt:variant>
        <vt:i4>0</vt:i4>
      </vt:variant>
      <vt:variant>
        <vt:i4>5</vt:i4>
      </vt:variant>
      <vt:variant>
        <vt:lpwstr/>
      </vt:variant>
      <vt:variant>
        <vt:lpwstr>_ENREF_43</vt:lpwstr>
      </vt:variant>
      <vt:variant>
        <vt:i4>4522043</vt:i4>
      </vt:variant>
      <vt:variant>
        <vt:i4>334</vt:i4>
      </vt:variant>
      <vt:variant>
        <vt:i4>0</vt:i4>
      </vt:variant>
      <vt:variant>
        <vt:i4>5</vt:i4>
      </vt:variant>
      <vt:variant>
        <vt:lpwstr/>
      </vt:variant>
      <vt:variant>
        <vt:lpwstr>_ENREF_40</vt:lpwstr>
      </vt:variant>
      <vt:variant>
        <vt:i4>4325436</vt:i4>
      </vt:variant>
      <vt:variant>
        <vt:i4>326</vt:i4>
      </vt:variant>
      <vt:variant>
        <vt:i4>0</vt:i4>
      </vt:variant>
      <vt:variant>
        <vt:i4>5</vt:i4>
      </vt:variant>
      <vt:variant>
        <vt:lpwstr/>
      </vt:variant>
      <vt:variant>
        <vt:lpwstr>_ENREF_37</vt:lpwstr>
      </vt:variant>
      <vt:variant>
        <vt:i4>4325426</vt:i4>
      </vt:variant>
      <vt:variant>
        <vt:i4>318</vt:i4>
      </vt:variant>
      <vt:variant>
        <vt:i4>0</vt:i4>
      </vt:variant>
      <vt:variant>
        <vt:i4>5</vt:i4>
      </vt:variant>
      <vt:variant>
        <vt:lpwstr/>
      </vt:variant>
      <vt:variant>
        <vt:lpwstr>_ENREF_39</vt:lpwstr>
      </vt:variant>
      <vt:variant>
        <vt:i4>4325437</vt:i4>
      </vt:variant>
      <vt:variant>
        <vt:i4>315</vt:i4>
      </vt:variant>
      <vt:variant>
        <vt:i4>0</vt:i4>
      </vt:variant>
      <vt:variant>
        <vt:i4>5</vt:i4>
      </vt:variant>
      <vt:variant>
        <vt:lpwstr/>
      </vt:variant>
      <vt:variant>
        <vt:lpwstr>_ENREF_36</vt:lpwstr>
      </vt:variant>
      <vt:variant>
        <vt:i4>4325427</vt:i4>
      </vt:variant>
      <vt:variant>
        <vt:i4>307</vt:i4>
      </vt:variant>
      <vt:variant>
        <vt:i4>0</vt:i4>
      </vt:variant>
      <vt:variant>
        <vt:i4>5</vt:i4>
      </vt:variant>
      <vt:variant>
        <vt:lpwstr/>
      </vt:variant>
      <vt:variant>
        <vt:lpwstr>_ENREF_38</vt:lpwstr>
      </vt:variant>
      <vt:variant>
        <vt:i4>4325436</vt:i4>
      </vt:variant>
      <vt:variant>
        <vt:i4>304</vt:i4>
      </vt:variant>
      <vt:variant>
        <vt:i4>0</vt:i4>
      </vt:variant>
      <vt:variant>
        <vt:i4>5</vt:i4>
      </vt:variant>
      <vt:variant>
        <vt:lpwstr/>
      </vt:variant>
      <vt:variant>
        <vt:lpwstr>_ENREF_37</vt:lpwstr>
      </vt:variant>
      <vt:variant>
        <vt:i4>4325437</vt:i4>
      </vt:variant>
      <vt:variant>
        <vt:i4>296</vt:i4>
      </vt:variant>
      <vt:variant>
        <vt:i4>0</vt:i4>
      </vt:variant>
      <vt:variant>
        <vt:i4>5</vt:i4>
      </vt:variant>
      <vt:variant>
        <vt:lpwstr/>
      </vt:variant>
      <vt:variant>
        <vt:lpwstr>_ENREF_36</vt:lpwstr>
      </vt:variant>
      <vt:variant>
        <vt:i4>4325438</vt:i4>
      </vt:variant>
      <vt:variant>
        <vt:i4>293</vt:i4>
      </vt:variant>
      <vt:variant>
        <vt:i4>0</vt:i4>
      </vt:variant>
      <vt:variant>
        <vt:i4>5</vt:i4>
      </vt:variant>
      <vt:variant>
        <vt:lpwstr/>
      </vt:variant>
      <vt:variant>
        <vt:lpwstr>_ENREF_35</vt:lpwstr>
      </vt:variant>
      <vt:variant>
        <vt:i4>4390974</vt:i4>
      </vt:variant>
      <vt:variant>
        <vt:i4>290</vt:i4>
      </vt:variant>
      <vt:variant>
        <vt:i4>0</vt:i4>
      </vt:variant>
      <vt:variant>
        <vt:i4>5</vt:i4>
      </vt:variant>
      <vt:variant>
        <vt:lpwstr/>
      </vt:variant>
      <vt:variant>
        <vt:lpwstr>_ENREF_25</vt:lpwstr>
      </vt:variant>
      <vt:variant>
        <vt:i4>4325432</vt:i4>
      </vt:variant>
      <vt:variant>
        <vt:i4>282</vt:i4>
      </vt:variant>
      <vt:variant>
        <vt:i4>0</vt:i4>
      </vt:variant>
      <vt:variant>
        <vt:i4>5</vt:i4>
      </vt:variant>
      <vt:variant>
        <vt:lpwstr/>
      </vt:variant>
      <vt:variant>
        <vt:lpwstr>_ENREF_33</vt:lpwstr>
      </vt:variant>
      <vt:variant>
        <vt:i4>4194367</vt:i4>
      </vt:variant>
      <vt:variant>
        <vt:i4>276</vt:i4>
      </vt:variant>
      <vt:variant>
        <vt:i4>0</vt:i4>
      </vt:variant>
      <vt:variant>
        <vt:i4>5</vt:i4>
      </vt:variant>
      <vt:variant>
        <vt:lpwstr/>
      </vt:variant>
      <vt:variant>
        <vt:lpwstr>_ENREF_14</vt:lpwstr>
      </vt:variant>
      <vt:variant>
        <vt:i4>4194367</vt:i4>
      </vt:variant>
      <vt:variant>
        <vt:i4>268</vt:i4>
      </vt:variant>
      <vt:variant>
        <vt:i4>0</vt:i4>
      </vt:variant>
      <vt:variant>
        <vt:i4>5</vt:i4>
      </vt:variant>
      <vt:variant>
        <vt:lpwstr/>
      </vt:variant>
      <vt:variant>
        <vt:lpwstr>_ENREF_14</vt:lpwstr>
      </vt:variant>
      <vt:variant>
        <vt:i4>4325439</vt:i4>
      </vt:variant>
      <vt:variant>
        <vt:i4>260</vt:i4>
      </vt:variant>
      <vt:variant>
        <vt:i4>0</vt:i4>
      </vt:variant>
      <vt:variant>
        <vt:i4>5</vt:i4>
      </vt:variant>
      <vt:variant>
        <vt:lpwstr/>
      </vt:variant>
      <vt:variant>
        <vt:lpwstr>_ENREF_34</vt:lpwstr>
      </vt:variant>
      <vt:variant>
        <vt:i4>4325432</vt:i4>
      </vt:variant>
      <vt:variant>
        <vt:i4>252</vt:i4>
      </vt:variant>
      <vt:variant>
        <vt:i4>0</vt:i4>
      </vt:variant>
      <vt:variant>
        <vt:i4>5</vt:i4>
      </vt:variant>
      <vt:variant>
        <vt:lpwstr/>
      </vt:variant>
      <vt:variant>
        <vt:lpwstr>_ENREF_33</vt:lpwstr>
      </vt:variant>
      <vt:variant>
        <vt:i4>4325432</vt:i4>
      </vt:variant>
      <vt:variant>
        <vt:i4>246</vt:i4>
      </vt:variant>
      <vt:variant>
        <vt:i4>0</vt:i4>
      </vt:variant>
      <vt:variant>
        <vt:i4>5</vt:i4>
      </vt:variant>
      <vt:variant>
        <vt:lpwstr/>
      </vt:variant>
      <vt:variant>
        <vt:lpwstr>_ENREF_33</vt:lpwstr>
      </vt:variant>
      <vt:variant>
        <vt:i4>4325435</vt:i4>
      </vt:variant>
      <vt:variant>
        <vt:i4>240</vt:i4>
      </vt:variant>
      <vt:variant>
        <vt:i4>0</vt:i4>
      </vt:variant>
      <vt:variant>
        <vt:i4>5</vt:i4>
      </vt:variant>
      <vt:variant>
        <vt:lpwstr/>
      </vt:variant>
      <vt:variant>
        <vt:lpwstr>_ENREF_30</vt:lpwstr>
      </vt:variant>
      <vt:variant>
        <vt:i4>4325434</vt:i4>
      </vt:variant>
      <vt:variant>
        <vt:i4>232</vt:i4>
      </vt:variant>
      <vt:variant>
        <vt:i4>0</vt:i4>
      </vt:variant>
      <vt:variant>
        <vt:i4>5</vt:i4>
      </vt:variant>
      <vt:variant>
        <vt:lpwstr/>
      </vt:variant>
      <vt:variant>
        <vt:lpwstr>_ENREF_31</vt:lpwstr>
      </vt:variant>
      <vt:variant>
        <vt:i4>4718603</vt:i4>
      </vt:variant>
      <vt:variant>
        <vt:i4>224</vt:i4>
      </vt:variant>
      <vt:variant>
        <vt:i4>0</vt:i4>
      </vt:variant>
      <vt:variant>
        <vt:i4>5</vt:i4>
      </vt:variant>
      <vt:variant>
        <vt:lpwstr/>
      </vt:variant>
      <vt:variant>
        <vt:lpwstr>_ENREF_9</vt:lpwstr>
      </vt:variant>
      <vt:variant>
        <vt:i4>4325434</vt:i4>
      </vt:variant>
      <vt:variant>
        <vt:i4>216</vt:i4>
      </vt:variant>
      <vt:variant>
        <vt:i4>0</vt:i4>
      </vt:variant>
      <vt:variant>
        <vt:i4>5</vt:i4>
      </vt:variant>
      <vt:variant>
        <vt:lpwstr/>
      </vt:variant>
      <vt:variant>
        <vt:lpwstr>_ENREF_31</vt:lpwstr>
      </vt:variant>
      <vt:variant>
        <vt:i4>4325435</vt:i4>
      </vt:variant>
      <vt:variant>
        <vt:i4>213</vt:i4>
      </vt:variant>
      <vt:variant>
        <vt:i4>0</vt:i4>
      </vt:variant>
      <vt:variant>
        <vt:i4>5</vt:i4>
      </vt:variant>
      <vt:variant>
        <vt:lpwstr/>
      </vt:variant>
      <vt:variant>
        <vt:lpwstr>_ENREF_30</vt:lpwstr>
      </vt:variant>
      <vt:variant>
        <vt:i4>4194315</vt:i4>
      </vt:variant>
      <vt:variant>
        <vt:i4>205</vt:i4>
      </vt:variant>
      <vt:variant>
        <vt:i4>0</vt:i4>
      </vt:variant>
      <vt:variant>
        <vt:i4>5</vt:i4>
      </vt:variant>
      <vt:variant>
        <vt:lpwstr/>
      </vt:variant>
      <vt:variant>
        <vt:lpwstr>_ENREF_1</vt:lpwstr>
      </vt:variant>
      <vt:variant>
        <vt:i4>4784139</vt:i4>
      </vt:variant>
      <vt:variant>
        <vt:i4>197</vt:i4>
      </vt:variant>
      <vt:variant>
        <vt:i4>0</vt:i4>
      </vt:variant>
      <vt:variant>
        <vt:i4>5</vt:i4>
      </vt:variant>
      <vt:variant>
        <vt:lpwstr/>
      </vt:variant>
      <vt:variant>
        <vt:lpwstr>_ENREF_8</vt:lpwstr>
      </vt:variant>
      <vt:variant>
        <vt:i4>4587531</vt:i4>
      </vt:variant>
      <vt:variant>
        <vt:i4>194</vt:i4>
      </vt:variant>
      <vt:variant>
        <vt:i4>0</vt:i4>
      </vt:variant>
      <vt:variant>
        <vt:i4>5</vt:i4>
      </vt:variant>
      <vt:variant>
        <vt:lpwstr/>
      </vt:variant>
      <vt:variant>
        <vt:lpwstr>_ENREF_7</vt:lpwstr>
      </vt:variant>
      <vt:variant>
        <vt:i4>4390962</vt:i4>
      </vt:variant>
      <vt:variant>
        <vt:i4>186</vt:i4>
      </vt:variant>
      <vt:variant>
        <vt:i4>0</vt:i4>
      </vt:variant>
      <vt:variant>
        <vt:i4>5</vt:i4>
      </vt:variant>
      <vt:variant>
        <vt:lpwstr/>
      </vt:variant>
      <vt:variant>
        <vt:lpwstr>_ENREF_29</vt:lpwstr>
      </vt:variant>
      <vt:variant>
        <vt:i4>4194365</vt:i4>
      </vt:variant>
      <vt:variant>
        <vt:i4>178</vt:i4>
      </vt:variant>
      <vt:variant>
        <vt:i4>0</vt:i4>
      </vt:variant>
      <vt:variant>
        <vt:i4>5</vt:i4>
      </vt:variant>
      <vt:variant>
        <vt:lpwstr/>
      </vt:variant>
      <vt:variant>
        <vt:lpwstr>_ENREF_16</vt:lpwstr>
      </vt:variant>
      <vt:variant>
        <vt:i4>4390963</vt:i4>
      </vt:variant>
      <vt:variant>
        <vt:i4>170</vt:i4>
      </vt:variant>
      <vt:variant>
        <vt:i4>0</vt:i4>
      </vt:variant>
      <vt:variant>
        <vt:i4>5</vt:i4>
      </vt:variant>
      <vt:variant>
        <vt:lpwstr/>
      </vt:variant>
      <vt:variant>
        <vt:lpwstr>_ENREF_28</vt:lpwstr>
      </vt:variant>
      <vt:variant>
        <vt:i4>4390972</vt:i4>
      </vt:variant>
      <vt:variant>
        <vt:i4>167</vt:i4>
      </vt:variant>
      <vt:variant>
        <vt:i4>0</vt:i4>
      </vt:variant>
      <vt:variant>
        <vt:i4>5</vt:i4>
      </vt:variant>
      <vt:variant>
        <vt:lpwstr/>
      </vt:variant>
      <vt:variant>
        <vt:lpwstr>_ENREF_27</vt:lpwstr>
      </vt:variant>
      <vt:variant>
        <vt:i4>4784139</vt:i4>
      </vt:variant>
      <vt:variant>
        <vt:i4>164</vt:i4>
      </vt:variant>
      <vt:variant>
        <vt:i4>0</vt:i4>
      </vt:variant>
      <vt:variant>
        <vt:i4>5</vt:i4>
      </vt:variant>
      <vt:variant>
        <vt:lpwstr/>
      </vt:variant>
      <vt:variant>
        <vt:lpwstr>_ENREF_8</vt:lpwstr>
      </vt:variant>
      <vt:variant>
        <vt:i4>4390974</vt:i4>
      </vt:variant>
      <vt:variant>
        <vt:i4>156</vt:i4>
      </vt:variant>
      <vt:variant>
        <vt:i4>0</vt:i4>
      </vt:variant>
      <vt:variant>
        <vt:i4>5</vt:i4>
      </vt:variant>
      <vt:variant>
        <vt:lpwstr/>
      </vt:variant>
      <vt:variant>
        <vt:lpwstr>_ENREF_25</vt:lpwstr>
      </vt:variant>
      <vt:variant>
        <vt:i4>4390974</vt:i4>
      </vt:variant>
      <vt:variant>
        <vt:i4>148</vt:i4>
      </vt:variant>
      <vt:variant>
        <vt:i4>0</vt:i4>
      </vt:variant>
      <vt:variant>
        <vt:i4>5</vt:i4>
      </vt:variant>
      <vt:variant>
        <vt:lpwstr/>
      </vt:variant>
      <vt:variant>
        <vt:lpwstr>_ENREF_25</vt:lpwstr>
      </vt:variant>
      <vt:variant>
        <vt:i4>4390975</vt:i4>
      </vt:variant>
      <vt:variant>
        <vt:i4>145</vt:i4>
      </vt:variant>
      <vt:variant>
        <vt:i4>0</vt:i4>
      </vt:variant>
      <vt:variant>
        <vt:i4>5</vt:i4>
      </vt:variant>
      <vt:variant>
        <vt:lpwstr/>
      </vt:variant>
      <vt:variant>
        <vt:lpwstr>_ENREF_24</vt:lpwstr>
      </vt:variant>
      <vt:variant>
        <vt:i4>4194354</vt:i4>
      </vt:variant>
      <vt:variant>
        <vt:i4>137</vt:i4>
      </vt:variant>
      <vt:variant>
        <vt:i4>0</vt:i4>
      </vt:variant>
      <vt:variant>
        <vt:i4>5</vt:i4>
      </vt:variant>
      <vt:variant>
        <vt:lpwstr/>
      </vt:variant>
      <vt:variant>
        <vt:lpwstr>_ENREF_19</vt:lpwstr>
      </vt:variant>
      <vt:variant>
        <vt:i4>4194354</vt:i4>
      </vt:variant>
      <vt:variant>
        <vt:i4>129</vt:i4>
      </vt:variant>
      <vt:variant>
        <vt:i4>0</vt:i4>
      </vt:variant>
      <vt:variant>
        <vt:i4>5</vt:i4>
      </vt:variant>
      <vt:variant>
        <vt:lpwstr/>
      </vt:variant>
      <vt:variant>
        <vt:lpwstr>_ENREF_19</vt:lpwstr>
      </vt:variant>
      <vt:variant>
        <vt:i4>4194355</vt:i4>
      </vt:variant>
      <vt:variant>
        <vt:i4>126</vt:i4>
      </vt:variant>
      <vt:variant>
        <vt:i4>0</vt:i4>
      </vt:variant>
      <vt:variant>
        <vt:i4>5</vt:i4>
      </vt:variant>
      <vt:variant>
        <vt:lpwstr/>
      </vt:variant>
      <vt:variant>
        <vt:lpwstr>_ENREF_18</vt:lpwstr>
      </vt:variant>
      <vt:variant>
        <vt:i4>4390968</vt:i4>
      </vt:variant>
      <vt:variant>
        <vt:i4>118</vt:i4>
      </vt:variant>
      <vt:variant>
        <vt:i4>0</vt:i4>
      </vt:variant>
      <vt:variant>
        <vt:i4>5</vt:i4>
      </vt:variant>
      <vt:variant>
        <vt:lpwstr/>
      </vt:variant>
      <vt:variant>
        <vt:lpwstr>_ENREF_23</vt:lpwstr>
      </vt:variant>
      <vt:variant>
        <vt:i4>4390969</vt:i4>
      </vt:variant>
      <vt:variant>
        <vt:i4>112</vt:i4>
      </vt:variant>
      <vt:variant>
        <vt:i4>0</vt:i4>
      </vt:variant>
      <vt:variant>
        <vt:i4>5</vt:i4>
      </vt:variant>
      <vt:variant>
        <vt:lpwstr/>
      </vt:variant>
      <vt:variant>
        <vt:lpwstr>_ENREF_22</vt:lpwstr>
      </vt:variant>
      <vt:variant>
        <vt:i4>4390970</vt:i4>
      </vt:variant>
      <vt:variant>
        <vt:i4>109</vt:i4>
      </vt:variant>
      <vt:variant>
        <vt:i4>0</vt:i4>
      </vt:variant>
      <vt:variant>
        <vt:i4>5</vt:i4>
      </vt:variant>
      <vt:variant>
        <vt:lpwstr/>
      </vt:variant>
      <vt:variant>
        <vt:lpwstr>_ENREF_21</vt:lpwstr>
      </vt:variant>
      <vt:variant>
        <vt:i4>4390971</vt:i4>
      </vt:variant>
      <vt:variant>
        <vt:i4>101</vt:i4>
      </vt:variant>
      <vt:variant>
        <vt:i4>0</vt:i4>
      </vt:variant>
      <vt:variant>
        <vt:i4>5</vt:i4>
      </vt:variant>
      <vt:variant>
        <vt:lpwstr/>
      </vt:variant>
      <vt:variant>
        <vt:lpwstr>_ENREF_20</vt:lpwstr>
      </vt:variant>
      <vt:variant>
        <vt:i4>4194361</vt:i4>
      </vt:variant>
      <vt:variant>
        <vt:i4>98</vt:i4>
      </vt:variant>
      <vt:variant>
        <vt:i4>0</vt:i4>
      </vt:variant>
      <vt:variant>
        <vt:i4>5</vt:i4>
      </vt:variant>
      <vt:variant>
        <vt:lpwstr/>
      </vt:variant>
      <vt:variant>
        <vt:lpwstr>_ENREF_12</vt:lpwstr>
      </vt:variant>
      <vt:variant>
        <vt:i4>4587531</vt:i4>
      </vt:variant>
      <vt:variant>
        <vt:i4>95</vt:i4>
      </vt:variant>
      <vt:variant>
        <vt:i4>0</vt:i4>
      </vt:variant>
      <vt:variant>
        <vt:i4>5</vt:i4>
      </vt:variant>
      <vt:variant>
        <vt:lpwstr/>
      </vt:variant>
      <vt:variant>
        <vt:lpwstr>_ENREF_7</vt:lpwstr>
      </vt:variant>
      <vt:variant>
        <vt:i4>4194354</vt:i4>
      </vt:variant>
      <vt:variant>
        <vt:i4>87</vt:i4>
      </vt:variant>
      <vt:variant>
        <vt:i4>0</vt:i4>
      </vt:variant>
      <vt:variant>
        <vt:i4>5</vt:i4>
      </vt:variant>
      <vt:variant>
        <vt:lpwstr/>
      </vt:variant>
      <vt:variant>
        <vt:lpwstr>_ENREF_19</vt:lpwstr>
      </vt:variant>
      <vt:variant>
        <vt:i4>4194355</vt:i4>
      </vt:variant>
      <vt:variant>
        <vt:i4>84</vt:i4>
      </vt:variant>
      <vt:variant>
        <vt:i4>0</vt:i4>
      </vt:variant>
      <vt:variant>
        <vt:i4>5</vt:i4>
      </vt:variant>
      <vt:variant>
        <vt:lpwstr/>
      </vt:variant>
      <vt:variant>
        <vt:lpwstr>_ENREF_18</vt:lpwstr>
      </vt:variant>
      <vt:variant>
        <vt:i4>4194364</vt:i4>
      </vt:variant>
      <vt:variant>
        <vt:i4>76</vt:i4>
      </vt:variant>
      <vt:variant>
        <vt:i4>0</vt:i4>
      </vt:variant>
      <vt:variant>
        <vt:i4>5</vt:i4>
      </vt:variant>
      <vt:variant>
        <vt:lpwstr/>
      </vt:variant>
      <vt:variant>
        <vt:lpwstr>_ENREF_17</vt:lpwstr>
      </vt:variant>
      <vt:variant>
        <vt:i4>4194365</vt:i4>
      </vt:variant>
      <vt:variant>
        <vt:i4>70</vt:i4>
      </vt:variant>
      <vt:variant>
        <vt:i4>0</vt:i4>
      </vt:variant>
      <vt:variant>
        <vt:i4>5</vt:i4>
      </vt:variant>
      <vt:variant>
        <vt:lpwstr/>
      </vt:variant>
      <vt:variant>
        <vt:lpwstr>_ENREF_16</vt:lpwstr>
      </vt:variant>
      <vt:variant>
        <vt:i4>4194366</vt:i4>
      </vt:variant>
      <vt:variant>
        <vt:i4>67</vt:i4>
      </vt:variant>
      <vt:variant>
        <vt:i4>0</vt:i4>
      </vt:variant>
      <vt:variant>
        <vt:i4>5</vt:i4>
      </vt:variant>
      <vt:variant>
        <vt:lpwstr/>
      </vt:variant>
      <vt:variant>
        <vt:lpwstr>_ENREF_15</vt:lpwstr>
      </vt:variant>
      <vt:variant>
        <vt:i4>4194361</vt:i4>
      </vt:variant>
      <vt:variant>
        <vt:i4>59</vt:i4>
      </vt:variant>
      <vt:variant>
        <vt:i4>0</vt:i4>
      </vt:variant>
      <vt:variant>
        <vt:i4>5</vt:i4>
      </vt:variant>
      <vt:variant>
        <vt:lpwstr/>
      </vt:variant>
      <vt:variant>
        <vt:lpwstr>_ENREF_12</vt:lpwstr>
      </vt:variant>
      <vt:variant>
        <vt:i4>4194362</vt:i4>
      </vt:variant>
      <vt:variant>
        <vt:i4>51</vt:i4>
      </vt:variant>
      <vt:variant>
        <vt:i4>0</vt:i4>
      </vt:variant>
      <vt:variant>
        <vt:i4>5</vt:i4>
      </vt:variant>
      <vt:variant>
        <vt:lpwstr/>
      </vt:variant>
      <vt:variant>
        <vt:lpwstr>_ENREF_11</vt:lpwstr>
      </vt:variant>
      <vt:variant>
        <vt:i4>4194363</vt:i4>
      </vt:variant>
      <vt:variant>
        <vt:i4>48</vt:i4>
      </vt:variant>
      <vt:variant>
        <vt:i4>0</vt:i4>
      </vt:variant>
      <vt:variant>
        <vt:i4>5</vt:i4>
      </vt:variant>
      <vt:variant>
        <vt:lpwstr/>
      </vt:variant>
      <vt:variant>
        <vt:lpwstr>_ENREF_10</vt:lpwstr>
      </vt:variant>
      <vt:variant>
        <vt:i4>4718603</vt:i4>
      </vt:variant>
      <vt:variant>
        <vt:i4>40</vt:i4>
      </vt:variant>
      <vt:variant>
        <vt:i4>0</vt:i4>
      </vt:variant>
      <vt:variant>
        <vt:i4>5</vt:i4>
      </vt:variant>
      <vt:variant>
        <vt:lpwstr/>
      </vt:variant>
      <vt:variant>
        <vt:lpwstr>_ENREF_9</vt:lpwstr>
      </vt:variant>
      <vt:variant>
        <vt:i4>4784139</vt:i4>
      </vt:variant>
      <vt:variant>
        <vt:i4>37</vt:i4>
      </vt:variant>
      <vt:variant>
        <vt:i4>0</vt:i4>
      </vt:variant>
      <vt:variant>
        <vt:i4>5</vt:i4>
      </vt:variant>
      <vt:variant>
        <vt:lpwstr/>
      </vt:variant>
      <vt:variant>
        <vt:lpwstr>_ENREF_8</vt:lpwstr>
      </vt:variant>
      <vt:variant>
        <vt:i4>4587531</vt:i4>
      </vt:variant>
      <vt:variant>
        <vt:i4>29</vt:i4>
      </vt:variant>
      <vt:variant>
        <vt:i4>0</vt:i4>
      </vt:variant>
      <vt:variant>
        <vt:i4>5</vt:i4>
      </vt:variant>
      <vt:variant>
        <vt:lpwstr/>
      </vt:variant>
      <vt:variant>
        <vt:lpwstr>_ENREF_7</vt:lpwstr>
      </vt:variant>
      <vt:variant>
        <vt:i4>4653067</vt:i4>
      </vt:variant>
      <vt:variant>
        <vt:i4>26</vt:i4>
      </vt:variant>
      <vt:variant>
        <vt:i4>0</vt:i4>
      </vt:variant>
      <vt:variant>
        <vt:i4>5</vt:i4>
      </vt:variant>
      <vt:variant>
        <vt:lpwstr/>
      </vt:variant>
      <vt:variant>
        <vt:lpwstr>_ENREF_6</vt:lpwstr>
      </vt:variant>
      <vt:variant>
        <vt:i4>4456459</vt:i4>
      </vt:variant>
      <vt:variant>
        <vt:i4>18</vt:i4>
      </vt:variant>
      <vt:variant>
        <vt:i4>0</vt:i4>
      </vt:variant>
      <vt:variant>
        <vt:i4>5</vt:i4>
      </vt:variant>
      <vt:variant>
        <vt:lpwstr/>
      </vt:variant>
      <vt:variant>
        <vt:lpwstr>_ENREF_5</vt:lpwstr>
      </vt:variant>
      <vt:variant>
        <vt:i4>4521995</vt:i4>
      </vt:variant>
      <vt:variant>
        <vt:i4>15</vt:i4>
      </vt:variant>
      <vt:variant>
        <vt:i4>0</vt:i4>
      </vt:variant>
      <vt:variant>
        <vt:i4>5</vt:i4>
      </vt:variant>
      <vt:variant>
        <vt:lpwstr/>
      </vt:variant>
      <vt:variant>
        <vt:lpwstr>_ENREF_4</vt:lpwstr>
      </vt:variant>
      <vt:variant>
        <vt:i4>4194315</vt:i4>
      </vt:variant>
      <vt:variant>
        <vt:i4>7</vt:i4>
      </vt:variant>
      <vt:variant>
        <vt:i4>0</vt:i4>
      </vt:variant>
      <vt:variant>
        <vt:i4>5</vt:i4>
      </vt:variant>
      <vt:variant>
        <vt:lpwstr/>
      </vt:variant>
      <vt:variant>
        <vt:lpwstr>_ENREF_1</vt:lpwstr>
      </vt:variant>
      <vt:variant>
        <vt:i4>131139</vt:i4>
      </vt:variant>
      <vt:variant>
        <vt:i4>0</vt:i4>
      </vt:variant>
      <vt:variant>
        <vt:i4>0</vt:i4>
      </vt:variant>
      <vt:variant>
        <vt:i4>5</vt:i4>
      </vt:variant>
      <vt:variant>
        <vt:lpwstr>mailto:zchenai@hku.hk</vt:lpwstr>
      </vt:variant>
      <vt:variant>
        <vt:lpwstr/>
      </vt:variant>
      <vt:variant>
        <vt:i4>5046371</vt:i4>
      </vt:variant>
      <vt:variant>
        <vt:i4>15691</vt:i4>
      </vt:variant>
      <vt:variant>
        <vt:i4>1025</vt:i4>
      </vt:variant>
      <vt:variant>
        <vt:i4>1</vt:i4>
      </vt:variant>
      <vt:variant>
        <vt:lpwstr>Guo et al-table-1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AIDS</dc:title>
  <dc:subject/>
  <dc:creator>amh</dc:creator>
  <cp:keywords/>
  <dc:description/>
  <cp:lastModifiedBy>Wu XL</cp:lastModifiedBy>
  <cp:revision>4</cp:revision>
  <cp:lastPrinted>2021-02-03T09:31:00Z</cp:lastPrinted>
  <dcterms:created xsi:type="dcterms:W3CDTF">2023-10-07T09:06:00Z</dcterms:created>
  <dcterms:modified xsi:type="dcterms:W3CDTF">2023-10-13T01:56:00Z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