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3297" w14:textId="77777777" w:rsidR="00C37C92" w:rsidRPr="00C37C92" w:rsidRDefault="00C37C92" w:rsidP="00C37C92">
      <w:pPr>
        <w:pStyle w:val="Heading1"/>
        <w:jc w:val="center"/>
        <w:rPr>
          <w:rFonts w:ascii="Times New Roman" w:hAnsi="Times New Roman" w:cs="Times New Roman"/>
          <w:b w:val="0"/>
          <w:bCs/>
          <w:color w:val="000000"/>
          <w:sz w:val="28"/>
          <w:szCs w:val="28"/>
        </w:rPr>
      </w:pPr>
      <w:r w:rsidRPr="00C37C92">
        <w:rPr>
          <w:rFonts w:ascii="Times New Roman" w:hAnsi="Times New Roman" w:cs="Times New Roman"/>
          <w:color w:val="000000"/>
          <w:sz w:val="28"/>
          <w:szCs w:val="28"/>
        </w:rPr>
        <w:t>Most monogenic disorders are caused by mutations altering protein folding free energy</w:t>
      </w:r>
    </w:p>
    <w:p w14:paraId="2FEB792A" w14:textId="77777777" w:rsidR="00C37C92" w:rsidRPr="00C37C92" w:rsidRDefault="00C37C92" w:rsidP="00C37C92">
      <w:pPr>
        <w:pStyle w:val="MDPI13authornames"/>
        <w:spacing w:line="240" w:lineRule="auto"/>
        <w:jc w:val="center"/>
        <w:rPr>
          <w:rFonts w:ascii="Times New Roman" w:hAnsi="Times New Roman"/>
        </w:rPr>
      </w:pPr>
      <w:r w:rsidRPr="00C37C92">
        <w:rPr>
          <w:rFonts w:ascii="Times New Roman" w:hAnsi="Times New Roman"/>
        </w:rPr>
        <w:t>Preeti Pandey</w:t>
      </w:r>
      <w:r w:rsidRPr="00C37C92">
        <w:rPr>
          <w:rFonts w:ascii="Times New Roman" w:hAnsi="Times New Roman"/>
          <w:vertAlign w:val="superscript"/>
        </w:rPr>
        <w:t>1</w:t>
      </w:r>
      <w:r w:rsidRPr="00C37C92">
        <w:rPr>
          <w:rFonts w:ascii="Times New Roman" w:hAnsi="Times New Roman"/>
        </w:rPr>
        <w:t xml:space="preserve"> and Emil Alexov</w:t>
      </w:r>
      <w:r w:rsidRPr="00C37C92">
        <w:rPr>
          <w:rFonts w:ascii="Times New Roman" w:hAnsi="Times New Roman"/>
          <w:vertAlign w:val="superscript"/>
        </w:rPr>
        <w:t>1,*</w:t>
      </w:r>
    </w:p>
    <w:p w14:paraId="7793FD79" w14:textId="77777777" w:rsidR="00C37C92" w:rsidRPr="00C37C92" w:rsidRDefault="00C37C92" w:rsidP="00C37C92">
      <w:pPr>
        <w:pStyle w:val="MDPI16affiliation"/>
        <w:spacing w:line="240" w:lineRule="auto"/>
        <w:ind w:left="0" w:firstLine="0"/>
        <w:rPr>
          <w:rFonts w:ascii="Times New Roman" w:hAnsi="Times New Roman"/>
        </w:rPr>
      </w:pPr>
      <w:r w:rsidRPr="00C37C92">
        <w:rPr>
          <w:rFonts w:ascii="Times New Roman" w:hAnsi="Times New Roman"/>
          <w:vertAlign w:val="superscript"/>
        </w:rPr>
        <w:t>1</w:t>
      </w:r>
      <w:r w:rsidRPr="00C37C92">
        <w:rPr>
          <w:rFonts w:ascii="Times New Roman" w:hAnsi="Times New Roman"/>
        </w:rPr>
        <w:t xml:space="preserve"> Department of Physics and Astronomy, Clemson University, Clemson, SC 29634</w:t>
      </w:r>
    </w:p>
    <w:p w14:paraId="036FF429" w14:textId="77777777" w:rsidR="00C37C92" w:rsidRPr="00C37C92" w:rsidRDefault="00C37C92" w:rsidP="00C37C92">
      <w:pPr>
        <w:pStyle w:val="MDPI16affiliation"/>
        <w:spacing w:line="240" w:lineRule="auto"/>
        <w:ind w:left="0" w:firstLine="0"/>
        <w:rPr>
          <w:rFonts w:ascii="Times New Roman" w:hAnsi="Times New Roman"/>
        </w:rPr>
      </w:pPr>
      <w:r w:rsidRPr="00C37C92">
        <w:rPr>
          <w:rFonts w:ascii="Times New Roman" w:hAnsi="Times New Roman"/>
          <w:b/>
        </w:rPr>
        <w:t>*</w:t>
      </w:r>
      <w:r w:rsidRPr="00C37C92">
        <w:rPr>
          <w:rFonts w:ascii="Times New Roman" w:hAnsi="Times New Roman"/>
        </w:rPr>
        <w:t xml:space="preserve"> Correspondence: Corresponding author email: </w:t>
      </w:r>
      <w:r w:rsidRPr="00C37C92">
        <w:rPr>
          <w:rFonts w:ascii="Times New Roman" w:hAnsi="Times New Roman"/>
          <w:color w:val="0563C1"/>
          <w:u w:val="single"/>
        </w:rPr>
        <w:t>ealexov@clemson.edu</w:t>
      </w:r>
    </w:p>
    <w:p w14:paraId="5AE88B51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2635767F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6C0FB855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21F78AF" w14:textId="77777777" w:rsidR="003F5D83" w:rsidRPr="00C37C92" w:rsidRDefault="00000000">
      <w:pPr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7C65A950" w14:textId="77777777" w:rsidR="003F5D83" w:rsidRPr="00C37C92" w:rsidRDefault="00000000">
      <w:pPr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58240" behindDoc="0" locked="0" layoutInCell="1" hidden="0" allowOverlap="1" wp14:anchorId="2C12108F" wp14:editId="4C1216BD">
            <wp:simplePos x="0" y="0"/>
            <wp:positionH relativeFrom="column">
              <wp:posOffset>225425</wp:posOffset>
            </wp:positionH>
            <wp:positionV relativeFrom="paragraph">
              <wp:posOffset>635</wp:posOffset>
            </wp:positionV>
            <wp:extent cx="5669280" cy="7132320"/>
            <wp:effectExtent l="0" t="0" r="0" b="0"/>
            <wp:wrapSquare wrapText="bothSides" distT="0" distB="0" distL="0" distR="0"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7132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1D56CD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7797D04F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S1a. Pie-chart summarising count of different amino acid mutations in the Monogenic Disorder Dataset 1 (no likely cases). In each subplot, the title shows the count of wild-type amino acids in the whole dataset, and the two-letter label of every pie-chart denotes the one-letter codes of the wild-type and mutant amino acid pair, respectively.</w:t>
      </w:r>
      <w:r w:rsidRPr="00C37C92">
        <w:rPr>
          <w:rFonts w:ascii="Times New Roman" w:hAnsi="Times New Roman" w:cs="Times New Roman"/>
        </w:rPr>
        <w:br w:type="page"/>
      </w:r>
    </w:p>
    <w:p w14:paraId="161F5EBD" w14:textId="77777777" w:rsidR="003F5D83" w:rsidRPr="00C37C92" w:rsidRDefault="00000000">
      <w:pPr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59264" behindDoc="0" locked="0" layoutInCell="1" hidden="0" allowOverlap="1" wp14:anchorId="6CFF33DD" wp14:editId="15759202">
            <wp:simplePos x="0" y="0"/>
            <wp:positionH relativeFrom="column">
              <wp:posOffset>202565</wp:posOffset>
            </wp:positionH>
            <wp:positionV relativeFrom="paragraph">
              <wp:posOffset>635</wp:posOffset>
            </wp:positionV>
            <wp:extent cx="5715000" cy="7315200"/>
            <wp:effectExtent l="0" t="0" r="0" b="0"/>
            <wp:wrapSquare wrapText="bothSides" distT="0" distB="0" distL="0" distR="0"/>
            <wp:docPr id="1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C822BD6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8D88CE8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S1b. Bar plots summarising count of benign and pathogenic mutations in the Monogenic Disorder Dataset 1 (no likely cases). The two-letter label of every bar denotes the one-letter codes of the wild-type and mutant amino acid pairs, respectively. B denotes benign and P denotes pathogenic mutations.</w:t>
      </w:r>
    </w:p>
    <w:p w14:paraId="66A263CA" w14:textId="77777777" w:rsidR="003F5D83" w:rsidRPr="00C37C92" w:rsidRDefault="00000000">
      <w:pPr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7EDB2F78" w14:textId="77777777" w:rsidR="003F5D83" w:rsidRPr="00C37C92" w:rsidRDefault="00000000">
      <w:pPr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60288" behindDoc="0" locked="0" layoutInCell="1" hidden="0" allowOverlap="1" wp14:anchorId="5A6F1FC8" wp14:editId="74231950">
            <wp:simplePos x="0" y="0"/>
            <wp:positionH relativeFrom="column">
              <wp:posOffset>1231265</wp:posOffset>
            </wp:positionH>
            <wp:positionV relativeFrom="paragraph">
              <wp:posOffset>635</wp:posOffset>
            </wp:positionV>
            <wp:extent cx="3657600" cy="4114800"/>
            <wp:effectExtent l="0" t="0" r="0" b="0"/>
            <wp:wrapSquare wrapText="bothSides" distT="0" distB="0" distL="0" distR="0"/>
            <wp:docPr id="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11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B90ECC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0B7979DC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4E44A6EA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AC44F7A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1829C773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15D54F3C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34D7D13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EC4184C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03E4DFA6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7E649414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7391CCFB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B71B3FE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1412E607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40F4A59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49A40DD3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5B33B28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7F14FC3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F8DCAB3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3DA60D38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2655EF2B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49C50595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2674117A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4DCF41D2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231D0097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2AAC5887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 xml:space="preserve">Figure S1c. Benign </w:t>
      </w:r>
      <w:r w:rsidRPr="00C37C92">
        <w:rPr>
          <w:rFonts w:ascii="Times New Roman" w:eastAsia="Times New Roman" w:hAnsi="Times New Roman" w:cs="Times New Roman"/>
          <w:i/>
        </w:rPr>
        <w:t>vs.</w:t>
      </w:r>
      <w:r w:rsidRPr="00C37C92">
        <w:rPr>
          <w:rFonts w:ascii="Times New Roman" w:eastAsia="Times New Roman" w:hAnsi="Times New Roman" w:cs="Times New Roman"/>
        </w:rPr>
        <w:t xml:space="preserve"> pathogenic mutations assigned according to the property of amino acid mutation in the Monogenic Disorder Dataset 1 (no likely cases). The two-word label in the bar plot represents the chemical nature of the wild-type and mutant residues pairs, respectively. The amino acids according to their chemical properties are categorised as follows: Ala, Cys, Gly, Ile, Leu, Met, Phe, Pro, Trp, and Val are categorised as hydrophobic. Asp, Glu, Lys, Arg, His,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Gln, Ser, Thr, and Tyr are categorised as polar. His, Phe, Trp, and Tyr as aromatic. Ala,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Lys, Leu, Met, Pro, and Val as aliphatic. His, Lys, Arg as positive. Asp, and Glu as negative. Ala, Cys, Gly, Ser,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Asp, Pro, Thr, and Val as small. And Arg, Gln, Glu, His,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>, Leu, Lys, Met, Phe, Trp, and Tyr as large amino acids.</w:t>
      </w:r>
    </w:p>
    <w:p w14:paraId="30CD0B4F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4537AE7D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042DD49F" w14:textId="77777777" w:rsidR="003F5D83" w:rsidRPr="00C37C92" w:rsidRDefault="003F5D83">
      <w:pPr>
        <w:rPr>
          <w:rFonts w:ascii="Times New Roman" w:eastAsia="Times New Roman" w:hAnsi="Times New Roman" w:cs="Times New Roman"/>
        </w:rPr>
      </w:pPr>
    </w:p>
    <w:p w14:paraId="6D4277C1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29F91675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61312" behindDoc="0" locked="0" layoutInCell="1" hidden="0" allowOverlap="1" wp14:anchorId="018F1438" wp14:editId="69074916">
            <wp:simplePos x="0" y="0"/>
            <wp:positionH relativeFrom="column">
              <wp:posOffset>225425</wp:posOffset>
            </wp:positionH>
            <wp:positionV relativeFrom="paragraph">
              <wp:posOffset>635</wp:posOffset>
            </wp:positionV>
            <wp:extent cx="5669280" cy="7132320"/>
            <wp:effectExtent l="0" t="0" r="0" b="0"/>
            <wp:wrapSquare wrapText="bothSides" distT="0" distB="0" distL="0" distR="0"/>
            <wp:docPr id="3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7132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3DF5D58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S1d. Pie-chart summarising count of different amino acid mutations in the Monogenic Disorder Dataset 2 (including likely cases). In each subplot, the title shows the count of wild-type amino acids in the whole dataset, and the two-letter label of every pie-chart denotes the one-letter codes of the wild-type and mutant amino acid pair, respectively.</w:t>
      </w:r>
      <w:r w:rsidRPr="00C37C92">
        <w:rPr>
          <w:rFonts w:ascii="Times New Roman" w:hAnsi="Times New Roman" w:cs="Times New Roman"/>
        </w:rPr>
        <w:br w:type="page"/>
      </w:r>
    </w:p>
    <w:p w14:paraId="3B0CE6D0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62336" behindDoc="0" locked="0" layoutInCell="1" hidden="0" allowOverlap="1" wp14:anchorId="578BB94B" wp14:editId="2650518F">
            <wp:simplePos x="0" y="0"/>
            <wp:positionH relativeFrom="column">
              <wp:posOffset>202565</wp:posOffset>
            </wp:positionH>
            <wp:positionV relativeFrom="paragraph">
              <wp:posOffset>635</wp:posOffset>
            </wp:positionV>
            <wp:extent cx="5715000" cy="7315200"/>
            <wp:effectExtent l="0" t="0" r="0" b="0"/>
            <wp:wrapSquare wrapText="bothSides" distT="0" distB="0" distL="0" distR="0"/>
            <wp:docPr id="1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8FF9E57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S2e. Bar plots summarising count of benign and pathogenic mutations in the Monogenic Disorder Dataset 2 (including likely cases). The two-letter label of every bar denotes the one-letter codes of the wild-type and mutant amino acid pairs, respectively. B denotes benign and P denotes pathogenic mutations.</w:t>
      </w:r>
      <w:r w:rsidRPr="00C37C92">
        <w:rPr>
          <w:rFonts w:ascii="Times New Roman" w:hAnsi="Times New Roman" w:cs="Times New Roman"/>
        </w:rPr>
        <w:br w:type="page"/>
      </w:r>
    </w:p>
    <w:p w14:paraId="016A5536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lastRenderedPageBreak/>
        <w:drawing>
          <wp:anchor distT="0" distB="0" distL="0" distR="0" simplePos="0" relativeHeight="251663360" behindDoc="0" locked="0" layoutInCell="1" hidden="0" allowOverlap="1" wp14:anchorId="72559038" wp14:editId="578ABA2A">
            <wp:simplePos x="0" y="0"/>
            <wp:positionH relativeFrom="column">
              <wp:posOffset>1231265</wp:posOffset>
            </wp:positionH>
            <wp:positionV relativeFrom="paragraph">
              <wp:posOffset>635</wp:posOffset>
            </wp:positionV>
            <wp:extent cx="3657600" cy="4114800"/>
            <wp:effectExtent l="0" t="0" r="0" b="0"/>
            <wp:wrapSquare wrapText="bothSides" distT="0" distB="0" distL="0" distR="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11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53B7C8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11BE5238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4D64F62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54303EA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6F9FD2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1F709BA7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E102624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0C941011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27391F9D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57E8FCB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735F3CB4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27A8BD0E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0F6978B6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C48A18D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96A8A58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74A2FEE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41D8EC2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CFA8563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1DC09CB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170A11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8DFC75D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BF031D8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78B51D5B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7342FDB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081CD1E2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 xml:space="preserve">Figure S2f. Benign </w:t>
      </w:r>
      <w:r w:rsidRPr="00C37C92">
        <w:rPr>
          <w:rFonts w:ascii="Times New Roman" w:eastAsia="Times New Roman" w:hAnsi="Times New Roman" w:cs="Times New Roman"/>
          <w:i/>
        </w:rPr>
        <w:t>vs.</w:t>
      </w:r>
      <w:r w:rsidRPr="00C37C92">
        <w:rPr>
          <w:rFonts w:ascii="Times New Roman" w:eastAsia="Times New Roman" w:hAnsi="Times New Roman" w:cs="Times New Roman"/>
        </w:rPr>
        <w:t xml:space="preserve"> pathogenic mutations assigned according to the property of amino acid mutation in the Monogenic Disorder Dataset 2 (including likely cases). The two-word label in the bar plot represents the chemical nature of the wild-type and mutant residues pairs, respectively. The amino acids according to their chemical properties are categorised as follows: Ala, Cys, Gly, Ile, Leu, Met, Phe, Pro, Trp, and Val are categorised as hydrophobic. Asp, Glu, Lys, Arg, His,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Gln, Ser, Thr, and Tyr are categorised as polar. His, Phe, Trp, and Tyr as aromatic. Ala,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Lys, Leu, Met, Pro, and Val as aliphatic. His, Lys, Arg as positive. Asp, and Glu as negative. Ala, Cys, Gly, Ser,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Asp, Pro, Thr, and Val as small. And Arg, Gln, Glu, His,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>, Leu, Lys, Met, Phe, Trp, and Tyr as large amino acids.</w:t>
      </w:r>
      <w:r w:rsidRPr="00C37C92">
        <w:rPr>
          <w:rFonts w:ascii="Times New Roman" w:hAnsi="Times New Roman" w:cs="Times New Roman"/>
        </w:rPr>
        <w:br w:type="page"/>
      </w:r>
    </w:p>
    <w:p w14:paraId="54AC7F1A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7894E487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014C6FC" wp14:editId="38227056">
            <wp:extent cx="6119820" cy="3162300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316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3101851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1B8185EA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S2. ROC curve for monogenic disorder dataset using absolute ΔΔ G values. (a) Monogenic Disorder Dataset 1 (no likely cases) (b) Monogenic Disorder Dataset 2 (including likely cases).</w:t>
      </w:r>
      <w:r w:rsidRPr="00C37C92">
        <w:rPr>
          <w:rFonts w:ascii="Times New Roman" w:hAnsi="Times New Roman" w:cs="Times New Roman"/>
        </w:rPr>
        <w:br w:type="page"/>
      </w:r>
    </w:p>
    <w:p w14:paraId="52FB151C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1C3C7554" wp14:editId="566DCFB6">
            <wp:extent cx="6119820" cy="7962900"/>
            <wp:effectExtent l="0" t="0" r="0" b="0"/>
            <wp:docPr id="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796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65BF5F" w14:textId="77777777" w:rsidR="003F5D83" w:rsidRPr="00C37C92" w:rsidRDefault="00000000">
      <w:pPr>
        <w:jc w:val="both"/>
        <w:rPr>
          <w:rFonts w:ascii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S3. Distribution of change in folding free energy using different predictors using Monogenic Disorder Dataset 2 (including likely cases).</w:t>
      </w:r>
    </w:p>
    <w:p w14:paraId="2B6B5E14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104F271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45D5B656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32C0E08D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4DC65BCC" wp14:editId="4DBC836A">
            <wp:extent cx="6119820" cy="8623300"/>
            <wp:effectExtent l="0" t="0" r="0" b="0"/>
            <wp:docPr id="8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862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735CDD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 xml:space="preserve">Figure S4a. </w:t>
      </w:r>
      <w:bookmarkStart w:id="0" w:name="gjdgxs" w:colFirst="0" w:colLast="0"/>
      <w:bookmarkEnd w:id="0"/>
      <w:r w:rsidRPr="00C37C92">
        <w:rPr>
          <w:rFonts w:ascii="Times New Roman" w:eastAsia="Times New Roman" w:hAnsi="Times New Roman" w:cs="Times New Roman"/>
        </w:rPr>
        <w:t xml:space="preserve">ROC curve for Monogenic Disorder Dataset 2 (including likely cases) for different categories of amino acid mutations. The amino acids according to their chemical properties are categorised as follows: Ala, Cys, Gly, Ile, Leu, Met, Phe, Pro, Trp, and Val are categorised as </w:t>
      </w:r>
      <w:r w:rsidRPr="00C37C92">
        <w:rPr>
          <w:rFonts w:ascii="Times New Roman" w:eastAsia="Times New Roman" w:hAnsi="Times New Roman" w:cs="Times New Roman"/>
        </w:rPr>
        <w:lastRenderedPageBreak/>
        <w:t xml:space="preserve">hydrophobic. Asp, Glu, Lys, Arg, His,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Gln, Ser, Thr, and Tyr are categorised as polar. His, Phe, Trp, and Tyr as aromatic. Ala,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Lys, Leu, Met, Pro, and Val as aliphatic. His, Lys, Arg as positive. Asp, and Glu as negative. Ala, Cys, Gly, Ser,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Asp, Pro, Thr, and Val as small. And Arg, Gln, Glu, His,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>, Leu, Lys, Met, Phe, Trp, and Tyr as large amino acids.</w:t>
      </w:r>
    </w:p>
    <w:p w14:paraId="60BE4361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7E2BC9CF" w14:textId="3D707778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70EA07C7" w14:textId="160BF007" w:rsidR="003F5D83" w:rsidRPr="00C37C92" w:rsidRDefault="00A83D3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303EF31" wp14:editId="3848D589">
            <wp:extent cx="6120130" cy="5939155"/>
            <wp:effectExtent l="0" t="0" r="1270" b="4445"/>
            <wp:docPr id="1329052921" name="Picture 1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052921" name="Picture 1" descr="A collage of graph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939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9479D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 xml:space="preserve">Figure S4b. ROC curve for Monogenic Disorder Dataset 2 (including likely cases) for different categories of amino acid mutations. The amino acids according to their chemical properties are categorized as follows: Ala, Cys, Gly, Ile, Leu, Met, Phe, Pro, Trp, and Val are categorised as hydrophobic. Asp, Glu, Lys, Arg, His,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Gln, Ser, Thr, and Tyr are categorised as polar. His, Phe, Trp, and Tyr as aromatic. Ala,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Lys, Leu, Met, Pro, and Val as aliphatic. His, Lys, Arg as positive. Asp, and Glu as negative. Ala, Cys, Gly, Ser, </w:t>
      </w:r>
      <w:proofErr w:type="spellStart"/>
      <w:r w:rsidRPr="00C37C92">
        <w:rPr>
          <w:rFonts w:ascii="Times New Roman" w:eastAsia="Times New Roman" w:hAnsi="Times New Roman" w:cs="Times New Roman"/>
        </w:rPr>
        <w:t>Asn</w:t>
      </w:r>
      <w:proofErr w:type="spellEnd"/>
      <w:r w:rsidRPr="00C37C92">
        <w:rPr>
          <w:rFonts w:ascii="Times New Roman" w:eastAsia="Times New Roman" w:hAnsi="Times New Roman" w:cs="Times New Roman"/>
        </w:rPr>
        <w:t xml:space="preserve">, Asp, Pro, Thr, and Val as small. And Arg, Gln, Glu, His, </w:t>
      </w:r>
      <w:proofErr w:type="spellStart"/>
      <w:r w:rsidRPr="00C37C92">
        <w:rPr>
          <w:rFonts w:ascii="Times New Roman" w:eastAsia="Times New Roman" w:hAnsi="Times New Roman" w:cs="Times New Roman"/>
        </w:rPr>
        <w:t>ILe</w:t>
      </w:r>
      <w:proofErr w:type="spellEnd"/>
      <w:r w:rsidRPr="00C37C92">
        <w:rPr>
          <w:rFonts w:ascii="Times New Roman" w:eastAsia="Times New Roman" w:hAnsi="Times New Roman" w:cs="Times New Roman"/>
        </w:rPr>
        <w:t>, Leu, Lys, Met, Phe, Trp, and Tyr as large amino acids.</w:t>
      </w:r>
    </w:p>
    <w:p w14:paraId="797D48A5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658D062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283F35EA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1C042495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5FC220C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14B30FDD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4743B2C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6A0ECF1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52A8EF9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CBBD174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2C5F37AB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49E1E142" wp14:editId="798B84C7">
            <wp:extent cx="6119820" cy="8712200"/>
            <wp:effectExtent l="0" t="0" r="0" b="0"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8712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E75D82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S5a. ROC curve for Monogenic Disorder Dataset 2 (including likely cases) for different functional categories.</w:t>
      </w:r>
    </w:p>
    <w:p w14:paraId="55FB1B84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7871C465" wp14:editId="3F884B81">
            <wp:extent cx="6119820" cy="5943600"/>
            <wp:effectExtent l="0" t="0" r="0" b="0"/>
            <wp:docPr id="9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9820" cy="594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5B883F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S5b. ROC curve for Monogenic Disorder Dataset 2 (including likely cases) for different functional categories.</w:t>
      </w:r>
      <w:r w:rsidRPr="00C37C92">
        <w:rPr>
          <w:rFonts w:ascii="Times New Roman" w:hAnsi="Times New Roman" w:cs="Times New Roman"/>
        </w:rPr>
        <w:br w:type="page"/>
      </w:r>
    </w:p>
    <w:p w14:paraId="5B86A4F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57727309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  <w:noProof/>
        </w:rPr>
        <w:drawing>
          <wp:anchor distT="0" distB="0" distL="0" distR="0" simplePos="0" relativeHeight="251664384" behindDoc="0" locked="0" layoutInCell="1" hidden="0" allowOverlap="1" wp14:anchorId="6AC57498" wp14:editId="3416D82A">
            <wp:simplePos x="0" y="0"/>
            <wp:positionH relativeFrom="column">
              <wp:posOffset>103504</wp:posOffset>
            </wp:positionH>
            <wp:positionV relativeFrom="paragraph">
              <wp:posOffset>635</wp:posOffset>
            </wp:positionV>
            <wp:extent cx="5913120" cy="2926080"/>
            <wp:effectExtent l="0" t="0" r="0" b="0"/>
            <wp:wrapSquare wrapText="bothSides" distT="0" distB="0" distL="0" distR="0"/>
            <wp:docPr id="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2926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CB41708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Figure S6. ROC curve for monogenic disorder dataset using Relative Surface Area (RSA) of amino acid. (a) Monogenic Disorder Dataset 1 (no likely cases) (b) Monogenic Disorder Dataset 2 (including likely cases).</w:t>
      </w:r>
    </w:p>
    <w:p w14:paraId="03E463EE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6BDA42A7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  <w:b/>
          <w:bCs/>
        </w:rPr>
      </w:pPr>
      <w:r w:rsidRPr="00C37C92">
        <w:rPr>
          <w:rFonts w:ascii="Times New Roman" w:eastAsia="Times New Roman" w:hAnsi="Times New Roman" w:cs="Times New Roman"/>
          <w:b/>
          <w:bCs/>
        </w:rPr>
        <w:lastRenderedPageBreak/>
        <w:t>Supplementary Tables</w:t>
      </w:r>
    </w:p>
    <w:p w14:paraId="2F3BEC6B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28E98024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t>Table S1. Total number of amino acid mutations based on chemical nature of amino acid mutations in monogenic disorder database.</w:t>
      </w:r>
    </w:p>
    <w:p w14:paraId="20E5B28E" w14:textId="77777777" w:rsidR="003F5D83" w:rsidRPr="00C37C92" w:rsidRDefault="003F5D83">
      <w:pPr>
        <w:rPr>
          <w:rFonts w:ascii="Times New Roman" w:hAnsi="Times New Roman" w:cs="Times New Roman"/>
        </w:rPr>
      </w:pPr>
    </w:p>
    <w:tbl>
      <w:tblPr>
        <w:tblStyle w:val="a"/>
        <w:tblW w:w="9972" w:type="dxa"/>
        <w:tblInd w:w="-2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2970"/>
        <w:gridCol w:w="1092"/>
        <w:gridCol w:w="1158"/>
        <w:gridCol w:w="1026"/>
        <w:gridCol w:w="1092"/>
        <w:gridCol w:w="1212"/>
        <w:gridCol w:w="972"/>
      </w:tblGrid>
      <w:tr w:rsidR="003F5D83" w:rsidRPr="00C37C92" w14:paraId="4F132900" w14:textId="77777777">
        <w:trPr>
          <w:trHeight w:val="360"/>
        </w:trPr>
        <w:tc>
          <w:tcPr>
            <w:tcW w:w="4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FFC46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Se. No.</w:t>
            </w:r>
          </w:p>
        </w:tc>
        <w:tc>
          <w:tcPr>
            <w:tcW w:w="2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DB26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Type of amino acid mutation</w:t>
            </w:r>
          </w:p>
        </w:tc>
        <w:tc>
          <w:tcPr>
            <w:tcW w:w="3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2DCB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Dataset 1</w:t>
            </w:r>
          </w:p>
        </w:tc>
        <w:tc>
          <w:tcPr>
            <w:tcW w:w="3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AE9A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Dataset 2</w:t>
            </w:r>
          </w:p>
        </w:tc>
      </w:tr>
      <w:tr w:rsidR="003F5D83" w:rsidRPr="00C37C92" w14:paraId="1956C39B" w14:textId="77777777">
        <w:tc>
          <w:tcPr>
            <w:tcW w:w="4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18C3B6" w14:textId="77777777" w:rsidR="003F5D83" w:rsidRPr="00C37C92" w:rsidRDefault="003F5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18F2D6" w14:textId="77777777" w:rsidR="003F5D83" w:rsidRPr="00C37C92" w:rsidRDefault="003F5D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8CDC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Benign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B944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Pathogenic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233B3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43A6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Benign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6221F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Pathogenic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BDEDC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</w:tr>
      <w:tr w:rsidR="003F5D83" w:rsidRPr="00C37C92" w14:paraId="21039F4C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9AD78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4AC45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Hydrophobic-Hydrophobic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5BDC5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424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16E3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460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8E280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884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A315B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528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84367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605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B37A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1133</w:t>
            </w:r>
          </w:p>
        </w:tc>
      </w:tr>
      <w:tr w:rsidR="003F5D83" w:rsidRPr="00C37C92" w14:paraId="036CC967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2E9F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D6B43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Hydrophobic-Polar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CDB6F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268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1190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529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98EE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797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CB6B8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333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E9552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685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40EE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1018</w:t>
            </w:r>
          </w:p>
        </w:tc>
      </w:tr>
      <w:tr w:rsidR="003F5D83" w:rsidRPr="00C37C92" w14:paraId="66F19742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77363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67552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Polar-Polar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AF1D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436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5DA1A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465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01D0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901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364B6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548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F8125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626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4CF4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1174</w:t>
            </w:r>
          </w:p>
        </w:tc>
      </w:tr>
      <w:tr w:rsidR="003F5D83" w:rsidRPr="00C37C92" w14:paraId="3A1428E4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44BA8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B4E16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Polar-Hydrophobic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37F8C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277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4F7AE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480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2BBC6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757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E6866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354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BE8A2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643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72CF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997</w:t>
            </w:r>
          </w:p>
        </w:tc>
      </w:tr>
      <w:tr w:rsidR="003F5D83" w:rsidRPr="00C37C92" w14:paraId="4F526C7B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7178B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31B03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Small-Small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41373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478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F03D0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463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612B4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941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C6FDF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609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08DFA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592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86F4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1201</w:t>
            </w:r>
          </w:p>
        </w:tc>
      </w:tr>
      <w:tr w:rsidR="003F5D83" w:rsidRPr="00C37C92" w14:paraId="5944C0A1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189B8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1352A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Small-Large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6848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307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26B07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494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4CB06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801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7495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384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6548C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658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A4C5C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1042</w:t>
            </w:r>
          </w:p>
        </w:tc>
      </w:tr>
      <w:tr w:rsidR="003F5D83" w:rsidRPr="00C37C92" w14:paraId="593EF038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9ED03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A6546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Large-Large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01A4E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370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1FFA7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514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D7E10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884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E0757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470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06A78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709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69FD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1179</w:t>
            </w:r>
          </w:p>
        </w:tc>
      </w:tr>
      <w:tr w:rsidR="003F5D83" w:rsidRPr="00C37C92" w14:paraId="51471C09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926A8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0CF91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Large-Small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BC7E2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3FC09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463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CBF2F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713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35AC4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1DF30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600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0072F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900</w:t>
            </w:r>
          </w:p>
        </w:tc>
      </w:tr>
      <w:tr w:rsidR="003F5D83" w:rsidRPr="00C37C92" w14:paraId="1E9B957E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0B68D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C2360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Aliphatic-Aliphatic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FABA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352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88B18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301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0E96A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653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B74B8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441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879D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382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C70F1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823</w:t>
            </w:r>
          </w:p>
        </w:tc>
      </w:tr>
      <w:tr w:rsidR="003F5D83" w:rsidRPr="00C37C92" w14:paraId="73C6A58F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C2C10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74744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Aliphatic-Aromatic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9E756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09E80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17FE1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7B50C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D6EAB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F8259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3F5D83" w:rsidRPr="00C37C92" w14:paraId="54D89731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A566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60DC1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Aromatic-Aromatic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E9680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48BB6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4AE0C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9DCAC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79B6C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67D0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</w:tr>
      <w:tr w:rsidR="003F5D83" w:rsidRPr="00C37C92" w14:paraId="3925870B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2D1EA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FCA23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Aromatic-Aliphatic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E7D36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A5CB7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7B852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AFD26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26A95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AF06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</w:tr>
      <w:tr w:rsidR="003F5D83" w:rsidRPr="00C37C92" w14:paraId="4C5C4550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BA92D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13.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A0979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Positive-Positive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E3CF4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93875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BC2FC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157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81EC5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539F3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0EE46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207</w:t>
            </w:r>
          </w:p>
        </w:tc>
      </w:tr>
      <w:tr w:rsidR="003F5D83" w:rsidRPr="00C37C92" w14:paraId="0E33C192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DBF37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14.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706A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Positive-Negative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67DF6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F27A5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4C221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C5897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36F59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8828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</w:tr>
      <w:tr w:rsidR="003F5D83" w:rsidRPr="00C37C92" w14:paraId="7B278D3F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95C52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A74A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Negative-Negative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AF5E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9604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CFAC8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1AB95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4539F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CC856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</w:tr>
      <w:tr w:rsidR="003F5D83" w:rsidRPr="00C37C92" w14:paraId="38739D9E" w14:textId="77777777">
        <w:tc>
          <w:tcPr>
            <w:tcW w:w="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62A43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16.</w:t>
            </w:r>
          </w:p>
        </w:tc>
        <w:tc>
          <w:tcPr>
            <w:tcW w:w="297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3E71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Negative-Positive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648C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1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212A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32FC0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10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FB13B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3185B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9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2A22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</w:tr>
    </w:tbl>
    <w:p w14:paraId="46727C02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10C28C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3A84274A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p w14:paraId="7AE41E0B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hAnsi="Times New Roman" w:cs="Times New Roman"/>
        </w:rPr>
        <w:br w:type="page"/>
      </w:r>
    </w:p>
    <w:p w14:paraId="1C6175DF" w14:textId="77777777" w:rsidR="003F5D83" w:rsidRPr="00C37C92" w:rsidRDefault="00000000">
      <w:pPr>
        <w:jc w:val="both"/>
        <w:rPr>
          <w:rFonts w:ascii="Times New Roman" w:eastAsia="Times New Roman" w:hAnsi="Times New Roman" w:cs="Times New Roman"/>
        </w:rPr>
      </w:pPr>
      <w:r w:rsidRPr="00C37C92">
        <w:rPr>
          <w:rFonts w:ascii="Times New Roman" w:eastAsia="Times New Roman" w:hAnsi="Times New Roman" w:cs="Times New Roman"/>
        </w:rPr>
        <w:lastRenderedPageBreak/>
        <w:t>Table S2. Total number of amino acid mutations based on functional annotation of proteins in monogenic disorder database.</w:t>
      </w:r>
    </w:p>
    <w:p w14:paraId="61F3B8D0" w14:textId="77777777" w:rsidR="003F5D83" w:rsidRPr="00C37C92" w:rsidRDefault="003F5D83">
      <w:pPr>
        <w:jc w:val="both"/>
        <w:rPr>
          <w:rFonts w:ascii="Times New Roman" w:eastAsia="Times New Roman" w:hAnsi="Times New Roman" w:cs="Times New Roman"/>
        </w:rPr>
      </w:pPr>
    </w:p>
    <w:tbl>
      <w:tblPr>
        <w:tblStyle w:val="a0"/>
        <w:tblW w:w="9972" w:type="dxa"/>
        <w:tblInd w:w="-2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3690"/>
        <w:gridCol w:w="2601"/>
        <w:gridCol w:w="2601"/>
      </w:tblGrid>
      <w:tr w:rsidR="003F5D83" w:rsidRPr="00C37C92" w14:paraId="3000BE1B" w14:textId="77777777">
        <w:trPr>
          <w:trHeight w:val="3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05E45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Se. No.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16DE1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Functional Class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51E59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No. of entries in Dataset 1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1297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No. of entries in Dataset 2</w:t>
            </w:r>
          </w:p>
        </w:tc>
      </w:tr>
      <w:tr w:rsidR="003F5D83" w:rsidRPr="00C37C92" w14:paraId="18F9C00E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9DFA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5625A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Enzyme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EFF1B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1295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18657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1646</w:t>
            </w:r>
          </w:p>
        </w:tc>
      </w:tr>
      <w:tr w:rsidR="003F5D83" w:rsidRPr="00C37C92" w14:paraId="44B7E8D2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499E8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5422F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Transport/translocation/cargo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CD7FB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445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A8AB1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570</w:t>
            </w:r>
          </w:p>
        </w:tc>
      </w:tr>
      <w:tr w:rsidR="003F5D83" w:rsidRPr="00C37C92" w14:paraId="61BD2916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6B8FDD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AE76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Transcription Regulation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0B42C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343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D1A7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420</w:t>
            </w:r>
          </w:p>
        </w:tc>
      </w:tr>
      <w:tr w:rsidR="003F5D83" w:rsidRPr="00C37C92" w14:paraId="0CB6C1D0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E1360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9A104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Structural Support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7076A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224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490E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275</w:t>
            </w:r>
          </w:p>
        </w:tc>
      </w:tr>
      <w:tr w:rsidR="003F5D83" w:rsidRPr="00C37C92" w14:paraId="6D8CAAB0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35F34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28C6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Scaffold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926D8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805012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205</w:t>
            </w:r>
          </w:p>
        </w:tc>
      </w:tr>
      <w:tr w:rsidR="003F5D83" w:rsidRPr="00C37C92" w14:paraId="0B27EC62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7D0E5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9CB2F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Receptor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8A9BE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141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8ABAA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</w:tr>
      <w:tr w:rsidR="003F5D83" w:rsidRPr="00C37C92" w14:paraId="79BC1AFF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A4148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B3C62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</w:rPr>
              <w:t>Signalling</w:t>
            </w:r>
            <w:r w:rsidRPr="00C37C92">
              <w:rPr>
                <w:rFonts w:ascii="Times New Roman" w:eastAsia="Times New Roman" w:hAnsi="Times New Roman" w:cs="Times New Roman"/>
                <w:color w:val="000000"/>
              </w:rPr>
              <w:t xml:space="preserve">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C664F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1D4A6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144</w:t>
            </w:r>
          </w:p>
        </w:tc>
      </w:tr>
      <w:tr w:rsidR="003F5D83" w:rsidRPr="00C37C92" w14:paraId="0DCE129D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6490B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107B7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Regulatory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5E87C3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112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B086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</w:tr>
      <w:tr w:rsidR="003F5D83" w:rsidRPr="00C37C92" w14:paraId="22E72260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ACD78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D5C66A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DNA Binding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299EF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3FDA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151</w:t>
            </w:r>
          </w:p>
        </w:tc>
      </w:tr>
      <w:tr w:rsidR="003F5D83" w:rsidRPr="00C37C92" w14:paraId="0B1DF166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1E788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10.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02504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Motor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E4B9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37E37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152</w:t>
            </w:r>
          </w:p>
        </w:tc>
      </w:tr>
      <w:tr w:rsidR="003F5D83" w:rsidRPr="00C37C92" w14:paraId="6DA4B070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C28D2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11.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CF1D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Secretory Proteins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C7CB6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334F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3F5D83" w:rsidRPr="00C37C92" w14:paraId="636B334E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11B36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12.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1CFE1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Adhesion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4C999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DED0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</w:tr>
      <w:tr w:rsidR="003F5D83" w:rsidRPr="00C37C92" w14:paraId="6E6578E4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9C2AA7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13.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1D110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Chaperons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23E508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63E6C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</w:tr>
      <w:tr w:rsidR="003F5D83" w:rsidRPr="00C37C92" w14:paraId="08B8A1B2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DBC3D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14.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F57A4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Membrane Protein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61E2B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4290C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3F5D83" w:rsidRPr="00C37C92" w14:paraId="70BCE468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1FF21F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15.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85B8B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RNA Binding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FC9386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4661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3F5D83" w:rsidRPr="00C37C92" w14:paraId="3D86F4C6" w14:textId="77777777"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34D2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16.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030C29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Antigen-Antibody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F64F91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7633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3F5D83" w:rsidRPr="00C37C92" w14:paraId="7892D110" w14:textId="77777777">
        <w:trPr>
          <w:trHeight w:val="360"/>
        </w:trPr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9330E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17.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D8AC3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Miscellaneous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531424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26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88D55" w14:textId="77777777" w:rsidR="003F5D83" w:rsidRPr="00C37C9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37C92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</w:tr>
    </w:tbl>
    <w:p w14:paraId="336B5530" w14:textId="77777777" w:rsidR="003F5D83" w:rsidRPr="00C37C92" w:rsidRDefault="003F5D83">
      <w:pPr>
        <w:rPr>
          <w:rFonts w:ascii="Times New Roman" w:hAnsi="Times New Roman" w:cs="Times New Roman"/>
        </w:rPr>
      </w:pPr>
    </w:p>
    <w:p w14:paraId="37AFEE60" w14:textId="77777777" w:rsidR="003F5D83" w:rsidRPr="00C37C92" w:rsidRDefault="003F5D83">
      <w:pPr>
        <w:rPr>
          <w:rFonts w:ascii="Times New Roman" w:hAnsi="Times New Roman" w:cs="Times New Roman"/>
        </w:rPr>
      </w:pPr>
    </w:p>
    <w:p w14:paraId="7358ADD7" w14:textId="77777777" w:rsidR="003F5D83" w:rsidRPr="00C37C92" w:rsidRDefault="003F5D83">
      <w:pPr>
        <w:rPr>
          <w:rFonts w:ascii="Times New Roman" w:hAnsi="Times New Roman" w:cs="Times New Roman"/>
        </w:rPr>
      </w:pPr>
    </w:p>
    <w:sectPr w:rsidR="003F5D83" w:rsidRPr="00C37C92"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D83"/>
    <w:rsid w:val="003F5D83"/>
    <w:rsid w:val="00A83D35"/>
    <w:rsid w:val="00C3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8B9283"/>
  <w15:docId w15:val="{F41B4CB2-B72F-B843-9C59-89AC5F47E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120"/>
      <w:outlineLvl w:val="0"/>
    </w:pPr>
    <w:rPr>
      <w:rFonts w:ascii="Liberation Serif" w:eastAsia="Liberation Serif" w:hAnsi="Liberation Serif" w:cs="Liberation Serif"/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29" w:type="dxa"/>
        <w:left w:w="28" w:type="dxa"/>
        <w:bottom w:w="29" w:type="dxa"/>
        <w:right w:w="29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29" w:type="dxa"/>
        <w:left w:w="28" w:type="dxa"/>
        <w:bottom w:w="29" w:type="dxa"/>
        <w:right w:w="29" w:type="dxa"/>
      </w:tblCellMar>
    </w:tblPr>
  </w:style>
  <w:style w:type="paragraph" w:customStyle="1" w:styleId="MDPI13authornames">
    <w:name w:val="MDPI_1.3_authornames"/>
    <w:next w:val="Normal"/>
    <w:qFormat/>
    <w:rsid w:val="00C37C92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6affiliation">
    <w:name w:val="MDPI_1.6_affiliation"/>
    <w:qFormat/>
    <w:rsid w:val="00C37C92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1058</Words>
  <Characters>6033</Characters>
  <Application>Microsoft Office Word</Application>
  <DocSecurity>0</DocSecurity>
  <Lines>50</Lines>
  <Paragraphs>14</Paragraphs>
  <ScaleCrop>false</ScaleCrop>
  <Company/>
  <LinksUpToDate>false</LinksUpToDate>
  <CharactersWithSpaces>7077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Preeti Pandey</cp:lastModifiedBy>
  <cp:revision>3</cp:revision>
  <dcterms:created xsi:type="dcterms:W3CDTF">2023-10-09T13:15:00Z</dcterms:created>
  <dcterms:modified xsi:type="dcterms:W3CDTF">2023-10-09T13:35:00Z</dcterms:modified>
</cp:coreProperties>
</file>