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DC0123" w14:textId="77777777" w:rsidR="00900824" w:rsidRDefault="00900824" w:rsidP="00900824">
      <w:pPr>
        <w:spacing w:line="360" w:lineRule="auto"/>
        <w:rPr>
          <w:rFonts w:ascii="Times New Roman" w:eastAsia="楷体" w:hAnsi="Times New Roman"/>
          <w:b/>
          <w:bCs/>
          <w:sz w:val="24"/>
          <w:szCs w:val="24"/>
        </w:rPr>
      </w:pPr>
      <w:r>
        <w:rPr>
          <w:rFonts w:ascii="Times New Roman" w:eastAsia="SimSun" w:hAnsi="Times New Roman" w:cs="Times New Roman"/>
          <w:b/>
          <w:bCs/>
          <w:sz w:val="24"/>
          <w:szCs w:val="24"/>
          <w:lang w:val="en-US"/>
        </w:rPr>
        <w:t>Supplementary Information</w:t>
      </w:r>
    </w:p>
    <w:p w14:paraId="632442E7" w14:textId="77777777" w:rsidR="00900824" w:rsidRDefault="00900824" w:rsidP="00900824">
      <w:pPr>
        <w:autoSpaceDE w:val="0"/>
        <w:spacing w:line="360" w:lineRule="auto"/>
        <w:rPr>
          <w:rFonts w:ascii="Times New Roman" w:eastAsia="楷体" w:hAnsi="Times New Roman"/>
          <w:sz w:val="24"/>
          <w:szCs w:val="24"/>
        </w:rPr>
      </w:pPr>
      <w:r>
        <w:rPr>
          <w:rFonts w:ascii="Times New Roman" w:eastAsia="楷体" w:hAnsi="Times New Roman"/>
          <w:b/>
          <w:bCs/>
          <w:sz w:val="24"/>
          <w:szCs w:val="24"/>
        </w:rPr>
        <w:t xml:space="preserve">Table S1: </w:t>
      </w:r>
      <w:r>
        <w:rPr>
          <w:rFonts w:ascii="Times New Roman" w:eastAsia="楷体" w:hAnsi="Times New Roman"/>
          <w:sz w:val="24"/>
          <w:szCs w:val="24"/>
        </w:rPr>
        <w:t>Raw matrix data after removing batch effects, 12,799 total genes.</w:t>
      </w:r>
    </w:p>
    <w:p w14:paraId="012771B0" w14:textId="77777777" w:rsidR="00900824" w:rsidRDefault="00900824" w:rsidP="00900824">
      <w:pPr>
        <w:autoSpaceDE w:val="0"/>
        <w:spacing w:line="360" w:lineRule="auto"/>
        <w:rPr>
          <w:rFonts w:ascii="Times New Roman" w:eastAsia="楷体" w:hAnsi="Times New Roman"/>
          <w:sz w:val="24"/>
          <w:szCs w:val="24"/>
        </w:rPr>
      </w:pPr>
    </w:p>
    <w:p w14:paraId="61411147" w14:textId="77777777" w:rsidR="00900824" w:rsidRDefault="00900824" w:rsidP="00900824">
      <w:pPr>
        <w:autoSpaceDE w:val="0"/>
        <w:spacing w:line="360" w:lineRule="auto"/>
        <w:rPr>
          <w:rFonts w:ascii="Times New Roman" w:eastAsia="楷体" w:hAnsi="Times New Roman"/>
          <w:sz w:val="24"/>
          <w:szCs w:val="24"/>
        </w:rPr>
      </w:pPr>
      <w:r>
        <w:rPr>
          <w:rFonts w:ascii="Times New Roman" w:eastAsia="楷体" w:hAnsi="Times New Roman"/>
          <w:b/>
          <w:bCs/>
          <w:sz w:val="24"/>
          <w:szCs w:val="24"/>
        </w:rPr>
        <w:t>Table S2:</w:t>
      </w:r>
      <w:r>
        <w:rPr>
          <w:rFonts w:ascii="Times New Roman" w:eastAsia="楷体" w:hAnsi="Times New Roman"/>
          <w:sz w:val="24"/>
          <w:szCs w:val="24"/>
        </w:rPr>
        <w:t xml:space="preserve"> Differential gene data, 1558 significant differential genes (DEGs), including 878 up-regulated genes and 680 down-regulated genes.</w:t>
      </w:r>
    </w:p>
    <w:p w14:paraId="1840AE4F" w14:textId="77777777" w:rsidR="00900824" w:rsidRDefault="00900824" w:rsidP="00900824">
      <w:pPr>
        <w:autoSpaceDE w:val="0"/>
        <w:spacing w:line="360" w:lineRule="auto"/>
        <w:rPr>
          <w:rFonts w:ascii="Times New Roman" w:eastAsia="楷体" w:hAnsi="Times New Roman"/>
          <w:b/>
          <w:bCs/>
          <w:sz w:val="24"/>
          <w:szCs w:val="24"/>
        </w:rPr>
      </w:pPr>
    </w:p>
    <w:p w14:paraId="046BBFA8" w14:textId="77777777" w:rsidR="00900824" w:rsidRDefault="00900824" w:rsidP="00900824">
      <w:pPr>
        <w:autoSpaceDE w:val="0"/>
        <w:spacing w:line="360" w:lineRule="auto"/>
        <w:rPr>
          <w:rFonts w:ascii="Times New Roman" w:eastAsia="楷体" w:hAnsi="Times New Roman"/>
          <w:sz w:val="24"/>
          <w:szCs w:val="24"/>
        </w:rPr>
      </w:pPr>
      <w:r>
        <w:rPr>
          <w:rFonts w:ascii="Times New Roman" w:eastAsia="楷体" w:hAnsi="Times New Roman"/>
          <w:b/>
          <w:bCs/>
          <w:sz w:val="24"/>
          <w:szCs w:val="24"/>
        </w:rPr>
        <w:t>Table S3:</w:t>
      </w:r>
      <w:r>
        <w:rPr>
          <w:rFonts w:ascii="Times New Roman" w:eastAsia="楷体" w:hAnsi="Times New Roman"/>
          <w:sz w:val="24"/>
          <w:szCs w:val="24"/>
        </w:rPr>
        <w:t xml:space="preserve"> Target datasets from different databases: GeneCard database contains 2210 disease targets, CTD database contains 13156 disease targets, and DisGenet database contains 667 disease targets.</w:t>
      </w:r>
    </w:p>
    <w:p w14:paraId="34A430ED" w14:textId="77777777" w:rsidR="00900824" w:rsidRDefault="00900824" w:rsidP="00900824">
      <w:pPr>
        <w:autoSpaceDE w:val="0"/>
        <w:spacing w:line="360" w:lineRule="auto"/>
        <w:rPr>
          <w:rFonts w:ascii="Times New Roman" w:eastAsia="楷体" w:hAnsi="Times New Roman"/>
          <w:sz w:val="24"/>
          <w:szCs w:val="24"/>
        </w:rPr>
      </w:pPr>
    </w:p>
    <w:p w14:paraId="19F5C3F9" w14:textId="77777777" w:rsidR="00900824" w:rsidRDefault="00900824" w:rsidP="00900824">
      <w:pPr>
        <w:autoSpaceDE w:val="0"/>
        <w:spacing w:line="360" w:lineRule="auto"/>
        <w:rPr>
          <w:rFonts w:ascii="Times New Roman" w:eastAsia="楷体" w:hAnsi="Times New Roman"/>
          <w:sz w:val="24"/>
          <w:szCs w:val="24"/>
        </w:rPr>
      </w:pPr>
      <w:r>
        <w:rPr>
          <w:rFonts w:ascii="Times New Roman" w:eastAsia="楷体" w:hAnsi="Times New Roman"/>
          <w:b/>
          <w:bCs/>
          <w:sz w:val="24"/>
          <w:szCs w:val="24"/>
        </w:rPr>
        <w:t xml:space="preserve">Table S4: </w:t>
      </w:r>
      <w:r>
        <w:rPr>
          <w:rFonts w:ascii="Times New Roman" w:eastAsia="楷体" w:hAnsi="Times New Roman"/>
          <w:sz w:val="24"/>
          <w:szCs w:val="24"/>
        </w:rPr>
        <w:t>Module hub genes obtained from WGCN analysis, a total of 1540 module genes were extracted.</w:t>
      </w:r>
    </w:p>
    <w:p w14:paraId="046BF310" w14:textId="77777777" w:rsidR="00900824" w:rsidRDefault="00900824" w:rsidP="00900824">
      <w:pPr>
        <w:autoSpaceDE w:val="0"/>
        <w:spacing w:line="360" w:lineRule="auto"/>
        <w:rPr>
          <w:rFonts w:ascii="Times New Roman" w:eastAsia="楷体" w:hAnsi="Times New Roman"/>
          <w:sz w:val="24"/>
          <w:szCs w:val="24"/>
        </w:rPr>
      </w:pPr>
    </w:p>
    <w:p w14:paraId="3C586ADB" w14:textId="77777777" w:rsidR="00900824" w:rsidRDefault="00900824" w:rsidP="00900824">
      <w:pPr>
        <w:autoSpaceDE w:val="0"/>
        <w:spacing w:line="360" w:lineRule="auto"/>
        <w:rPr>
          <w:rFonts w:ascii="Times New Roman" w:eastAsia="楷体" w:hAnsi="Times New Roman"/>
          <w:sz w:val="24"/>
          <w:szCs w:val="24"/>
          <w:lang w:val="en-US"/>
        </w:rPr>
      </w:pPr>
      <w:r>
        <w:rPr>
          <w:rFonts w:ascii="Times New Roman" w:eastAsia="楷体" w:hAnsi="Times New Roman"/>
          <w:b/>
          <w:bCs/>
          <w:sz w:val="24"/>
          <w:szCs w:val="24"/>
        </w:rPr>
        <w:t xml:space="preserve">Table S5: </w:t>
      </w:r>
      <w:r>
        <w:rPr>
          <w:rFonts w:ascii="Times New Roman" w:eastAsia="楷体" w:hAnsi="Times New Roman"/>
          <w:sz w:val="24"/>
          <w:szCs w:val="24"/>
        </w:rPr>
        <w:t>Key gene screening: 30 gene sets were obtained after the intersection of disease genes and differential genes, named A. 13 gene sets were obtained after the intersection of disease genes and modular genes were taken, named B. 39 key-acting genes were obtained after the merging of A and B gene sets, named C</w:t>
      </w:r>
      <w:r>
        <w:rPr>
          <w:rFonts w:ascii="Times New Roman" w:eastAsia="楷体" w:hAnsi="Times New Roman" w:hint="eastAsia"/>
          <w:sz w:val="24"/>
          <w:szCs w:val="24"/>
          <w:lang w:val="en-US"/>
        </w:rPr>
        <w:t>.</w:t>
      </w:r>
    </w:p>
    <w:p w14:paraId="27081652" w14:textId="77777777" w:rsidR="00900824" w:rsidRDefault="00900824" w:rsidP="00900824">
      <w:pPr>
        <w:autoSpaceDE w:val="0"/>
        <w:spacing w:line="360" w:lineRule="auto"/>
        <w:rPr>
          <w:rFonts w:ascii="Times New Roman" w:eastAsia="楷体" w:hAnsi="Times New Roman"/>
          <w:sz w:val="24"/>
          <w:szCs w:val="24"/>
          <w:lang w:val="en-US"/>
        </w:rPr>
      </w:pPr>
    </w:p>
    <w:p w14:paraId="7C4D1B8E" w14:textId="77777777" w:rsidR="00900824" w:rsidRDefault="00900824" w:rsidP="00900824">
      <w:pPr>
        <w:autoSpaceDE w:val="0"/>
        <w:spacing w:line="360" w:lineRule="auto"/>
        <w:rPr>
          <w:rFonts w:ascii="Times New Roman" w:eastAsia="楷体" w:hAnsi="Times New Roman"/>
          <w:sz w:val="24"/>
          <w:szCs w:val="24"/>
        </w:rPr>
      </w:pPr>
      <w:r>
        <w:rPr>
          <w:rFonts w:ascii="Times New Roman" w:eastAsia="楷体" w:hAnsi="Times New Roman"/>
          <w:b/>
          <w:bCs/>
          <w:sz w:val="24"/>
          <w:szCs w:val="24"/>
        </w:rPr>
        <w:t>Table S6:</w:t>
      </w:r>
      <w:r>
        <w:rPr>
          <w:rFonts w:ascii="Times New Roman" w:eastAsia="楷体" w:hAnsi="Times New Roman"/>
          <w:sz w:val="24"/>
          <w:szCs w:val="24"/>
        </w:rPr>
        <w:t xml:space="preserve"> Differential analysis raw data of 10 important key pivotal genes.</w:t>
      </w:r>
    </w:p>
    <w:p w14:paraId="352719A3" w14:textId="77777777" w:rsidR="00900824" w:rsidRDefault="00900824" w:rsidP="00900824">
      <w:pPr>
        <w:autoSpaceDE w:val="0"/>
        <w:spacing w:line="360" w:lineRule="auto"/>
        <w:rPr>
          <w:rFonts w:ascii="Times New Roman" w:eastAsia="楷体" w:hAnsi="Times New Roman"/>
          <w:sz w:val="24"/>
          <w:szCs w:val="24"/>
        </w:rPr>
      </w:pPr>
    </w:p>
    <w:p w14:paraId="380F5037" w14:textId="77777777" w:rsidR="00900824" w:rsidRDefault="00900824" w:rsidP="00900824">
      <w:pPr>
        <w:autoSpaceDE w:val="0"/>
        <w:spacing w:line="360" w:lineRule="auto"/>
        <w:rPr>
          <w:rFonts w:ascii="Times New Roman" w:eastAsia="楷体" w:hAnsi="Times New Roman"/>
          <w:sz w:val="24"/>
          <w:szCs w:val="24"/>
        </w:rPr>
      </w:pPr>
      <w:r>
        <w:rPr>
          <w:rFonts w:ascii="Times New Roman" w:eastAsia="楷体" w:hAnsi="Times New Roman"/>
          <w:b/>
          <w:bCs/>
          <w:sz w:val="24"/>
          <w:szCs w:val="24"/>
        </w:rPr>
        <w:t xml:space="preserve">Table S7: </w:t>
      </w:r>
      <w:r>
        <w:rPr>
          <w:rFonts w:ascii="Times New Roman" w:eastAsia="楷体" w:hAnsi="Times New Roman"/>
          <w:sz w:val="24"/>
          <w:szCs w:val="24"/>
        </w:rPr>
        <w:t>KEGG signaling pathway analysis based on 13 hub genes.</w:t>
      </w:r>
    </w:p>
    <w:p w14:paraId="3E852B31" w14:textId="77777777" w:rsidR="00900824" w:rsidRDefault="00900824" w:rsidP="00900824">
      <w:pPr>
        <w:autoSpaceDE w:val="0"/>
        <w:spacing w:line="360" w:lineRule="auto"/>
        <w:rPr>
          <w:rFonts w:ascii="Times New Roman" w:eastAsia="楷体" w:hAnsi="Times New Roman"/>
          <w:sz w:val="24"/>
          <w:szCs w:val="24"/>
        </w:rPr>
      </w:pPr>
    </w:p>
    <w:p w14:paraId="15D6CF25" w14:textId="77777777" w:rsidR="00900824" w:rsidRDefault="00900824" w:rsidP="00900824">
      <w:pPr>
        <w:autoSpaceDE w:val="0"/>
        <w:spacing w:line="360" w:lineRule="auto"/>
        <w:rPr>
          <w:rFonts w:ascii="Times New Roman" w:eastAsia="楷体" w:hAnsi="Times New Roman"/>
          <w:sz w:val="24"/>
          <w:szCs w:val="24"/>
        </w:rPr>
      </w:pPr>
      <w:r>
        <w:rPr>
          <w:rFonts w:ascii="Times New Roman" w:eastAsia="楷体" w:hAnsi="Times New Roman"/>
          <w:b/>
          <w:bCs/>
          <w:sz w:val="24"/>
          <w:szCs w:val="24"/>
        </w:rPr>
        <w:t>Table S8:</w:t>
      </w:r>
      <w:r>
        <w:rPr>
          <w:rFonts w:ascii="Times New Roman" w:eastAsia="楷体" w:hAnsi="Times New Roman"/>
          <w:sz w:val="24"/>
          <w:szCs w:val="24"/>
        </w:rPr>
        <w:t xml:space="preserve"> KEGG signaling pathway analysis based on 30 hub genes.</w:t>
      </w:r>
    </w:p>
    <w:p w14:paraId="6CD577D6" w14:textId="77777777" w:rsidR="00900824" w:rsidRDefault="00900824" w:rsidP="00900824">
      <w:pPr>
        <w:autoSpaceDE w:val="0"/>
        <w:spacing w:line="360" w:lineRule="auto"/>
        <w:rPr>
          <w:rFonts w:ascii="Times New Roman" w:eastAsia="楷体" w:hAnsi="Times New Roman"/>
          <w:sz w:val="24"/>
          <w:szCs w:val="24"/>
        </w:rPr>
      </w:pPr>
    </w:p>
    <w:p w14:paraId="54632BD3" w14:textId="77777777" w:rsidR="00900824" w:rsidRDefault="00900824" w:rsidP="00900824">
      <w:pPr>
        <w:autoSpaceDE w:val="0"/>
        <w:spacing w:line="360" w:lineRule="auto"/>
        <w:rPr>
          <w:rFonts w:ascii="Times New Roman" w:eastAsia="楷体" w:hAnsi="Times New Roman"/>
          <w:sz w:val="24"/>
          <w:szCs w:val="24"/>
        </w:rPr>
      </w:pPr>
      <w:r>
        <w:rPr>
          <w:rFonts w:ascii="Times New Roman" w:eastAsia="楷体" w:hAnsi="Times New Roman"/>
          <w:b/>
          <w:bCs/>
          <w:sz w:val="24"/>
          <w:szCs w:val="24"/>
        </w:rPr>
        <w:t xml:space="preserve">Table S9: </w:t>
      </w:r>
      <w:r>
        <w:rPr>
          <w:rFonts w:ascii="Times New Roman" w:eastAsia="楷体" w:hAnsi="Times New Roman"/>
          <w:sz w:val="24"/>
          <w:szCs w:val="24"/>
        </w:rPr>
        <w:t>GO enrichment analysis based on 20 hub genes.</w:t>
      </w:r>
    </w:p>
    <w:p w14:paraId="7B952AD2" w14:textId="77777777" w:rsidR="00900824" w:rsidRDefault="00900824" w:rsidP="00900824">
      <w:pPr>
        <w:autoSpaceDE w:val="0"/>
        <w:spacing w:line="360" w:lineRule="auto"/>
        <w:rPr>
          <w:rFonts w:ascii="Times New Roman" w:eastAsia="楷体" w:hAnsi="Times New Roman"/>
          <w:sz w:val="24"/>
          <w:szCs w:val="24"/>
        </w:rPr>
      </w:pPr>
    </w:p>
    <w:p w14:paraId="2498AD15" w14:textId="77777777" w:rsidR="00900824" w:rsidRDefault="00900824" w:rsidP="00900824">
      <w:pPr>
        <w:autoSpaceDE w:val="0"/>
        <w:spacing w:line="360" w:lineRule="auto"/>
        <w:rPr>
          <w:rFonts w:ascii="Times New Roman" w:eastAsia="楷体" w:hAnsi="Times New Roman"/>
          <w:sz w:val="24"/>
          <w:szCs w:val="24"/>
        </w:rPr>
      </w:pPr>
      <w:r>
        <w:rPr>
          <w:rFonts w:ascii="Times New Roman" w:eastAsia="楷体" w:hAnsi="Times New Roman"/>
          <w:b/>
          <w:bCs/>
          <w:sz w:val="24"/>
          <w:szCs w:val="24"/>
        </w:rPr>
        <w:t xml:space="preserve">Table S10: </w:t>
      </w:r>
      <w:r>
        <w:rPr>
          <w:rFonts w:ascii="Times New Roman" w:eastAsia="楷体" w:hAnsi="Times New Roman"/>
          <w:sz w:val="24"/>
          <w:szCs w:val="24"/>
        </w:rPr>
        <w:t>30 effective targets of D</w:t>
      </w:r>
      <w:r>
        <w:rPr>
          <w:rFonts w:ascii="Times New Roman" w:eastAsia="楷体" w:hAnsi="Times New Roman" w:hint="eastAsia"/>
          <w:sz w:val="24"/>
          <w:szCs w:val="24"/>
        </w:rPr>
        <w:t>uhuo</w:t>
      </w:r>
      <w:r>
        <w:rPr>
          <w:rFonts w:ascii="Times New Roman" w:eastAsia="楷体" w:hAnsi="Times New Roman"/>
          <w:sz w:val="24"/>
          <w:szCs w:val="24"/>
        </w:rPr>
        <w:t xml:space="preserve"> and 23 effective action targets obtained after intersecting with IVDD, which may be important targets for the treatment of IVDD.</w:t>
      </w:r>
    </w:p>
    <w:p w14:paraId="1034BC99" w14:textId="77777777" w:rsidR="00900824" w:rsidRDefault="00900824" w:rsidP="00900824">
      <w:pPr>
        <w:autoSpaceDE w:val="0"/>
        <w:spacing w:line="360" w:lineRule="auto"/>
        <w:rPr>
          <w:rFonts w:ascii="Times New Roman" w:eastAsia="楷体" w:hAnsi="Times New Roman"/>
          <w:sz w:val="24"/>
          <w:szCs w:val="24"/>
        </w:rPr>
      </w:pPr>
      <w:r>
        <w:rPr>
          <w:rFonts w:ascii="Times New Roman" w:eastAsia="楷体" w:hAnsi="Times New Roman"/>
          <w:sz w:val="24"/>
          <w:szCs w:val="24"/>
        </w:rPr>
        <w:t>Supplementary Table S11: Data of 6 key targets for the treatment of IVDD by D</w:t>
      </w:r>
      <w:r>
        <w:rPr>
          <w:rFonts w:ascii="Times New Roman" w:eastAsia="楷体" w:hAnsi="Times New Roman" w:hint="eastAsia"/>
          <w:sz w:val="24"/>
          <w:szCs w:val="24"/>
        </w:rPr>
        <w:t>uhuo</w:t>
      </w:r>
    </w:p>
    <w:p w14:paraId="71410411" w14:textId="77777777" w:rsidR="00E1715D" w:rsidRDefault="00900824"/>
    <w:sectPr w:rsidR="00E17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楷体">
    <w:altName w:val="Microsoft YaHei"/>
    <w:charset w:val="86"/>
    <w:family w:val="modern"/>
    <w:pitch w:val="default"/>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824"/>
    <w:rsid w:val="001942F0"/>
    <w:rsid w:val="002C0857"/>
    <w:rsid w:val="003F01F8"/>
    <w:rsid w:val="00884728"/>
    <w:rsid w:val="008E2845"/>
    <w:rsid w:val="00900824"/>
    <w:rsid w:val="00D00B5E"/>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B6322"/>
  <w15:chartTrackingRefBased/>
  <w15:docId w15:val="{13FFFC20-EFF2-440F-AFB7-0E3796B08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824"/>
    <w:pPr>
      <w:widowControl w:val="0"/>
      <w:spacing w:after="0" w:line="240" w:lineRule="auto"/>
      <w:jc w:val="both"/>
    </w:pPr>
    <w:rPr>
      <w:rFonts w:eastAsiaTheme="minorEastAsia"/>
      <w:kern w:val="2"/>
      <w:sz w:val="21"/>
      <w:lang w:val="en"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206</Words>
  <Characters>1179</Characters>
  <Application>Microsoft Office Word</Application>
  <DocSecurity>0</DocSecurity>
  <Lines>9</Lines>
  <Paragraphs>2</Paragraphs>
  <ScaleCrop>false</ScaleCrop>
  <Company>Springer Nature</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1</cp:revision>
  <dcterms:created xsi:type="dcterms:W3CDTF">2023-10-18T12:11:00Z</dcterms:created>
  <dcterms:modified xsi:type="dcterms:W3CDTF">2023-10-18T12:11:00Z</dcterms:modified>
</cp:coreProperties>
</file>