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A65F8" w14:textId="1E81DF12" w:rsidR="00FF4E12" w:rsidRDefault="00FF4E12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Cs/>
        </w:rPr>
        <w:t>T</w:t>
      </w:r>
      <w:r>
        <w:rPr>
          <w:rFonts w:ascii="Times New Roman" w:hAnsi="Times New Roman" w:cs="Times New Roman"/>
          <w:bCs/>
        </w:rPr>
        <w:t>able 1 Eigenvectors and eigenvalues for the</w:t>
      </w:r>
      <w:r w:rsidRPr="00FF4E12">
        <w:rPr>
          <w:rFonts w:ascii="Times New Roman" w:hAnsi="Times New Roman" w:cs="Times New Roman"/>
          <w:bCs/>
        </w:rPr>
        <w:t xml:space="preserve"> principal components (PC1, PC2, PC3, and PC4) derived from the variants: </w:t>
      </w:r>
      <w:r w:rsidRPr="00FF4E12">
        <w:rPr>
          <w:rFonts w:ascii="Times New Roman" w:hAnsi="Times New Roman" w:cs="Times New Roman"/>
          <w:bCs/>
          <w:i/>
          <w:iCs/>
        </w:rPr>
        <w:t>RRE</w:t>
      </w:r>
      <w:r w:rsidRPr="00FF4E12">
        <w:rPr>
          <w:rFonts w:ascii="Times New Roman" w:hAnsi="Times New Roman" w:cs="Times New Roman"/>
          <w:bCs/>
        </w:rPr>
        <w:t xml:space="preserve">, </w:t>
      </w:r>
      <w:r w:rsidRPr="00FF4E12">
        <w:rPr>
          <w:rFonts w:ascii="Times New Roman" w:hAnsi="Times New Roman" w:cs="Times New Roman"/>
          <w:bCs/>
          <w:i/>
          <w:iCs/>
        </w:rPr>
        <w:t>RSE</w:t>
      </w:r>
      <w:r w:rsidRPr="00FF4E12">
        <w:rPr>
          <w:rFonts w:ascii="Times New Roman" w:hAnsi="Times New Roman" w:cs="Times New Roman"/>
          <w:bCs/>
        </w:rPr>
        <w:t>, Cd concentrations in root and shoot (Cd/r and Cd/s), and relative MDA, H</w:t>
      </w:r>
      <w:r w:rsidRPr="00FF4E12">
        <w:rPr>
          <w:rFonts w:ascii="Times New Roman" w:hAnsi="Times New Roman" w:cs="Times New Roman"/>
          <w:bCs/>
          <w:vertAlign w:val="subscript"/>
        </w:rPr>
        <w:t>2</w:t>
      </w:r>
      <w:r w:rsidRPr="00FF4E12">
        <w:rPr>
          <w:rFonts w:ascii="Times New Roman" w:hAnsi="Times New Roman" w:cs="Times New Roman"/>
          <w:bCs/>
        </w:rPr>
        <w:t>O</w:t>
      </w:r>
      <w:r w:rsidRPr="00FF4E12">
        <w:rPr>
          <w:rFonts w:ascii="Times New Roman" w:hAnsi="Times New Roman" w:cs="Times New Roman"/>
          <w:bCs/>
          <w:vertAlign w:val="subscript"/>
        </w:rPr>
        <w:t>2</w:t>
      </w:r>
      <w:r w:rsidRPr="00FF4E12">
        <w:rPr>
          <w:rFonts w:ascii="Times New Roman" w:hAnsi="Times New Roman" w:cs="Times New Roman"/>
          <w:bCs/>
        </w:rPr>
        <w:t>, SOD, and APX in root and shoot (MDA/r, MDA/s, H</w:t>
      </w:r>
      <w:r w:rsidRPr="00FF4E12">
        <w:rPr>
          <w:rFonts w:ascii="Times New Roman" w:hAnsi="Times New Roman" w:cs="Times New Roman"/>
          <w:bCs/>
          <w:vertAlign w:val="subscript"/>
        </w:rPr>
        <w:t>2</w:t>
      </w:r>
      <w:r w:rsidRPr="00FF4E12">
        <w:rPr>
          <w:rFonts w:ascii="Times New Roman" w:hAnsi="Times New Roman" w:cs="Times New Roman"/>
          <w:bCs/>
        </w:rPr>
        <w:t>O</w:t>
      </w:r>
      <w:r w:rsidRPr="00FF4E12">
        <w:rPr>
          <w:rFonts w:ascii="Times New Roman" w:hAnsi="Times New Roman" w:cs="Times New Roman"/>
          <w:bCs/>
          <w:vertAlign w:val="subscript"/>
        </w:rPr>
        <w:t>2</w:t>
      </w:r>
      <w:r w:rsidRPr="00FF4E12">
        <w:rPr>
          <w:rFonts w:ascii="Times New Roman" w:hAnsi="Times New Roman" w:cs="Times New Roman"/>
          <w:bCs/>
        </w:rPr>
        <w:t>/r, H</w:t>
      </w:r>
      <w:r w:rsidRPr="00FF4E12">
        <w:rPr>
          <w:rFonts w:ascii="Times New Roman" w:hAnsi="Times New Roman" w:cs="Times New Roman"/>
          <w:bCs/>
          <w:vertAlign w:val="subscript"/>
        </w:rPr>
        <w:t>2</w:t>
      </w:r>
      <w:r w:rsidRPr="00FF4E12">
        <w:rPr>
          <w:rFonts w:ascii="Times New Roman" w:hAnsi="Times New Roman" w:cs="Times New Roman"/>
          <w:bCs/>
        </w:rPr>
        <w:t>O</w:t>
      </w:r>
      <w:r w:rsidRPr="00FF4E12">
        <w:rPr>
          <w:rFonts w:ascii="Times New Roman" w:hAnsi="Times New Roman" w:cs="Times New Roman"/>
          <w:bCs/>
          <w:vertAlign w:val="subscript"/>
        </w:rPr>
        <w:t>2</w:t>
      </w:r>
      <w:r w:rsidRPr="00FF4E12">
        <w:rPr>
          <w:rFonts w:ascii="Times New Roman" w:hAnsi="Times New Roman" w:cs="Times New Roman"/>
          <w:bCs/>
        </w:rPr>
        <w:t>/s, SOD/r, SOD/s, APX/r, and APX/s)</w:t>
      </w:r>
    </w:p>
    <w:p w14:paraId="00B79954" w14:textId="77777777" w:rsidR="00FF4E12" w:rsidRDefault="00FF4E12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</w:p>
    <w:p w14:paraId="16CBA4F7" w14:textId="6F369DB1" w:rsidR="00FF4E12" w:rsidRDefault="00FF4E12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0" distR="0" wp14:anchorId="04F31F30" wp14:editId="775767D0">
            <wp:extent cx="3970800" cy="3409200"/>
            <wp:effectExtent l="0" t="0" r="0" b="127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0800" cy="340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C92F4" w14:textId="56656131" w:rsidR="00FF4E12" w:rsidRDefault="00FF4E12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</w:p>
    <w:p w14:paraId="0A4E6880" w14:textId="77777777" w:rsidR="00FF4E12" w:rsidRDefault="00FF4E12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</w:p>
    <w:p w14:paraId="66D2BE74" w14:textId="77777777" w:rsidR="00FF4E12" w:rsidRDefault="00FF4E12">
      <w:pPr>
        <w:widowControl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50D4FCDB" w14:textId="091F8428" w:rsidR="0091238E" w:rsidRPr="009205A1" w:rsidRDefault="0091238E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  <w:r w:rsidRPr="009205A1">
        <w:rPr>
          <w:rFonts w:ascii="Times New Roman" w:hAnsi="Times New Roman" w:cs="Times New Roman" w:hint="eastAsia"/>
          <w:bCs/>
        </w:rPr>
        <w:lastRenderedPageBreak/>
        <w:t xml:space="preserve">Table </w:t>
      </w:r>
      <w:r w:rsidR="00FF4E12">
        <w:rPr>
          <w:rFonts w:ascii="Times New Roman" w:hAnsi="Times New Roman" w:cs="Times New Roman"/>
          <w:bCs/>
        </w:rPr>
        <w:t>2</w:t>
      </w:r>
      <w:r w:rsidRPr="009205A1">
        <w:rPr>
          <w:rFonts w:ascii="Times New Roman" w:hAnsi="Times New Roman" w:cs="Times New Roman" w:hint="eastAsia"/>
          <w:bCs/>
        </w:rPr>
        <w:t xml:space="preserve"> </w:t>
      </w:r>
      <w:r w:rsidR="00325BE7" w:rsidRPr="009205A1">
        <w:rPr>
          <w:rFonts w:ascii="Times New Roman" w:hAnsi="Times New Roman" w:cs="Times New Roman" w:hint="eastAsia"/>
          <w:bCs/>
        </w:rPr>
        <w:t>Genotypic variations in the translocation factor (</w:t>
      </w:r>
      <w:r w:rsidR="00325BE7" w:rsidRPr="009205A1">
        <w:rPr>
          <w:rFonts w:ascii="Times New Roman" w:hAnsi="Times New Roman" w:cs="Times New Roman" w:hint="eastAsia"/>
          <w:bCs/>
          <w:i/>
        </w:rPr>
        <w:t>TF</w:t>
      </w:r>
      <w:r w:rsidR="00325BE7" w:rsidRPr="009205A1">
        <w:rPr>
          <w:rFonts w:ascii="Times New Roman" w:hAnsi="Times New Roman" w:cs="Times New Roman" w:hint="eastAsia"/>
          <w:bCs/>
        </w:rPr>
        <w:t>) values for the selected physiological traits</w:t>
      </w:r>
      <w:r w:rsidR="00F77123" w:rsidRPr="009205A1">
        <w:rPr>
          <w:rFonts w:ascii="Times New Roman" w:hAnsi="Times New Roman" w:cs="Times New Roman" w:hint="eastAsia"/>
          <w:bCs/>
        </w:rPr>
        <w:t xml:space="preserve">, </w:t>
      </w:r>
      <w:r w:rsidR="00F77123" w:rsidRPr="009205A1">
        <w:rPr>
          <w:rFonts w:ascii="Times New Roman" w:hAnsi="Times New Roman" w:cs="Times New Roman"/>
          <w:bCs/>
        </w:rPr>
        <w:t>malondialdehyde (MDA), H</w:t>
      </w:r>
      <w:r w:rsidR="00F77123" w:rsidRPr="009205A1">
        <w:rPr>
          <w:rFonts w:ascii="Times New Roman" w:hAnsi="Times New Roman" w:cs="Times New Roman"/>
          <w:bCs/>
          <w:vertAlign w:val="subscript"/>
        </w:rPr>
        <w:t>2</w:t>
      </w:r>
      <w:r w:rsidR="00F77123" w:rsidRPr="009205A1">
        <w:rPr>
          <w:rFonts w:ascii="Times New Roman" w:hAnsi="Times New Roman" w:cs="Times New Roman"/>
          <w:bCs/>
        </w:rPr>
        <w:t>O</w:t>
      </w:r>
      <w:r w:rsidR="00F77123" w:rsidRPr="009205A1">
        <w:rPr>
          <w:rFonts w:ascii="Times New Roman" w:hAnsi="Times New Roman" w:cs="Times New Roman"/>
          <w:bCs/>
          <w:vertAlign w:val="subscript"/>
        </w:rPr>
        <w:t>2</w:t>
      </w:r>
      <w:r w:rsidR="00F77123" w:rsidRPr="009205A1">
        <w:rPr>
          <w:rFonts w:ascii="Times New Roman" w:hAnsi="Times New Roman" w:cs="Times New Roman" w:hint="eastAsia"/>
          <w:bCs/>
        </w:rPr>
        <w:t xml:space="preserve">, </w:t>
      </w:r>
      <w:r w:rsidR="00F77123" w:rsidRPr="009205A1">
        <w:rPr>
          <w:rFonts w:ascii="Times New Roman" w:hAnsi="Times New Roman" w:cs="Times New Roman"/>
          <w:bCs/>
        </w:rPr>
        <w:t>superoxide dismutase (SOD), and ascorbate peroxidase (APX)</w:t>
      </w:r>
      <w:r w:rsidR="00F77123" w:rsidRPr="009205A1">
        <w:rPr>
          <w:rFonts w:ascii="Times New Roman" w:hAnsi="Times New Roman" w:cs="Times New Roman" w:hint="eastAsia"/>
          <w:bCs/>
        </w:rPr>
        <w:t>,</w:t>
      </w:r>
      <w:r w:rsidR="00325BE7" w:rsidRPr="009205A1">
        <w:rPr>
          <w:rFonts w:ascii="Times New Roman" w:hAnsi="Times New Roman" w:cs="Times New Roman" w:hint="eastAsia"/>
          <w:bCs/>
        </w:rPr>
        <w:t xml:space="preserve"> and </w:t>
      </w:r>
      <w:r w:rsidR="00DE4495" w:rsidRPr="009205A1">
        <w:rPr>
          <w:rFonts w:ascii="Times New Roman" w:hAnsi="Times New Roman" w:cs="Times New Roman" w:hint="eastAsia"/>
          <w:bCs/>
        </w:rPr>
        <w:t xml:space="preserve">in </w:t>
      </w:r>
      <w:r w:rsidR="00325BE7" w:rsidRPr="009205A1">
        <w:rPr>
          <w:rFonts w:ascii="Times New Roman" w:hAnsi="Times New Roman" w:cs="Times New Roman" w:hint="eastAsia"/>
          <w:bCs/>
        </w:rPr>
        <w:t>the tendency index (</w:t>
      </w:r>
      <w:r w:rsidR="00325BE7" w:rsidRPr="009205A1">
        <w:rPr>
          <w:rFonts w:ascii="Times New Roman" w:hAnsi="Times New Roman" w:cs="Times New Roman" w:hint="eastAsia"/>
          <w:bCs/>
          <w:i/>
        </w:rPr>
        <w:t>TI</w:t>
      </w:r>
      <w:r w:rsidR="00325BE7" w:rsidRPr="009205A1">
        <w:rPr>
          <w:rFonts w:ascii="Times New Roman" w:hAnsi="Times New Roman" w:cs="Times New Roman" w:hint="eastAsia"/>
          <w:bCs/>
        </w:rPr>
        <w:t xml:space="preserve">) </w:t>
      </w:r>
      <w:r w:rsidR="00DB21EF" w:rsidRPr="009205A1">
        <w:rPr>
          <w:rFonts w:ascii="Times New Roman" w:hAnsi="Times New Roman" w:cs="Times New Roman" w:hint="eastAsia"/>
          <w:bCs/>
        </w:rPr>
        <w:t>values for</w:t>
      </w:r>
      <w:r w:rsidR="00325BE7" w:rsidRPr="009205A1">
        <w:rPr>
          <w:rFonts w:ascii="Times New Roman" w:hAnsi="Times New Roman" w:cs="Times New Roman" w:hint="eastAsia"/>
          <w:bCs/>
        </w:rPr>
        <w:t xml:space="preserve"> </w:t>
      </w:r>
      <w:r w:rsidR="00D07342" w:rsidRPr="009205A1">
        <w:rPr>
          <w:rFonts w:ascii="Times New Roman" w:hAnsi="Times New Roman" w:cs="Times New Roman" w:hint="eastAsia"/>
          <w:bCs/>
        </w:rPr>
        <w:t xml:space="preserve">the </w:t>
      </w:r>
      <w:r w:rsidR="00325BE7" w:rsidRPr="009205A1">
        <w:rPr>
          <w:rFonts w:ascii="Times New Roman" w:hAnsi="Times New Roman" w:cs="Times New Roman" w:hint="eastAsia"/>
          <w:bCs/>
        </w:rPr>
        <w:t xml:space="preserve">Cd treatment </w:t>
      </w:r>
      <w:r w:rsidR="00DB21EF" w:rsidRPr="009205A1">
        <w:rPr>
          <w:rFonts w:ascii="Times New Roman" w:hAnsi="Times New Roman" w:cs="Times New Roman" w:hint="eastAsia"/>
          <w:bCs/>
        </w:rPr>
        <w:t>relative to</w:t>
      </w:r>
      <w:r w:rsidR="00325BE7" w:rsidRPr="009205A1">
        <w:rPr>
          <w:rFonts w:ascii="Times New Roman" w:hAnsi="Times New Roman" w:cs="Times New Roman" w:hint="eastAsia"/>
          <w:bCs/>
        </w:rPr>
        <w:t xml:space="preserve"> </w:t>
      </w:r>
      <w:r w:rsidR="00D07342" w:rsidRPr="009205A1">
        <w:rPr>
          <w:rFonts w:ascii="Times New Roman" w:hAnsi="Times New Roman" w:cs="Times New Roman"/>
          <w:bCs/>
        </w:rPr>
        <w:t>a check (CK)</w:t>
      </w:r>
      <w:r w:rsidR="00DE4495" w:rsidRPr="009205A1">
        <w:rPr>
          <w:rFonts w:ascii="Times New Roman" w:hAnsi="Times New Roman" w:cs="Times New Roman" w:hint="eastAsia"/>
          <w:bCs/>
        </w:rPr>
        <w:t xml:space="preserve"> among the rice cultivars</w:t>
      </w:r>
      <w:r w:rsidR="00DB21EF" w:rsidRPr="009205A1">
        <w:rPr>
          <w:rFonts w:ascii="Times New Roman" w:hAnsi="Times New Roman" w:cs="Times New Roman" w:hint="eastAsia"/>
          <w:bCs/>
        </w:rPr>
        <w:t xml:space="preserve"> </w:t>
      </w:r>
    </w:p>
    <w:p w14:paraId="15F53048" w14:textId="77777777" w:rsidR="002102E9" w:rsidRPr="009205A1" w:rsidRDefault="002102E9" w:rsidP="004C0B45">
      <w:pPr>
        <w:spacing w:line="480" w:lineRule="auto"/>
        <w:contextualSpacing/>
        <w:rPr>
          <w:rFonts w:ascii="Times New Roman" w:hAnsi="Times New Roman" w:cs="Times New Roman"/>
          <w:bCs/>
        </w:rPr>
      </w:pPr>
    </w:p>
    <w:p w14:paraId="7A4A0202" w14:textId="50666322" w:rsidR="0091238E" w:rsidRDefault="004E54CD" w:rsidP="006F461B">
      <w:pPr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2F5F961" wp14:editId="6DB296B3">
            <wp:extent cx="5759450" cy="2176780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C0E5A" w14:textId="77777777" w:rsidR="0091238E" w:rsidRDefault="0091238E" w:rsidP="006F461B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0EFF3D7C" w14:textId="77777777" w:rsidR="004C0B45" w:rsidRDefault="004C0B45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E666A8" w14:textId="79969AA6" w:rsidR="006F461B" w:rsidRPr="009205A1" w:rsidRDefault="003E1A43" w:rsidP="009205A1">
      <w:pPr>
        <w:spacing w:line="480" w:lineRule="auto"/>
        <w:ind w:left="1"/>
        <w:contextualSpacing/>
        <w:rPr>
          <w:rFonts w:ascii="Times New Roman" w:hAnsi="Times New Roman" w:cs="Times New Roman"/>
          <w:bCs/>
        </w:rPr>
      </w:pPr>
      <w:r w:rsidRPr="009205A1">
        <w:rPr>
          <w:rFonts w:ascii="Times New Roman" w:hAnsi="Times New Roman" w:cs="Times New Roman"/>
          <w:bCs/>
        </w:rPr>
        <w:lastRenderedPageBreak/>
        <w:t xml:space="preserve">Table </w:t>
      </w:r>
      <w:r w:rsidR="00FF4E12">
        <w:rPr>
          <w:rFonts w:ascii="Times New Roman" w:hAnsi="Times New Roman" w:cs="Times New Roman"/>
          <w:bCs/>
        </w:rPr>
        <w:t>3</w:t>
      </w:r>
      <w:r w:rsidRPr="009205A1">
        <w:rPr>
          <w:rFonts w:ascii="Times New Roman" w:hAnsi="Times New Roman" w:cs="Times New Roman"/>
          <w:bCs/>
        </w:rPr>
        <w:t xml:space="preserve"> </w:t>
      </w:r>
      <w:r w:rsidR="00E75373" w:rsidRPr="009205A1">
        <w:rPr>
          <w:rFonts w:ascii="Times New Roman" w:hAnsi="Times New Roman" w:cs="Times New Roman" w:hint="eastAsia"/>
          <w:bCs/>
        </w:rPr>
        <w:t>Correlation coefficients between the plant growth factors, relative root elongation (</w:t>
      </w:r>
      <w:r w:rsidR="00E75373" w:rsidRPr="004E54CD">
        <w:rPr>
          <w:rFonts w:ascii="Times New Roman" w:hAnsi="Times New Roman" w:cs="Times New Roman" w:hint="eastAsia"/>
          <w:bCs/>
          <w:i/>
          <w:iCs/>
        </w:rPr>
        <w:t>RRE</w:t>
      </w:r>
      <w:r w:rsidR="000E66EC" w:rsidRPr="009205A1">
        <w:rPr>
          <w:rFonts w:ascii="Times New Roman" w:hAnsi="Times New Roman" w:cs="Times New Roman" w:hint="eastAsia"/>
          <w:bCs/>
        </w:rPr>
        <w:t>) and relative shoot extension (</w:t>
      </w:r>
      <w:r w:rsidR="000E66EC" w:rsidRPr="004E54CD">
        <w:rPr>
          <w:rFonts w:ascii="Times New Roman" w:hAnsi="Times New Roman" w:cs="Times New Roman" w:hint="eastAsia"/>
          <w:bCs/>
          <w:i/>
          <w:iCs/>
        </w:rPr>
        <w:t>RSE</w:t>
      </w:r>
      <w:r w:rsidR="000E66EC" w:rsidRPr="009205A1">
        <w:rPr>
          <w:rFonts w:ascii="Times New Roman" w:hAnsi="Times New Roman" w:cs="Times New Roman" w:hint="eastAsia"/>
          <w:bCs/>
        </w:rPr>
        <w:t xml:space="preserve">), </w:t>
      </w:r>
      <w:r w:rsidR="00F86185">
        <w:rPr>
          <w:rFonts w:ascii="Times New Roman" w:hAnsi="Times New Roman" w:cs="Times New Roman" w:hint="eastAsia"/>
          <w:bCs/>
        </w:rPr>
        <w:t>a</w:t>
      </w:r>
      <w:r w:rsidR="00F86185">
        <w:rPr>
          <w:rFonts w:ascii="Times New Roman" w:hAnsi="Times New Roman" w:cs="Times New Roman"/>
          <w:bCs/>
        </w:rPr>
        <w:t xml:space="preserve">nd </w:t>
      </w:r>
      <w:r w:rsidR="00E75373" w:rsidRPr="009205A1">
        <w:rPr>
          <w:rFonts w:ascii="Times New Roman" w:hAnsi="Times New Roman" w:cs="Times New Roman" w:hint="eastAsia"/>
          <w:bCs/>
        </w:rPr>
        <w:t>the plant Cd concentrations in root and shoot</w:t>
      </w:r>
      <w:r w:rsidR="000E66EC" w:rsidRPr="009205A1">
        <w:rPr>
          <w:rFonts w:ascii="Times New Roman" w:hAnsi="Times New Roman" w:cs="Times New Roman" w:hint="eastAsia"/>
          <w:bCs/>
        </w:rPr>
        <w:t xml:space="preserve"> versus the tendency index (</w:t>
      </w:r>
      <w:r w:rsidR="000E66EC" w:rsidRPr="009205A1">
        <w:rPr>
          <w:rFonts w:ascii="Times New Roman" w:hAnsi="Times New Roman" w:cs="Times New Roman" w:hint="eastAsia"/>
          <w:bCs/>
          <w:i/>
        </w:rPr>
        <w:t>TI</w:t>
      </w:r>
      <w:r w:rsidR="000E66EC" w:rsidRPr="009205A1">
        <w:rPr>
          <w:rFonts w:ascii="Times New Roman" w:hAnsi="Times New Roman" w:cs="Times New Roman" w:hint="eastAsia"/>
          <w:bCs/>
        </w:rPr>
        <w:t xml:space="preserve">) values of physiological traits, </w:t>
      </w:r>
      <w:r w:rsidR="00F77123" w:rsidRPr="009205A1">
        <w:rPr>
          <w:rFonts w:ascii="Times New Roman" w:hAnsi="Times New Roman" w:cs="Times New Roman"/>
          <w:bCs/>
        </w:rPr>
        <w:t>superoxide dismutase</w:t>
      </w:r>
      <w:r w:rsidR="00F77123" w:rsidRPr="009205A1">
        <w:rPr>
          <w:rFonts w:ascii="Times New Roman" w:hAnsi="Times New Roman" w:cs="Times New Roman" w:hint="eastAsia"/>
          <w:bCs/>
        </w:rPr>
        <w:t xml:space="preserve"> (</w:t>
      </w:r>
      <w:r w:rsidR="000E66EC" w:rsidRPr="009205A1">
        <w:rPr>
          <w:rFonts w:ascii="Times New Roman" w:hAnsi="Times New Roman" w:cs="Times New Roman" w:hint="eastAsia"/>
          <w:bCs/>
        </w:rPr>
        <w:t>SOD</w:t>
      </w:r>
      <w:r w:rsidR="00F77123" w:rsidRPr="009205A1">
        <w:rPr>
          <w:rFonts w:ascii="Times New Roman" w:hAnsi="Times New Roman" w:cs="Times New Roman" w:hint="eastAsia"/>
          <w:bCs/>
        </w:rPr>
        <w:t>)</w:t>
      </w:r>
      <w:r w:rsidR="000E66EC" w:rsidRPr="009205A1">
        <w:rPr>
          <w:rFonts w:ascii="Times New Roman" w:hAnsi="Times New Roman" w:cs="Times New Roman" w:hint="eastAsia"/>
          <w:bCs/>
        </w:rPr>
        <w:t xml:space="preserve">, </w:t>
      </w:r>
      <w:r w:rsidR="00F77123" w:rsidRPr="009205A1">
        <w:rPr>
          <w:rFonts w:ascii="Times New Roman" w:hAnsi="Times New Roman" w:cs="Times New Roman"/>
          <w:bCs/>
        </w:rPr>
        <w:t xml:space="preserve">ascorbate peroxidase </w:t>
      </w:r>
      <w:r w:rsidR="00F77123" w:rsidRPr="009205A1">
        <w:rPr>
          <w:rFonts w:ascii="Times New Roman" w:hAnsi="Times New Roman" w:cs="Times New Roman" w:hint="eastAsia"/>
          <w:bCs/>
        </w:rPr>
        <w:t>(</w:t>
      </w:r>
      <w:r w:rsidR="000E66EC" w:rsidRPr="009205A1">
        <w:rPr>
          <w:rFonts w:ascii="Times New Roman" w:hAnsi="Times New Roman" w:cs="Times New Roman" w:hint="eastAsia"/>
          <w:bCs/>
        </w:rPr>
        <w:t>APX</w:t>
      </w:r>
      <w:r w:rsidR="00F77123" w:rsidRPr="009205A1">
        <w:rPr>
          <w:rFonts w:ascii="Times New Roman" w:hAnsi="Times New Roman" w:cs="Times New Roman" w:hint="eastAsia"/>
          <w:bCs/>
        </w:rPr>
        <w:t>)</w:t>
      </w:r>
      <w:r w:rsidR="000E66EC" w:rsidRPr="009205A1">
        <w:rPr>
          <w:rFonts w:ascii="Times New Roman" w:hAnsi="Times New Roman" w:cs="Times New Roman" w:hint="eastAsia"/>
          <w:bCs/>
        </w:rPr>
        <w:t>, H</w:t>
      </w:r>
      <w:r w:rsidR="000E66EC" w:rsidRPr="009205A1">
        <w:rPr>
          <w:rFonts w:ascii="Times New Roman" w:hAnsi="Times New Roman" w:cs="Times New Roman" w:hint="eastAsia"/>
          <w:bCs/>
          <w:vertAlign w:val="subscript"/>
        </w:rPr>
        <w:t>2</w:t>
      </w:r>
      <w:r w:rsidR="000E66EC" w:rsidRPr="009205A1">
        <w:rPr>
          <w:rFonts w:ascii="Times New Roman" w:hAnsi="Times New Roman" w:cs="Times New Roman" w:hint="eastAsia"/>
          <w:bCs/>
        </w:rPr>
        <w:t>O</w:t>
      </w:r>
      <w:r w:rsidR="000E66EC" w:rsidRPr="009205A1">
        <w:rPr>
          <w:rFonts w:ascii="Times New Roman" w:hAnsi="Times New Roman" w:cs="Times New Roman" w:hint="eastAsia"/>
          <w:bCs/>
          <w:vertAlign w:val="subscript"/>
        </w:rPr>
        <w:t>2</w:t>
      </w:r>
      <w:r w:rsidR="000E66EC" w:rsidRPr="009205A1">
        <w:rPr>
          <w:rFonts w:ascii="Times New Roman" w:hAnsi="Times New Roman" w:cs="Times New Roman" w:hint="eastAsia"/>
          <w:bCs/>
        </w:rPr>
        <w:t xml:space="preserve">, and </w:t>
      </w:r>
      <w:r w:rsidR="00F77123" w:rsidRPr="009205A1">
        <w:rPr>
          <w:rFonts w:ascii="Times New Roman" w:hAnsi="Times New Roman" w:cs="Times New Roman"/>
          <w:bCs/>
        </w:rPr>
        <w:t xml:space="preserve">malondialdehyde </w:t>
      </w:r>
      <w:r w:rsidR="00F77123" w:rsidRPr="009205A1">
        <w:rPr>
          <w:rFonts w:ascii="Times New Roman" w:hAnsi="Times New Roman" w:cs="Times New Roman" w:hint="eastAsia"/>
          <w:bCs/>
        </w:rPr>
        <w:t>(</w:t>
      </w:r>
      <w:r w:rsidR="000E66EC" w:rsidRPr="009205A1">
        <w:rPr>
          <w:rFonts w:ascii="Times New Roman" w:hAnsi="Times New Roman" w:cs="Times New Roman" w:hint="eastAsia"/>
          <w:bCs/>
        </w:rPr>
        <w:t>MDA</w:t>
      </w:r>
      <w:r w:rsidR="00F77123" w:rsidRPr="009205A1">
        <w:rPr>
          <w:rFonts w:ascii="Times New Roman" w:hAnsi="Times New Roman" w:cs="Times New Roman" w:hint="eastAsia"/>
          <w:bCs/>
        </w:rPr>
        <w:t>)</w:t>
      </w:r>
      <w:r w:rsidR="000E66EC" w:rsidRPr="009205A1">
        <w:rPr>
          <w:rFonts w:ascii="Times New Roman" w:hAnsi="Times New Roman" w:cs="Times New Roman" w:hint="eastAsia"/>
          <w:bCs/>
        </w:rPr>
        <w:t>.</w:t>
      </w:r>
      <w:r w:rsidR="00F86185">
        <w:rPr>
          <w:rFonts w:ascii="Times New Roman" w:hAnsi="Times New Roman" w:cs="Times New Roman"/>
          <w:bCs/>
        </w:rPr>
        <w:t xml:space="preserve"> The</w:t>
      </w:r>
      <w:r w:rsidR="00161184">
        <w:rPr>
          <w:rFonts w:ascii="Times New Roman" w:hAnsi="Times New Roman" w:cs="Times New Roman"/>
          <w:bCs/>
        </w:rPr>
        <w:t xml:space="preserve"> bold</w:t>
      </w:r>
      <w:r w:rsidR="00F86185">
        <w:rPr>
          <w:rFonts w:ascii="Times New Roman" w:hAnsi="Times New Roman" w:cs="Times New Roman"/>
          <w:bCs/>
        </w:rPr>
        <w:t xml:space="preserve"> font </w:t>
      </w:r>
      <w:r w:rsidR="00161184">
        <w:rPr>
          <w:rFonts w:ascii="Times New Roman" w:hAnsi="Times New Roman" w:cs="Times New Roman"/>
          <w:bCs/>
        </w:rPr>
        <w:t xml:space="preserve">highlights the </w:t>
      </w:r>
      <w:r w:rsidR="00F86185">
        <w:rPr>
          <w:rFonts w:ascii="Times New Roman" w:hAnsi="Times New Roman" w:cs="Times New Roman"/>
          <w:bCs/>
        </w:rPr>
        <w:t>significan</w:t>
      </w:r>
      <w:r w:rsidR="00161184">
        <w:rPr>
          <w:rFonts w:ascii="Times New Roman" w:hAnsi="Times New Roman" w:cs="Times New Roman"/>
          <w:bCs/>
        </w:rPr>
        <w:t xml:space="preserve">ce at </w:t>
      </w:r>
      <w:r w:rsidR="00161184" w:rsidRPr="00161184">
        <w:rPr>
          <w:rFonts w:ascii="Times New Roman" w:hAnsi="Times New Roman" w:cs="Times New Roman"/>
          <w:bCs/>
          <w:i/>
          <w:iCs/>
        </w:rPr>
        <w:t>p</w:t>
      </w:r>
      <w:r w:rsidR="00161184">
        <w:rPr>
          <w:rFonts w:ascii="Times New Roman" w:hAnsi="Times New Roman" w:cs="Times New Roman"/>
          <w:bCs/>
        </w:rPr>
        <w:t>&lt;0.1</w:t>
      </w:r>
      <w:r w:rsidR="00F86185">
        <w:rPr>
          <w:rFonts w:ascii="Times New Roman" w:hAnsi="Times New Roman" w:cs="Times New Roman"/>
          <w:bCs/>
        </w:rPr>
        <w:t xml:space="preserve"> </w:t>
      </w:r>
    </w:p>
    <w:p w14:paraId="51FD261A" w14:textId="77777777" w:rsidR="006F461B" w:rsidRPr="009205A1" w:rsidRDefault="006F461B" w:rsidP="004C0B45">
      <w:pPr>
        <w:widowControl/>
        <w:spacing w:line="480" w:lineRule="auto"/>
        <w:contextualSpacing/>
        <w:rPr>
          <w:rFonts w:ascii="Times New Roman" w:hAnsi="Times New Roman" w:cs="Times New Roman"/>
          <w:bCs/>
        </w:rPr>
      </w:pPr>
    </w:p>
    <w:p w14:paraId="77ABA303" w14:textId="1D6C7672" w:rsidR="006F461B" w:rsidRDefault="004E54CD" w:rsidP="006F461B">
      <w:pPr>
        <w:widowControl/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08B3ED" wp14:editId="475CAD32">
            <wp:extent cx="4611600" cy="27144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1600" cy="27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995B1" w14:textId="77777777" w:rsidR="00F30D3F" w:rsidRDefault="00F30D3F" w:rsidP="006F461B">
      <w:pPr>
        <w:snapToGrid w:val="0"/>
        <w:spacing w:line="480" w:lineRule="auto"/>
        <w:rPr>
          <w:sz w:val="20"/>
          <w:szCs w:val="20"/>
        </w:rPr>
      </w:pPr>
    </w:p>
    <w:sectPr w:rsidR="00F30D3F" w:rsidSect="00B26AA9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CB0832" w14:textId="77777777" w:rsidR="006A1CFD" w:rsidRDefault="006A1CFD" w:rsidP="001A0B04">
      <w:r>
        <w:separator/>
      </w:r>
    </w:p>
  </w:endnote>
  <w:endnote w:type="continuationSeparator" w:id="0">
    <w:p w14:paraId="35C4DDBF" w14:textId="77777777" w:rsidR="006A1CFD" w:rsidRDefault="006A1CFD" w:rsidP="001A0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34652C" w14:textId="77777777" w:rsidR="006A1CFD" w:rsidRDefault="006A1CFD" w:rsidP="001A0B04">
      <w:r>
        <w:separator/>
      </w:r>
    </w:p>
  </w:footnote>
  <w:footnote w:type="continuationSeparator" w:id="0">
    <w:p w14:paraId="302FB067" w14:textId="77777777" w:rsidR="006A1CFD" w:rsidRDefault="006A1CFD" w:rsidP="001A0B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S0tDQ2MTcwNjQ2szRS0lEKTi0uzszPAykwqgUAJwTzIiwAAAA="/>
  </w:docVars>
  <w:rsids>
    <w:rsidRoot w:val="003E1A43"/>
    <w:rsid w:val="00006FF6"/>
    <w:rsid w:val="00013EE0"/>
    <w:rsid w:val="000E66EC"/>
    <w:rsid w:val="000F6B74"/>
    <w:rsid w:val="00161184"/>
    <w:rsid w:val="00174675"/>
    <w:rsid w:val="00174B3B"/>
    <w:rsid w:val="001A0B04"/>
    <w:rsid w:val="001B4CE4"/>
    <w:rsid w:val="001C2745"/>
    <w:rsid w:val="001C5AA3"/>
    <w:rsid w:val="001F14CF"/>
    <w:rsid w:val="002102E9"/>
    <w:rsid w:val="00266A12"/>
    <w:rsid w:val="00281B84"/>
    <w:rsid w:val="002A502E"/>
    <w:rsid w:val="002A54A5"/>
    <w:rsid w:val="002B053C"/>
    <w:rsid w:val="002B0926"/>
    <w:rsid w:val="002B520F"/>
    <w:rsid w:val="002E252E"/>
    <w:rsid w:val="00325BE7"/>
    <w:rsid w:val="0035293B"/>
    <w:rsid w:val="0039037C"/>
    <w:rsid w:val="003E1A43"/>
    <w:rsid w:val="003F7E54"/>
    <w:rsid w:val="00403171"/>
    <w:rsid w:val="00435836"/>
    <w:rsid w:val="004412AF"/>
    <w:rsid w:val="00454560"/>
    <w:rsid w:val="00481431"/>
    <w:rsid w:val="004C0B45"/>
    <w:rsid w:val="004C22F7"/>
    <w:rsid w:val="004E54CD"/>
    <w:rsid w:val="00514D1A"/>
    <w:rsid w:val="005219A7"/>
    <w:rsid w:val="005459C6"/>
    <w:rsid w:val="00590132"/>
    <w:rsid w:val="005A6A8E"/>
    <w:rsid w:val="005B7705"/>
    <w:rsid w:val="005E12EE"/>
    <w:rsid w:val="00601623"/>
    <w:rsid w:val="00625462"/>
    <w:rsid w:val="0065076A"/>
    <w:rsid w:val="006577A5"/>
    <w:rsid w:val="00662A1B"/>
    <w:rsid w:val="00681838"/>
    <w:rsid w:val="00693385"/>
    <w:rsid w:val="006A1CFD"/>
    <w:rsid w:val="006F461B"/>
    <w:rsid w:val="006F5A6D"/>
    <w:rsid w:val="00705FD1"/>
    <w:rsid w:val="0072070A"/>
    <w:rsid w:val="00733220"/>
    <w:rsid w:val="00761BEE"/>
    <w:rsid w:val="007D1F55"/>
    <w:rsid w:val="007F06BD"/>
    <w:rsid w:val="008301BA"/>
    <w:rsid w:val="00840D98"/>
    <w:rsid w:val="008411D8"/>
    <w:rsid w:val="00847CC9"/>
    <w:rsid w:val="008D2E48"/>
    <w:rsid w:val="008E34CD"/>
    <w:rsid w:val="008F5FBF"/>
    <w:rsid w:val="009050EB"/>
    <w:rsid w:val="0091238E"/>
    <w:rsid w:val="00917901"/>
    <w:rsid w:val="009205A1"/>
    <w:rsid w:val="009358D8"/>
    <w:rsid w:val="009572F3"/>
    <w:rsid w:val="00967FF0"/>
    <w:rsid w:val="009713EB"/>
    <w:rsid w:val="009A7C10"/>
    <w:rsid w:val="009B2584"/>
    <w:rsid w:val="009E0943"/>
    <w:rsid w:val="009F45F3"/>
    <w:rsid w:val="00A45026"/>
    <w:rsid w:val="00A56A72"/>
    <w:rsid w:val="00A64781"/>
    <w:rsid w:val="00AC3306"/>
    <w:rsid w:val="00B1731F"/>
    <w:rsid w:val="00B26AA9"/>
    <w:rsid w:val="00B46DC7"/>
    <w:rsid w:val="00B653EF"/>
    <w:rsid w:val="00B73F19"/>
    <w:rsid w:val="00B8656F"/>
    <w:rsid w:val="00BB61BD"/>
    <w:rsid w:val="00BB6AC6"/>
    <w:rsid w:val="00BD189F"/>
    <w:rsid w:val="00C26EA5"/>
    <w:rsid w:val="00C86AA4"/>
    <w:rsid w:val="00C91527"/>
    <w:rsid w:val="00CA2FF2"/>
    <w:rsid w:val="00CB63E6"/>
    <w:rsid w:val="00CD158C"/>
    <w:rsid w:val="00CF7F46"/>
    <w:rsid w:val="00D00745"/>
    <w:rsid w:val="00D07342"/>
    <w:rsid w:val="00D52701"/>
    <w:rsid w:val="00DB21EF"/>
    <w:rsid w:val="00DB3618"/>
    <w:rsid w:val="00DC28E3"/>
    <w:rsid w:val="00DE4495"/>
    <w:rsid w:val="00E214BB"/>
    <w:rsid w:val="00E75373"/>
    <w:rsid w:val="00EB7DA2"/>
    <w:rsid w:val="00F0354D"/>
    <w:rsid w:val="00F07F62"/>
    <w:rsid w:val="00F26D25"/>
    <w:rsid w:val="00F30D3F"/>
    <w:rsid w:val="00F77123"/>
    <w:rsid w:val="00F86185"/>
    <w:rsid w:val="00FA2372"/>
    <w:rsid w:val="00FF0E4A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FAA22"/>
  <w15:docId w15:val="{09C2EB67-C768-49F3-911A-9333ED881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1BEE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0B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0B0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0B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0B04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F46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F46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150</Words>
  <Characters>861</Characters>
  <Application>Microsoft Office Word</Application>
  <DocSecurity>0</DocSecurity>
  <Lines>7</Lines>
  <Paragraphs>2</Paragraphs>
  <ScaleCrop>false</ScaleCrop>
  <Company>Hewlett-Packard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kaiwei</dc:creator>
  <cp:lastModifiedBy>愷瑋 莊</cp:lastModifiedBy>
  <cp:revision>3</cp:revision>
  <dcterms:created xsi:type="dcterms:W3CDTF">2020-08-12T02:00:00Z</dcterms:created>
  <dcterms:modified xsi:type="dcterms:W3CDTF">2020-08-13T19:43:00Z</dcterms:modified>
</cp:coreProperties>
</file>