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C05" w:rsidRDefault="00A91C05" w:rsidP="00A91C05">
      <w:pPr>
        <w:spacing w:before="60" w:after="60"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 w:hint="eastAsia"/>
          <w:b/>
          <w:bCs/>
          <w:color w:val="000000" w:themeColor="text1"/>
          <w:sz w:val="24"/>
          <w:szCs w:val="24"/>
        </w:rPr>
        <w:t>Online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887A5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</w:p>
    <w:p w:rsidR="00A91C05" w:rsidRDefault="00A91C05" w:rsidP="00A91C05">
      <w:pPr>
        <w:spacing w:before="60" w:after="60"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91C05" w:rsidRPr="00887A5E" w:rsidRDefault="00A91C05" w:rsidP="00A91C05">
      <w:pPr>
        <w:spacing w:before="60" w:after="6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Supplementary figureS1. ROC curve for time-to-treatment cut-off valve.  A.</w:t>
      </w:r>
      <w:r w:rsidRPr="00887A5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ROC curve for time-to-treatment cut-off valve in all PJP patients(P=0.0983).  </w:t>
      </w:r>
      <w:r w:rsidRPr="00887A5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B. </w:t>
      </w:r>
      <w:r w:rsidRPr="00887A5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ROC curve for time-to-treatment cut-off valve in PJP patients without 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MDA5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DM</w:t>
      </w:r>
      <w:r w:rsidRPr="00887A5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 Time-to-PJP-treatment cut-off point of 6 days showed 85.7% sensitivity and 63.6% specificity and with the Area Under Curve (AUC) 81.2%. The time of six-day was the optimal cut-off point for timely treatment for PJP (P=0.03). </w:t>
      </w:r>
      <w:r w:rsidRPr="00887A5E"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  <w:t xml:space="preserve">C. </w:t>
      </w:r>
      <w:r w:rsidRPr="00887A5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ROC curve for time-to-treatment cut-off valve in all PJP patients(P&gt;0.999).</w:t>
      </w:r>
    </w:p>
    <w:p w:rsidR="00A91C05" w:rsidRPr="00887A5E" w:rsidRDefault="00A91C05" w:rsidP="00A91C05">
      <w:pPr>
        <w:spacing w:before="60" w:after="6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91C05" w:rsidRPr="00887A5E" w:rsidRDefault="00A91C05" w:rsidP="00A91C05">
      <w:pPr>
        <w:snapToGrid w:val="0"/>
        <w:spacing w:line="480" w:lineRule="auto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  <w:t xml:space="preserve">Supplementary table S1. Comparison of risk factors in anti-MDA5-ab-positive patients. 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PJP occurred in a median time of 2 months and with obvious decrease of CD4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 T cell counts and lymphocytes.</w:t>
      </w:r>
    </w:p>
    <w:p w:rsidR="00A91C05" w:rsidRPr="00887A5E" w:rsidRDefault="00A91C05" w:rsidP="00A91C05">
      <w:pPr>
        <w:snapToGrid w:val="0"/>
        <w:spacing w:line="480" w:lineRule="auto"/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</w:pPr>
    </w:p>
    <w:p w:rsidR="00A91C05" w:rsidRPr="00887A5E" w:rsidRDefault="00A91C05" w:rsidP="00A91C05">
      <w:pPr>
        <w:snapToGrid w:val="0"/>
        <w:spacing w:line="480" w:lineRule="auto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  <w:t xml:space="preserve">Supplementary table S2. Characters of all PJP infected patients in rheumatic disease from a single center.  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Compared to other rheumatic disease, PJP with MDA5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DM were characterized as higher percentage of ILD and PJP occurred earlier during the disease duration.</w:t>
      </w:r>
    </w:p>
    <w:p w:rsidR="00A91C05" w:rsidRPr="00887A5E" w:rsidRDefault="00A91C05" w:rsidP="00A91C05">
      <w:pPr>
        <w:snapToGrid w:val="0"/>
        <w:spacing w:line="480" w:lineRule="auto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</w:p>
    <w:p w:rsidR="00A91C05" w:rsidRPr="00887A5E" w:rsidRDefault="00A91C05" w:rsidP="00A91C05">
      <w:pPr>
        <w:snapToGrid w:val="0"/>
        <w:spacing w:line="480" w:lineRule="auto"/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  <w:t xml:space="preserve">Supplementary table S3. Clinical features of the 30 PJP cases at diagnosis. 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To show more detail of PJP patient in </w:t>
      </w:r>
      <w:r w:rsidRPr="00887A5E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our cohort.</w:t>
      </w:r>
    </w:p>
    <w:p w:rsidR="00A91C05" w:rsidRPr="00887A5E" w:rsidRDefault="00A91C05" w:rsidP="00A91C05">
      <w:pPr>
        <w:snapToGrid w:val="0"/>
        <w:spacing w:line="480" w:lineRule="auto"/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</w:pPr>
    </w:p>
    <w:p w:rsidR="00A91C05" w:rsidRPr="00887A5E" w:rsidRDefault="00A91C05" w:rsidP="00A91C05">
      <w:pPr>
        <w:snapToGrid w:val="0"/>
        <w:spacing w:line="48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  <w:t>Supplementary table S4.</w:t>
      </w:r>
      <w:r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887A5E"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  <w:t>Patient</w:t>
      </w:r>
      <w:r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887A5E"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  <w:t xml:space="preserve"> characteristics and PJP infection rate in MDA5</w:t>
      </w:r>
      <w:r w:rsidRPr="00887A5E"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+</w:t>
      </w:r>
      <w:r w:rsidRPr="00887A5E"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  <w:t>DM and MDA5</w:t>
      </w:r>
      <w:r w:rsidRPr="00887A5E"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-</w:t>
      </w:r>
      <w:r w:rsidRPr="00887A5E"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  <w:t xml:space="preserve"> IIM patients. 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A comparison of MDA5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DM and MDA5- IIM patient to find the unique characteristics of MDA5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DM which may contribute to the PJP infection</w:t>
      </w:r>
      <w:r w:rsidRPr="00887A5E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.</w:t>
      </w:r>
    </w:p>
    <w:p w:rsidR="00A91C05" w:rsidRDefault="00A91C05" w:rsidP="00A91C05">
      <w:pPr>
        <w:widowControl/>
        <w:spacing w:line="480" w:lineRule="auto"/>
        <w:jc w:val="left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br w:type="page"/>
      </w:r>
    </w:p>
    <w:p w:rsidR="00A91C05" w:rsidRPr="00A04D1B" w:rsidRDefault="00A91C05" w:rsidP="00A91C05">
      <w:pPr>
        <w:spacing w:before="60" w:after="60" w:line="312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:rsidR="00A91C05" w:rsidRPr="00887A5E" w:rsidRDefault="00A91C05" w:rsidP="00A91C05">
      <w:pPr>
        <w:spacing w:before="60" w:after="60" w:line="312" w:lineRule="auto"/>
        <w:rPr>
          <w:rFonts w:ascii="SimSun" w:eastAsia="SimSun" w:hAnsi="SimSun"/>
          <w:color w:val="000000" w:themeColor="text1"/>
          <w:szCs w:val="21"/>
        </w:rPr>
      </w:pPr>
      <w:r w:rsidRPr="00887A5E">
        <w:rPr>
          <w:noProof/>
          <w:color w:val="000000" w:themeColor="text1"/>
          <w:lang w:eastAsia="en-US"/>
        </w:rPr>
        <w:drawing>
          <wp:inline distT="0" distB="0" distL="0" distR="0" wp14:anchorId="1E6D2B31" wp14:editId="5D1EB24B">
            <wp:extent cx="5396346" cy="1951676"/>
            <wp:effectExtent l="0" t="0" r="1270" b="4445"/>
            <wp:docPr id="4" name="图片 4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, 折线图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6528" cy="2005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C05" w:rsidRPr="00887A5E" w:rsidRDefault="00A91C05" w:rsidP="00A91C05">
      <w:pPr>
        <w:spacing w:before="60" w:after="60" w:line="312" w:lineRule="auto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  <w:r w:rsidRPr="00887A5E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Supplementary figureS1.ROC curve for time-to-treatment cut-off valve</w:t>
      </w: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Microsoft YaHei" w:eastAsia="Microsoft YaHei" w:hAnsi="Microsoft YaHei"/>
          <w:color w:val="000000" w:themeColor="text1"/>
          <w:sz w:val="22"/>
        </w:rPr>
      </w:pPr>
    </w:p>
    <w:p w:rsidR="00A91C05" w:rsidRPr="00887A5E" w:rsidRDefault="00A91C05" w:rsidP="00A91C05">
      <w:pPr>
        <w:widowControl/>
        <w:jc w:val="left"/>
        <w:rPr>
          <w:rFonts w:ascii="Microsoft YaHei" w:eastAsia="Microsoft YaHei" w:hAnsi="Microsoft YaHei"/>
          <w:color w:val="000000" w:themeColor="text1"/>
          <w:sz w:val="22"/>
        </w:rPr>
      </w:pPr>
      <w:r w:rsidRPr="00887A5E">
        <w:rPr>
          <w:rFonts w:ascii="Microsoft YaHei" w:eastAsia="Microsoft YaHei" w:hAnsi="Microsoft YaHei"/>
          <w:color w:val="000000" w:themeColor="text1"/>
          <w:sz w:val="22"/>
        </w:rPr>
        <w:br w:type="page"/>
      </w:r>
    </w:p>
    <w:p w:rsidR="00A91C05" w:rsidRPr="00887A5E" w:rsidRDefault="00A91C05" w:rsidP="00A91C05">
      <w:pPr>
        <w:snapToGrid w:val="0"/>
        <w:ind w:leftChars="67" w:left="141"/>
        <w:jc w:val="left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lastRenderedPageBreak/>
        <w:t>Supplementary table S1 Comparison of risk factors in MDA5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DM patients</w:t>
      </w:r>
    </w:p>
    <w:tbl>
      <w:tblPr>
        <w:tblpPr w:leftFromText="180" w:rightFromText="180" w:vertAnchor="text" w:horzAnchor="margin" w:tblpY="113"/>
        <w:tblW w:w="8931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1350"/>
        <w:gridCol w:w="1890"/>
        <w:gridCol w:w="1011"/>
      </w:tblGrid>
      <w:tr w:rsidR="00A91C05" w:rsidRPr="00887A5E" w:rsidTr="00DC7E20">
        <w:trPr>
          <w:trHeight w:val="320"/>
        </w:trPr>
        <w:tc>
          <w:tcPr>
            <w:tcW w:w="4680" w:type="dxa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PJP</w:t>
            </w:r>
          </w:p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(n=12)</w:t>
            </w:r>
          </w:p>
        </w:tc>
        <w:tc>
          <w:tcPr>
            <w:tcW w:w="1890" w:type="dxa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Non-PJP</w:t>
            </w:r>
          </w:p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(n=148)</w:t>
            </w:r>
          </w:p>
        </w:tc>
        <w:tc>
          <w:tcPr>
            <w:tcW w:w="1011" w:type="dxa"/>
            <w:tcBorders>
              <w:bottom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</w:tr>
      <w:tr w:rsidR="00A91C05" w:rsidRPr="00887A5E" w:rsidTr="00DC7E20">
        <w:trPr>
          <w:trHeight w:val="388"/>
        </w:trPr>
        <w:tc>
          <w:tcPr>
            <w:tcW w:w="4680" w:type="dxa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male gender, n(%)</w:t>
            </w:r>
          </w:p>
        </w:tc>
        <w:tc>
          <w:tcPr>
            <w:tcW w:w="1350" w:type="dxa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5(41.7%)</w:t>
            </w:r>
          </w:p>
        </w:tc>
        <w:tc>
          <w:tcPr>
            <w:tcW w:w="1890" w:type="dxa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44(29.7%)</w:t>
            </w:r>
          </w:p>
        </w:tc>
        <w:tc>
          <w:tcPr>
            <w:tcW w:w="1011" w:type="dxa"/>
            <w:tcBorders>
              <w:top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0.388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onset ages, mean ± SD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52±10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52±13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0.830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assess age, mean ± SD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53±10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53±12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0.988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Disease duration, month, median 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4.5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0.022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ILD,n(%)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12(100%)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138(93.2%)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1.000 </w:t>
            </w:r>
          </w:p>
        </w:tc>
      </w:tr>
      <w:tr w:rsidR="00A91C05" w:rsidRPr="00887A5E" w:rsidTr="00DC7E20">
        <w:trPr>
          <w:trHeight w:val="320"/>
        </w:trPr>
        <w:tc>
          <w:tcPr>
            <w:tcW w:w="6030" w:type="dxa"/>
            <w:gridSpan w:val="2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Medications three month before PCP infection, n (%)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ind w:leftChars="149" w:left="313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Corticosteroid. 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(≥20mg pred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≥1month)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9(75.0%)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88(59.5%)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0.368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ind w:leftChars="149" w:left="313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Cyclophosphamide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1(8.3%)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17(11.5%)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1.000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ind w:leftChars="149" w:left="313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Methotrexate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0(0%)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43(9.6%)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0.630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ind w:leftChars="149" w:left="313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Azathioprine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0(0%)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4(2.7%)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1.000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ind w:leftChars="149" w:left="313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Cyclosporine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31(20.9%)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5(41.7%)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0.143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ind w:leftChars="149" w:left="313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Tacrolimus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27(18.4%)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4(33.3%)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0.250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ind w:leftChars="149" w:left="313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Mycophenolate Mofetil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1(8.3%)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13(8.8%)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1.000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ind w:leftChars="149" w:left="313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hydroxychloroquine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3(25.0%)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33(22.3%)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0.733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ind w:leftChars="149" w:left="313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Biologics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1(8.3%)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9(6.1%)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0.552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ind w:leftChars="149" w:left="313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Others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1(8.3%)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33(22.3%)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0.463 </w:t>
            </w:r>
          </w:p>
        </w:tc>
      </w:tr>
      <w:tr w:rsidR="00A91C05" w:rsidRPr="00887A5E" w:rsidTr="00DC7E20">
        <w:trPr>
          <w:trHeight w:val="147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Diabetes, n (%)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4(33.3%)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31(21.1%)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0.300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ESR, mm/h, median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34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29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0.588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CK, U/L, median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26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30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0.845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LDH, U/L, median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464.5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304.5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0.008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Ferritin, ug/ml,median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1120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808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0.138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Pre-albumin, g/L,median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220.5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207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0.271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Albumin, mg/L,median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29.9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31.4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0.153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CD4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T cell counts 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at admission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cells/uL,median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113.4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253.85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0.007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Lymphocyte counts 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at admission x10^9/L,median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0.695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0.720 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0.127 </w:t>
            </w:r>
          </w:p>
        </w:tc>
      </w:tr>
      <w:tr w:rsidR="00A91C05" w:rsidRPr="00887A5E" w:rsidTr="00DC7E20">
        <w:trPr>
          <w:trHeight w:val="320"/>
        </w:trPr>
        <w:tc>
          <w:tcPr>
            <w:tcW w:w="468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The lowest lymphocyte count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x1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0^9/L,median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during hospitalization</w:t>
            </w: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0.450 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0.610 </w:t>
            </w:r>
          </w:p>
        </w:tc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A91C05" w:rsidRPr="00887A5E" w:rsidRDefault="00A91C05" w:rsidP="00DC7E2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87A5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0.014 </w:t>
            </w:r>
          </w:p>
        </w:tc>
      </w:tr>
    </w:tbl>
    <w:p w:rsidR="00A91C05" w:rsidRPr="00887A5E" w:rsidRDefault="00A91C05" w:rsidP="00A91C05">
      <w:pPr>
        <w:widowControl/>
        <w:jc w:val="left"/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</w:pPr>
    </w:p>
    <w:p w:rsidR="00A91C05" w:rsidRPr="00887A5E" w:rsidRDefault="00A91C05" w:rsidP="00A91C05">
      <w:pPr>
        <w:snapToGrid w:val="0"/>
        <w:ind w:left="-161"/>
        <w:jc w:val="left"/>
        <w:rPr>
          <w:rFonts w:ascii="Times New Roman" w:eastAsia="Times New Roman,serif" w:hAnsi="Times New Roman" w:cs="Times New Roman"/>
          <w:b/>
          <w:bCs/>
          <w:color w:val="000000" w:themeColor="text1"/>
          <w:sz w:val="24"/>
          <w:szCs w:val="24"/>
        </w:rPr>
      </w:pPr>
      <w:r w:rsidRPr="00887A5E"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  <w:t xml:space="preserve"> </w:t>
      </w:r>
    </w:p>
    <w:p w:rsidR="00A91C05" w:rsidRPr="00887A5E" w:rsidRDefault="00A91C05" w:rsidP="00A91C05">
      <w:pPr>
        <w:snapToGrid w:val="0"/>
        <w:jc w:val="left"/>
        <w:rPr>
          <w:rFonts w:ascii="Times New Roman" w:eastAsia="Microsoft YaHei" w:hAnsi="Times New Roman" w:cs="Times New Roman"/>
          <w:b/>
          <w:bCs/>
          <w:color w:val="000000" w:themeColor="text1"/>
          <w:sz w:val="24"/>
          <w:szCs w:val="24"/>
        </w:rPr>
      </w:pPr>
    </w:p>
    <w:p w:rsidR="00A91C05" w:rsidRPr="00887A5E" w:rsidRDefault="00A91C05" w:rsidP="00A91C05">
      <w:pPr>
        <w:snapToGrid w:val="0"/>
        <w:jc w:val="left"/>
        <w:rPr>
          <w:rFonts w:ascii="Times New Roman" w:eastAsia="Microsoft YaHei" w:hAnsi="Times New Roman" w:cs="Times New Roman"/>
          <w:b/>
          <w:bCs/>
          <w:color w:val="000000" w:themeColor="text1"/>
          <w:sz w:val="24"/>
          <w:szCs w:val="24"/>
        </w:rPr>
      </w:pPr>
    </w:p>
    <w:p w:rsidR="00A91C05" w:rsidRPr="00887A5E" w:rsidRDefault="00A91C05" w:rsidP="00A91C05">
      <w:pPr>
        <w:snapToGrid w:val="0"/>
        <w:jc w:val="left"/>
        <w:rPr>
          <w:rFonts w:ascii="Times New Roman" w:eastAsia="Microsoft YaHei" w:hAnsi="Times New Roman" w:cs="Times New Roman"/>
          <w:b/>
          <w:bCs/>
          <w:color w:val="000000" w:themeColor="text1"/>
          <w:sz w:val="24"/>
          <w:szCs w:val="24"/>
        </w:rPr>
      </w:pPr>
    </w:p>
    <w:p w:rsidR="00A91C05" w:rsidRDefault="00A91C05" w:rsidP="00A91C05">
      <w:pPr>
        <w:widowControl/>
        <w:jc w:val="left"/>
        <w:rPr>
          <w:rFonts w:ascii="Times New Roman" w:eastAsia="Microsoft YaHei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Microsoft YaHei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:rsidR="00A91C05" w:rsidRPr="00887A5E" w:rsidRDefault="00A91C05" w:rsidP="00A91C05">
      <w:pPr>
        <w:snapToGrid w:val="0"/>
        <w:jc w:val="left"/>
        <w:rPr>
          <w:rFonts w:ascii="Times New Roman" w:eastAsia="Microsoft YaHei" w:hAnsi="Times New Roman" w:cs="Times New Roman"/>
          <w:b/>
          <w:bCs/>
          <w:color w:val="000000" w:themeColor="text1"/>
          <w:sz w:val="24"/>
          <w:szCs w:val="24"/>
        </w:rPr>
      </w:pPr>
    </w:p>
    <w:p w:rsidR="00A91C05" w:rsidRPr="00887A5E" w:rsidRDefault="00A91C05" w:rsidP="00A91C05">
      <w:pPr>
        <w:snapToGrid w:val="0"/>
        <w:ind w:left="154" w:hangingChars="64" w:hanging="154"/>
        <w:jc w:val="left"/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Supplementary table S2 Characters of all PJP infected patients in rheumatic disease </w:t>
      </w:r>
    </w:p>
    <w:tbl>
      <w:tblPr>
        <w:tblW w:w="8780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270"/>
        <w:gridCol w:w="3105"/>
        <w:gridCol w:w="2220"/>
        <w:gridCol w:w="1965"/>
        <w:gridCol w:w="810"/>
        <w:gridCol w:w="72"/>
        <w:gridCol w:w="68"/>
      </w:tblGrid>
      <w:tr w:rsidR="00A91C05" w:rsidRPr="00887A5E" w:rsidTr="00DC7E20">
        <w:trPr>
          <w:trHeight w:val="480"/>
        </w:trPr>
        <w:tc>
          <w:tcPr>
            <w:tcW w:w="3645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DM  （n=12）</w:t>
            </w:r>
          </w:p>
        </w:tc>
        <w:tc>
          <w:tcPr>
            <w:tcW w:w="19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others*</w:t>
            </w:r>
          </w:p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（n=18）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value</w:t>
            </w:r>
          </w:p>
        </w:tc>
        <w:tc>
          <w:tcPr>
            <w:tcW w:w="14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 gender，n(%)</w:t>
            </w:r>
          </w:p>
        </w:tc>
        <w:tc>
          <w:tcPr>
            <w:tcW w:w="2220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6(50%)</w:t>
            </w:r>
          </w:p>
        </w:tc>
        <w:tc>
          <w:tcPr>
            <w:tcW w:w="1965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3(16.7%)</w:t>
            </w:r>
          </w:p>
        </w:tc>
        <w:tc>
          <w:tcPr>
            <w:tcW w:w="810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0.102</w:t>
            </w:r>
          </w:p>
        </w:tc>
        <w:tc>
          <w:tcPr>
            <w:tcW w:w="140" w:type="dxa"/>
            <w:gridSpan w:val="2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onset ages, mean ± SD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52±11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52±20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0.977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assess age, mean ± SD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52±11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54±18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0.715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40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Disease duration, month, median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0.018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PCP infection to induction therapy，month,median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1.25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cough,n(%)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10(83.3%)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12(66.7%)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0.419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120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shortness of breath,n(%)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12(100%)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16(88.9%)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0.503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ILD,n(%)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11(91.7%)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8(44.4%)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0.018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(1→3)-β-D-glucan, pg/Ml,median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125.25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147.30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0.363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LDH,U/L,median 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361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521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0.356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CD4</w:t>
            </w: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Tcell count,cells/uL,median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139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111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0.672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lymphocyte count, x10^9/L,median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0.433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HRCT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gridAfter w:val="1"/>
          <w:wAfter w:w="68" w:type="dxa"/>
          <w:trHeight w:val="225"/>
        </w:trPr>
        <w:tc>
          <w:tcPr>
            <w:tcW w:w="27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375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diffuse ground-glass opacity,n(%)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10(83.3%)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13(72.2%)</w:t>
            </w:r>
          </w:p>
        </w:tc>
        <w:tc>
          <w:tcPr>
            <w:tcW w:w="882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0.699</w:t>
            </w:r>
          </w:p>
        </w:tc>
      </w:tr>
      <w:tr w:rsidR="00A91C05" w:rsidRPr="00887A5E" w:rsidTr="00DC7E20">
        <w:trPr>
          <w:gridAfter w:val="1"/>
          <w:wAfter w:w="68" w:type="dxa"/>
          <w:trHeight w:val="225"/>
        </w:trPr>
        <w:tc>
          <w:tcPr>
            <w:tcW w:w="27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375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diffuse infiltration,n(%)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10(83.3%)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15(83.3%)</w:t>
            </w:r>
          </w:p>
        </w:tc>
        <w:tc>
          <w:tcPr>
            <w:tcW w:w="882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etiology evidence,n(%)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10(83.3%)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10(55.6%)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0.235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70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Medications, n (%)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5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10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Corticosteroid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10(83.3%)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13(72.2%)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0.699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85"/>
        </w:trPr>
        <w:tc>
          <w:tcPr>
            <w:tcW w:w="5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10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hydroxychloroquine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10(83.3%)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15(83.3%)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0.210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5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10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immunosuppressant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5(41.7%)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3(16.7%)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0.235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5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10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 immunosuppressant 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5(41.7%)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10(55.6%)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0.456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70"/>
        </w:trPr>
        <w:tc>
          <w:tcPr>
            <w:tcW w:w="5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10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 immunosuppressant 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1(8.3%)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4(22.6%)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0.317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5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10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≥3immunosuppressant 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1(8.3%)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1(5.6%)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5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10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biological agents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0(0%)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2(11.1%)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0.503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225"/>
        </w:trPr>
        <w:tc>
          <w:tcPr>
            <w:tcW w:w="3645" w:type="dxa"/>
            <w:gridSpan w:val="3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tality,n (%)</w:t>
            </w: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10(83.3%)</w:t>
            </w: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7(38.9%)</w:t>
            </w: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0.016</w:t>
            </w: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91C05" w:rsidRPr="00887A5E" w:rsidTr="00DC7E20">
        <w:trPr>
          <w:trHeight w:val="15"/>
        </w:trPr>
        <w:tc>
          <w:tcPr>
            <w:tcW w:w="27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65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  <w:t xml:space="preserve"> </w:t>
      </w:r>
    </w:p>
    <w:p w:rsidR="00A91C05" w:rsidRPr="00887A5E" w:rsidRDefault="00A91C05" w:rsidP="00A91C05">
      <w:pPr>
        <w:snapToGrid w:val="0"/>
        <w:spacing w:before="60" w:after="60" w:line="312" w:lineRule="auto"/>
        <w:jc w:val="left"/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</w:pPr>
    </w:p>
    <w:p w:rsidR="00A91C05" w:rsidRPr="00887A5E" w:rsidRDefault="00A91C05" w:rsidP="00A91C05">
      <w:pPr>
        <w:widowControl/>
        <w:jc w:val="left"/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  <w:br w:type="page"/>
      </w:r>
    </w:p>
    <w:p w:rsidR="00A91C05" w:rsidRPr="00887A5E" w:rsidRDefault="00A91C05" w:rsidP="00A91C05">
      <w:pPr>
        <w:snapToGrid w:val="0"/>
        <w:jc w:val="left"/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lastRenderedPageBreak/>
        <w:t>Supplementary table S3. Clinical features of the 30 PJP cases at diagnosis</w:t>
      </w:r>
    </w:p>
    <w:tbl>
      <w:tblPr>
        <w:tblpPr w:leftFromText="180" w:rightFromText="180" w:vertAnchor="text" w:horzAnchor="margin" w:tblpXSpec="center" w:tblpY="46"/>
        <w:tblW w:w="11394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4"/>
        <w:gridCol w:w="916"/>
        <w:gridCol w:w="540"/>
        <w:gridCol w:w="990"/>
        <w:gridCol w:w="1620"/>
        <w:gridCol w:w="1007"/>
        <w:gridCol w:w="1878"/>
        <w:gridCol w:w="88"/>
        <w:gridCol w:w="1553"/>
        <w:gridCol w:w="1144"/>
        <w:gridCol w:w="954"/>
      </w:tblGrid>
      <w:tr w:rsidR="00A91C05" w:rsidRPr="00887A5E" w:rsidTr="00DC7E20">
        <w:trPr>
          <w:trHeight w:val="484"/>
        </w:trPr>
        <w:tc>
          <w:tcPr>
            <w:tcW w:w="7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Case</w:t>
            </w:r>
          </w:p>
        </w:tc>
        <w:tc>
          <w:tcPr>
            <w:tcW w:w="9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Gender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Duration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Underlying disease#</w:t>
            </w:r>
          </w:p>
        </w:tc>
        <w:tc>
          <w:tcPr>
            <w:tcW w:w="10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Steroid dose mg</w:t>
            </w:r>
          </w:p>
        </w:tc>
        <w:tc>
          <w:tcPr>
            <w:tcW w:w="18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immunosuppressants </w:t>
            </w:r>
          </w:p>
        </w:tc>
        <w:tc>
          <w:tcPr>
            <w:tcW w:w="164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CD4</w:t>
            </w: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 cell counts cells/uL</w:t>
            </w:r>
          </w:p>
        </w:tc>
        <w:tc>
          <w:tcPr>
            <w:tcW w:w="114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Lymphocyte count *10^9/L</w:t>
            </w:r>
          </w:p>
        </w:tc>
        <w:tc>
          <w:tcPr>
            <w:tcW w:w="95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Hospital death</w:t>
            </w:r>
          </w:p>
        </w:tc>
      </w:tr>
      <w:tr w:rsidR="00A91C05" w:rsidRPr="00887A5E" w:rsidTr="00DC7E20">
        <w:trPr>
          <w:trHeight w:val="79"/>
        </w:trPr>
        <w:tc>
          <w:tcPr>
            <w:tcW w:w="704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16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990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007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78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HCQ,CsA,Thd</w:t>
            </w:r>
          </w:p>
        </w:tc>
        <w:tc>
          <w:tcPr>
            <w:tcW w:w="1641" w:type="dxa"/>
            <w:gridSpan w:val="2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189.54 </w:t>
            </w:r>
          </w:p>
        </w:tc>
        <w:tc>
          <w:tcPr>
            <w:tcW w:w="1144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0.26 </w:t>
            </w:r>
          </w:p>
        </w:tc>
        <w:tc>
          <w:tcPr>
            <w:tcW w:w="954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130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887A5E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anti-TIFIΥ-ab+PM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18.72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0.12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416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None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261.80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0.85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Tac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185.60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0.58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33.84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0.12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None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463.31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1.07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91C05" w:rsidRPr="00887A5E" w:rsidTr="00DC7E20">
        <w:trPr>
          <w:trHeight w:val="85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SLE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HCQ,MMF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105.27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1.21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CsA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113.80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0.64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9*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AOSD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HCQ,RTX,Tac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157.59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0.51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Tac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51.90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0.15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44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AAV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HCQ,Thd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96.30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0.30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4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12*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SLE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96.75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2.25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AAV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CTX,RTX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249.00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0.50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pSS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HCQ,MTX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198.72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0.96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15*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AOSD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HCQ,CsA,Thd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117.04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0.56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SLE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HCQ,MMF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121.27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0.67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91C05" w:rsidRPr="00887A5E" w:rsidTr="00DC7E20">
        <w:trPr>
          <w:trHeight w:val="89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None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85.80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0.44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18*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UCTD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MMF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91.84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0.41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132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SLE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HCQ,MMF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137.35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0.67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156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SLE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HCQ,MMF,LEF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29.61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0.09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30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21*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CTX,HCQ,AZA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102.00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0.34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22*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None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340.99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0.61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23*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pSS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CTX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103.23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0.37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4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24*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87A5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anti-Jo-1 ab+DM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228.81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0.87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91C05" w:rsidRPr="00887A5E" w:rsidTr="00DC7E20">
        <w:trPr>
          <w:trHeight w:val="156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25*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SLE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CTX,Tac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99.12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0.42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26*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SLE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500</w:t>
            </w:r>
          </w:p>
        </w:tc>
        <w:tc>
          <w:tcPr>
            <w:tcW w:w="1878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CsA</w:t>
            </w:r>
          </w:p>
        </w:tc>
        <w:tc>
          <w:tcPr>
            <w:tcW w:w="1641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46.41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0.39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966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CsA</w:t>
            </w:r>
          </w:p>
        </w:tc>
        <w:tc>
          <w:tcPr>
            <w:tcW w:w="155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165.30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0.57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966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MTX,LEF</w:t>
            </w:r>
          </w:p>
        </w:tc>
        <w:tc>
          <w:tcPr>
            <w:tcW w:w="155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362.23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0.89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91C05" w:rsidRPr="00887A5E" w:rsidTr="00DC7E20">
        <w:trPr>
          <w:trHeight w:val="267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UCTD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966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HCQ,Tac</w:t>
            </w:r>
          </w:p>
        </w:tc>
        <w:tc>
          <w:tcPr>
            <w:tcW w:w="155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158.40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0.40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91C05" w:rsidRPr="00887A5E" w:rsidTr="00DC7E20">
        <w:trPr>
          <w:trHeight w:val="282"/>
        </w:trPr>
        <w:tc>
          <w:tcPr>
            <w:tcW w:w="70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916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54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2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00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966" w:type="dxa"/>
            <w:gridSpan w:val="2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CTX,HCQ,MMF</w:t>
            </w:r>
          </w:p>
        </w:tc>
        <w:tc>
          <w:tcPr>
            <w:tcW w:w="155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1.96 </w:t>
            </w:r>
          </w:p>
        </w:tc>
        <w:tc>
          <w:tcPr>
            <w:tcW w:w="114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0.02 </w:t>
            </w:r>
          </w:p>
        </w:tc>
        <w:tc>
          <w:tcPr>
            <w:tcW w:w="954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</w:tbl>
    <w:p w:rsidR="00A91C05" w:rsidRPr="00887A5E" w:rsidRDefault="00A91C05" w:rsidP="00A91C05">
      <w:pPr>
        <w:snapToGrid w:val="0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*Probable case, others are etiology confirmed case</w:t>
      </w:r>
    </w:p>
    <w:p w:rsidR="00A91C05" w:rsidRPr="00887A5E" w:rsidRDefault="00A91C05" w:rsidP="00A91C05">
      <w:pPr>
        <w:snapToGrid w:val="0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 # MDA5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DM: Anti-MDA5-ab positive DM; </w:t>
      </w:r>
    </w:p>
    <w:p w:rsidR="00A91C05" w:rsidRPr="00887A5E" w:rsidRDefault="00A91C05" w:rsidP="00A91C05">
      <w:pPr>
        <w:snapToGrid w:val="0"/>
        <w:ind w:firstLineChars="50" w:firstLine="120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DM: dermatomyositis; </w:t>
      </w:r>
    </w:p>
    <w:p w:rsidR="00A91C05" w:rsidRPr="00887A5E" w:rsidRDefault="00A91C05" w:rsidP="00A91C05">
      <w:pPr>
        <w:snapToGrid w:val="0"/>
        <w:ind w:firstLineChars="50" w:firstLine="120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PM: polymyositis; 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lastRenderedPageBreak/>
        <w:t>AAV:ANCA associated vasculitis;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SLE: Systemic lupus erythematosus; 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AOSD:Adult onset Still’s disease;  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pSS:Primary Sjogren's syndrome; 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UCTD:Undifferentiated connective tissue disease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HCQ:hydroxychloroquine; 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CsA:Cyclosporine</w:t>
      </w:r>
      <w:r w:rsidRPr="00887A5E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；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Thd</w:t>
      </w:r>
      <w:r>
        <w:rPr>
          <w:rFonts w:ascii="Times New Roman" w:eastAsia="SimSun" w:hAnsi="Times New Roman" w:cs="Times New Roman" w:hint="eastAsia"/>
          <w:color w:val="000000" w:themeColor="text1"/>
          <w:sz w:val="24"/>
          <w:szCs w:val="24"/>
        </w:rPr>
        <w:t>: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Thalidomide</w:t>
      </w:r>
      <w:r w:rsidRPr="00887A5E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；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Tac:Tacrolimus;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MMF:Mycophenolate Mofetil;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RTX:Rituximab; 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AZA:Azathioprine; 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MTX:Methotrexate; </w:t>
      </w:r>
    </w:p>
    <w:p w:rsidR="00A91C05" w:rsidRPr="00887A5E" w:rsidRDefault="00A91C05" w:rsidP="00A91C05">
      <w:pPr>
        <w:snapToGrid w:val="0"/>
        <w:ind w:leftChars="67" w:left="142" w:hanging="1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 xml:space="preserve">LEF:Leflunomide; </w:t>
      </w:r>
    </w:p>
    <w:p w:rsidR="00A91C05" w:rsidRPr="00887A5E" w:rsidRDefault="00A91C05" w:rsidP="00A91C05">
      <w:pPr>
        <w:widowControl/>
        <w:jc w:val="left"/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</w:pP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br w:type="page"/>
      </w:r>
    </w:p>
    <w:p w:rsidR="00A91C05" w:rsidRPr="00887A5E" w:rsidRDefault="00A91C05" w:rsidP="00A91C05">
      <w:pPr>
        <w:snapToGrid w:val="0"/>
        <w:jc w:val="left"/>
        <w:rPr>
          <w:rFonts w:ascii="Microsoft YaHei" w:eastAsia="Microsoft YaHei" w:hAnsi="Microsoft YaHei"/>
          <w:color w:val="000000" w:themeColor="text1"/>
          <w:sz w:val="22"/>
        </w:rPr>
      </w:pPr>
      <w:r w:rsidRPr="00887A5E">
        <w:rPr>
          <w:rFonts w:ascii="Times New Roman,serif" w:eastAsia="Times New Roman,serif" w:hAnsi="Times New Roman,serif"/>
          <w:color w:val="000000" w:themeColor="text1"/>
          <w:sz w:val="24"/>
          <w:szCs w:val="24"/>
        </w:rPr>
        <w:lastRenderedPageBreak/>
        <w:t xml:space="preserve">Supplementary table S4 Patient characteristics and PCP infection rate in 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MDA5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887A5E">
        <w:rPr>
          <w:rFonts w:ascii="Times New Roman" w:eastAsia="Times New Roman,serif" w:hAnsi="Times New Roman" w:cs="Times New Roman"/>
          <w:color w:val="000000" w:themeColor="text1"/>
          <w:sz w:val="24"/>
          <w:szCs w:val="24"/>
        </w:rPr>
        <w:t>DM</w:t>
      </w:r>
      <w:r w:rsidRPr="00887A5E">
        <w:rPr>
          <w:rFonts w:ascii="Times New Roman,serif" w:eastAsia="Times New Roman,serif" w:hAnsi="Times New Roman,serif"/>
          <w:color w:val="000000" w:themeColor="text1"/>
          <w:sz w:val="24"/>
          <w:szCs w:val="24"/>
        </w:rPr>
        <w:t xml:space="preserve"> and MDA5- IIM patients</w:t>
      </w:r>
    </w:p>
    <w:tbl>
      <w:tblPr>
        <w:tblW w:w="8730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0"/>
        <w:gridCol w:w="1417"/>
        <w:gridCol w:w="1943"/>
        <w:gridCol w:w="990"/>
      </w:tblGrid>
      <w:tr w:rsidR="00A91C05" w:rsidRPr="00887A5E" w:rsidTr="00DC7E20">
        <w:trPr>
          <w:trHeight w:val="268"/>
        </w:trPr>
        <w:tc>
          <w:tcPr>
            <w:tcW w:w="43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vertAlign w:val="superscript"/>
              </w:rPr>
              <w:t>+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</w:rPr>
              <w:t>DM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 xml:space="preserve"> (n=160)</w:t>
            </w:r>
          </w:p>
        </w:tc>
        <w:tc>
          <w:tcPr>
            <w:tcW w:w="19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eastAsia="Times New Roman,serif" w:hAnsi="Times New Roman" w:cs="Times New Roman"/>
                <w:color w:val="000000" w:themeColor="text1"/>
              </w:rPr>
              <w:t>MDA5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  <w:vertAlign w:val="superscript"/>
              </w:rPr>
              <w:t>-</w:t>
            </w:r>
            <w:r w:rsidRPr="00887A5E">
              <w:rPr>
                <w:rFonts w:ascii="Times New Roman" w:eastAsia="Times New Roman,serif" w:hAnsi="Times New Roman" w:cs="Times New Roman"/>
                <w:color w:val="000000" w:themeColor="text1"/>
              </w:rPr>
              <w:t>IIM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 xml:space="preserve"> (n=303)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P value</w:t>
            </w:r>
          </w:p>
        </w:tc>
      </w:tr>
      <w:tr w:rsidR="00A91C05" w:rsidRPr="00887A5E" w:rsidTr="00DC7E20">
        <w:trPr>
          <w:trHeight w:val="329"/>
        </w:trPr>
        <w:tc>
          <w:tcPr>
            <w:tcW w:w="4380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male gender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>，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>n(%)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49(30.6%)</w:t>
            </w:r>
          </w:p>
        </w:tc>
        <w:tc>
          <w:tcPr>
            <w:tcW w:w="1943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91(30.4%)</w:t>
            </w:r>
          </w:p>
        </w:tc>
        <w:tc>
          <w:tcPr>
            <w:tcW w:w="990" w:type="dxa"/>
            <w:tcBorders>
              <w:top w:val="single" w:sz="12" w:space="0" w:color="auto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0.954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onset ages, mean ± SD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52±10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51±14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0.372</w:t>
            </w:r>
          </w:p>
        </w:tc>
      </w:tr>
      <w:tr w:rsidR="00A91C05" w:rsidRPr="00887A5E" w:rsidTr="00DC7E20">
        <w:trPr>
          <w:trHeight w:val="268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assess age, mean ± SD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53±10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53±13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0.689</w:t>
            </w:r>
          </w:p>
        </w:tc>
      </w:tr>
      <w:tr w:rsidR="00A91C05" w:rsidRPr="00887A5E" w:rsidTr="00DC7E20">
        <w:trPr>
          <w:trHeight w:val="261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Disease duration, month,median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9.5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ILD(%)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150(93.8%)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179(59.1%)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</w:tr>
      <w:tr w:rsidR="00A91C05" w:rsidRPr="00887A5E" w:rsidTr="00DC7E20">
        <w:trPr>
          <w:trHeight w:val="202"/>
        </w:trPr>
        <w:tc>
          <w:tcPr>
            <w:tcW w:w="8730" w:type="dxa"/>
            <w:gridSpan w:val="4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Medications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>，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>n (%) (three month before PCP infection)</w:t>
            </w:r>
          </w:p>
        </w:tc>
      </w:tr>
      <w:tr w:rsidR="00A91C05" w:rsidRPr="00887A5E" w:rsidTr="00DC7E20">
        <w:trPr>
          <w:trHeight w:val="156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Corticosteroid(n, %) (≥20mg pred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>，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 xml:space="preserve">≥1month) 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97(60.6%)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139(45.9%)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0.003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Cyclophosphamide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18(11.3%))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22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>（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>7.3%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>）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0.146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Methotrexate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4(2.5%)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39(12.9%)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Azathioprine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6(3.8%)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29(9.6%)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0.024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Cyclosporine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36(22.5%)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42(13.9%)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0.018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Tacrolimus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31(19.4%)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28(9.2%)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Mycophenolate mofetil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14(8.8%)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15(5.0%)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0.109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hydroxychloroquine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36(22.5%)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73(24.1%)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0.701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Biologics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10(6.3%)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7(2.31%)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0.032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others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34(21.3%)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50(16.5%)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0.027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Diabetes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35(22%)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32(10.6%)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ESR, mm/h, median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CK, U/L, median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30.0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163.5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LDH, U/L, median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309.0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338.5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0.440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Ferritin, ug/ml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>，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>median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818.7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230.6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Pre-albumin, g/L,median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208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215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0.482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Albumin, mg/L,median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31.3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33.6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CD4</w:t>
            </w:r>
            <w:r w:rsidRPr="00887A5E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+</w:t>
            </w:r>
            <w:r w:rsidRPr="00887A5E">
              <w:rPr>
                <w:rFonts w:ascii="Times New Roman" w:hAnsi="Times New Roman" w:cs="Times New Roman"/>
                <w:color w:val="000000" w:themeColor="text1"/>
              </w:rPr>
              <w:t xml:space="preserve"> T cell counts at admission cells/uL,median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249.6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427.8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Lymphocyte counts at admission x10^9/L,median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0.72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1.02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</w:tr>
      <w:tr w:rsidR="00A91C05" w:rsidRPr="00887A5E" w:rsidTr="00DC7E20">
        <w:trPr>
          <w:trHeight w:val="314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2038C6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2038C6">
              <w:rPr>
                <w:rFonts w:ascii="Times New Roman" w:hAnsi="Times New Roman" w:cs="Times New Roman"/>
                <w:color w:val="000000" w:themeColor="text1"/>
              </w:rPr>
              <w:t>The lowest lymphocyte count</w:t>
            </w:r>
          </w:p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x10^9/L,median(during hospitalization</w:t>
            </w:r>
            <w:r w:rsidRPr="00887A5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0.000</w:t>
            </w:r>
          </w:p>
        </w:tc>
      </w:tr>
      <w:tr w:rsidR="00A91C05" w:rsidRPr="00887A5E" w:rsidTr="00DC7E20">
        <w:trPr>
          <w:trHeight w:val="27"/>
        </w:trPr>
        <w:tc>
          <w:tcPr>
            <w:tcW w:w="438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PJP infection (n, %)</w:t>
            </w:r>
          </w:p>
        </w:tc>
        <w:tc>
          <w:tcPr>
            <w:tcW w:w="1417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12(7.5%)</w:t>
            </w:r>
          </w:p>
        </w:tc>
        <w:tc>
          <w:tcPr>
            <w:tcW w:w="1943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2(0.7%)</w:t>
            </w:r>
          </w:p>
        </w:tc>
        <w:tc>
          <w:tcPr>
            <w:tcW w:w="990" w:type="dxa"/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hideMark/>
          </w:tcPr>
          <w:p w:rsidR="00A91C05" w:rsidRPr="00887A5E" w:rsidRDefault="00A91C05" w:rsidP="00DC7E20">
            <w:pPr>
              <w:pStyle w:val="paragraph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</w:rPr>
            </w:pPr>
            <w:r w:rsidRPr="00887A5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0.000</w:t>
            </w:r>
          </w:p>
        </w:tc>
      </w:tr>
    </w:tbl>
    <w:p w:rsidR="00FB7C93" w:rsidRDefault="00FB7C93">
      <w:bookmarkStart w:id="0" w:name="_GoBack"/>
      <w:bookmarkEnd w:id="0"/>
    </w:p>
    <w:sectPr w:rsidR="00FB7C93">
      <w:pgSz w:w="11906" w:h="16838"/>
      <w:pgMar w:top="1361" w:right="1417" w:bottom="1361" w:left="141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,serif">
    <w:altName w:val="Courier New"/>
    <w:charset w:val="00"/>
    <w:family w:val="auto"/>
    <w:pitch w:val="variable"/>
    <w:sig w:usb0="00000001" w:usb1="5000205A" w:usb2="00000000" w:usb3="00000000" w:csb0="0000019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37D43"/>
    <w:multiLevelType w:val="multilevel"/>
    <w:tmpl w:val="1E537D43"/>
    <w:lvl w:ilvl="0">
      <w:start w:val="1"/>
      <w:numFmt w:val="bullet"/>
      <w:lvlText w:val="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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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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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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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1" w15:restartNumberingAfterBreak="0">
    <w:nsid w:val="323C7824"/>
    <w:multiLevelType w:val="multilevel"/>
    <w:tmpl w:val="323C7824"/>
    <w:lvl w:ilvl="0">
      <w:start w:val="1"/>
      <w:numFmt w:val="bullet"/>
      <w:lvlText w:val="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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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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2" w15:restartNumberingAfterBreak="0">
    <w:nsid w:val="513362E4"/>
    <w:multiLevelType w:val="multilevel"/>
    <w:tmpl w:val="513362E4"/>
    <w:lvl w:ilvl="0">
      <w:start w:val="1"/>
      <w:numFmt w:val="bullet"/>
      <w:lvlText w:val="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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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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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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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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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3" w15:restartNumberingAfterBreak="0">
    <w:nsid w:val="5AA9370F"/>
    <w:multiLevelType w:val="multilevel"/>
    <w:tmpl w:val="5AA9370F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4" w15:restartNumberingAfterBreak="0">
    <w:nsid w:val="5AA93721"/>
    <w:multiLevelType w:val="multilevel"/>
    <w:tmpl w:val="5AA937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5" w15:restartNumberingAfterBreak="0">
    <w:nsid w:val="5AA9374C"/>
    <w:multiLevelType w:val="multilevel"/>
    <w:tmpl w:val="5AA9374C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6" w15:restartNumberingAfterBreak="0">
    <w:nsid w:val="5AA93847"/>
    <w:multiLevelType w:val="multilevel"/>
    <w:tmpl w:val="5AA93847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7" w15:restartNumberingAfterBreak="0">
    <w:nsid w:val="5AA9385D"/>
    <w:multiLevelType w:val="multilevel"/>
    <w:tmpl w:val="5AA9385D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8" w15:restartNumberingAfterBreak="0">
    <w:nsid w:val="5AA93871"/>
    <w:multiLevelType w:val="multilevel"/>
    <w:tmpl w:val="5AA9387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9" w15:restartNumberingAfterBreak="0">
    <w:nsid w:val="5AA93884"/>
    <w:multiLevelType w:val="multilevel"/>
    <w:tmpl w:val="5AA9388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0" w15:restartNumberingAfterBreak="0">
    <w:nsid w:val="5AA938A6"/>
    <w:multiLevelType w:val="multilevel"/>
    <w:tmpl w:val="5AA938A6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1" w15:restartNumberingAfterBreak="0">
    <w:nsid w:val="5AA938BA"/>
    <w:multiLevelType w:val="multilevel"/>
    <w:tmpl w:val="5AA938B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2" w15:restartNumberingAfterBreak="0">
    <w:nsid w:val="5AA939C1"/>
    <w:multiLevelType w:val="multilevel"/>
    <w:tmpl w:val="5AA939C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3" w15:restartNumberingAfterBreak="0">
    <w:nsid w:val="5AA939F5"/>
    <w:multiLevelType w:val="multilevel"/>
    <w:tmpl w:val="5AA939F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4" w15:restartNumberingAfterBreak="0">
    <w:nsid w:val="5AA93A09"/>
    <w:multiLevelType w:val="multilevel"/>
    <w:tmpl w:val="5AA93A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5" w15:restartNumberingAfterBreak="0">
    <w:nsid w:val="5AA9DAE5"/>
    <w:multiLevelType w:val="multilevel"/>
    <w:tmpl w:val="5AA9DAE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6" w15:restartNumberingAfterBreak="0">
    <w:nsid w:val="5AA9DAF8"/>
    <w:multiLevelType w:val="multilevel"/>
    <w:tmpl w:val="5AA9DAF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7" w15:restartNumberingAfterBreak="0">
    <w:nsid w:val="5AA9DB09"/>
    <w:multiLevelType w:val="multilevel"/>
    <w:tmpl w:val="5AA9DB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8" w15:restartNumberingAfterBreak="0">
    <w:nsid w:val="5AA9DB19"/>
    <w:multiLevelType w:val="multilevel"/>
    <w:tmpl w:val="5AA9DB1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9" w15:restartNumberingAfterBreak="0">
    <w:nsid w:val="5AA9DB29"/>
    <w:multiLevelType w:val="multilevel"/>
    <w:tmpl w:val="5AA9DB2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0" w15:restartNumberingAfterBreak="0">
    <w:nsid w:val="5AA9DB3A"/>
    <w:multiLevelType w:val="multilevel"/>
    <w:tmpl w:val="5AA9DB3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1" w15:restartNumberingAfterBreak="0">
    <w:nsid w:val="5AA9DB4A"/>
    <w:multiLevelType w:val="multilevel"/>
    <w:tmpl w:val="5AA9DB4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2" w15:restartNumberingAfterBreak="0">
    <w:nsid w:val="5AA9DB5A"/>
    <w:multiLevelType w:val="multilevel"/>
    <w:tmpl w:val="5AA9DB5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3" w15:restartNumberingAfterBreak="0">
    <w:nsid w:val="5AA9DC10"/>
    <w:multiLevelType w:val="multilevel"/>
    <w:tmpl w:val="5AA9DC10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4" w15:restartNumberingAfterBreak="0">
    <w:nsid w:val="5AA9DC21"/>
    <w:multiLevelType w:val="multilevel"/>
    <w:tmpl w:val="5AA9DC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5" w15:restartNumberingAfterBreak="0">
    <w:nsid w:val="5AA9DC48"/>
    <w:multiLevelType w:val="multilevel"/>
    <w:tmpl w:val="5AA9DC4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6" w15:restartNumberingAfterBreak="0">
    <w:nsid w:val="5AA9DC59"/>
    <w:multiLevelType w:val="multilevel"/>
    <w:tmpl w:val="5AA9DC5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7" w15:restartNumberingAfterBreak="0">
    <w:nsid w:val="5AA9DD04"/>
    <w:multiLevelType w:val="multilevel"/>
    <w:tmpl w:val="5AA9DD0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8" w15:restartNumberingAfterBreak="0">
    <w:nsid w:val="5AA9DD14"/>
    <w:multiLevelType w:val="multilevel"/>
    <w:tmpl w:val="5AA9DD1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9" w15:restartNumberingAfterBreak="0">
    <w:nsid w:val="5AA9DD24"/>
    <w:multiLevelType w:val="multilevel"/>
    <w:tmpl w:val="5AA9DD2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0" w15:restartNumberingAfterBreak="0">
    <w:nsid w:val="5B4947AB"/>
    <w:multiLevelType w:val="multilevel"/>
    <w:tmpl w:val="5B4947AB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num w:numId="1">
    <w:abstractNumId w:val="30"/>
  </w:num>
  <w:num w:numId="2">
    <w:abstractNumId w:val="5"/>
  </w:num>
  <w:num w:numId="3">
    <w:abstractNumId w:val="3"/>
  </w:num>
  <w:num w:numId="4">
    <w:abstractNumId w:val="4"/>
  </w:num>
  <w:num w:numId="5">
    <w:abstractNumId w:val="6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21"/>
  </w:num>
  <w:num w:numId="21">
    <w:abstractNumId w:val="22"/>
  </w:num>
  <w:num w:numId="22">
    <w:abstractNumId w:val="23"/>
  </w:num>
  <w:num w:numId="23">
    <w:abstractNumId w:val="24"/>
  </w:num>
  <w:num w:numId="24">
    <w:abstractNumId w:val="25"/>
  </w:num>
  <w:num w:numId="25">
    <w:abstractNumId w:val="26"/>
  </w:num>
  <w:num w:numId="26">
    <w:abstractNumId w:val="27"/>
  </w:num>
  <w:num w:numId="27">
    <w:abstractNumId w:val="28"/>
  </w:num>
  <w:num w:numId="28">
    <w:abstractNumId w:val="29"/>
  </w:num>
  <w:num w:numId="29">
    <w:abstractNumId w:val="1"/>
  </w:num>
  <w:num w:numId="30">
    <w:abstractNumId w:val="2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C05"/>
    <w:rsid w:val="00A91C05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88CAF"/>
  <w15:chartTrackingRefBased/>
  <w15:docId w15:val="{1B01C963-B46E-4E54-A556-D8E38ACA9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1C0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1C05"/>
    <w:pPr>
      <w:keepNext/>
      <w:keepLines/>
      <w:spacing w:line="408" w:lineRule="auto"/>
      <w:jc w:val="left"/>
      <w:outlineLvl w:val="0"/>
    </w:pPr>
    <w:rPr>
      <w:b/>
      <w:bCs/>
      <w:color w:val="1A1A1A"/>
      <w:kern w:val="4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1C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1C05"/>
    <w:rPr>
      <w:rFonts w:eastAsiaTheme="minorEastAsia"/>
      <w:b/>
      <w:bCs/>
      <w:color w:val="1A1A1A"/>
      <w:kern w:val="44"/>
      <w:sz w:val="36"/>
      <w:szCs w:val="36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1C05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A91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91C05"/>
    <w:rPr>
      <w:rFonts w:eastAsiaTheme="minorEastAsia"/>
      <w:kern w:val="2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qFormat/>
    <w:rsid w:val="00A91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91C05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59"/>
    <w:qFormat/>
    <w:rsid w:val="00A91C05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91C05"/>
    <w:pPr>
      <w:ind w:firstLineChars="200" w:firstLine="420"/>
    </w:pPr>
  </w:style>
  <w:style w:type="paragraph" w:styleId="Title">
    <w:name w:val="Title"/>
    <w:basedOn w:val="Normal"/>
    <w:next w:val="Normal"/>
    <w:link w:val="TitleChar"/>
    <w:uiPriority w:val="10"/>
    <w:qFormat/>
    <w:rsid w:val="00A91C05"/>
    <w:pPr>
      <w:spacing w:line="480" w:lineRule="auto"/>
      <w:jc w:val="center"/>
      <w:outlineLvl w:val="0"/>
    </w:pPr>
    <w:rPr>
      <w:rFonts w:asciiTheme="majorHAnsi" w:eastAsiaTheme="majorEastAsia" w:hAnsiTheme="majorHAnsi" w:cstheme="majorBidi"/>
      <w:b/>
      <w:bCs/>
      <w:sz w:val="48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91C05"/>
    <w:rPr>
      <w:rFonts w:asciiTheme="majorHAnsi" w:eastAsiaTheme="majorEastAsia" w:hAnsiTheme="majorHAnsi" w:cstheme="majorBidi"/>
      <w:b/>
      <w:bCs/>
      <w:kern w:val="2"/>
      <w:sz w:val="48"/>
      <w:szCs w:val="32"/>
      <w:lang w:eastAsia="zh-C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1C0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1C05"/>
    <w:rPr>
      <w:rFonts w:eastAsiaTheme="minorEastAsia"/>
      <w:kern w:val="2"/>
      <w:sz w:val="21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A91C05"/>
    <w:rPr>
      <w:sz w:val="21"/>
      <w:szCs w:val="21"/>
    </w:rPr>
  </w:style>
  <w:style w:type="paragraph" w:styleId="NormalWeb">
    <w:name w:val="Normal (Web)"/>
    <w:basedOn w:val="Normal"/>
    <w:link w:val="NormalWebChar"/>
    <w:uiPriority w:val="99"/>
    <w:unhideWhenUsed/>
    <w:rsid w:val="00A91C0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paragraph">
    <w:name w:val="paragraph"/>
    <w:basedOn w:val="Normal"/>
    <w:rsid w:val="00A91C0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1C05"/>
    <w:pPr>
      <w:jc w:val="both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1C05"/>
    <w:rPr>
      <w:rFonts w:eastAsiaTheme="minorEastAsia"/>
      <w:b/>
      <w:bCs/>
      <w:kern w:val="2"/>
      <w:sz w:val="20"/>
      <w:szCs w:val="20"/>
      <w:lang w:eastAsia="zh-CN"/>
    </w:rPr>
  </w:style>
  <w:style w:type="paragraph" w:styleId="Revision">
    <w:name w:val="Revision"/>
    <w:hidden/>
    <w:uiPriority w:val="99"/>
    <w:semiHidden/>
    <w:rsid w:val="00A91C05"/>
    <w:pPr>
      <w:spacing w:after="0" w:line="240" w:lineRule="auto"/>
    </w:pPr>
    <w:rPr>
      <w:rFonts w:eastAsiaTheme="minorEastAsia"/>
      <w:kern w:val="2"/>
      <w:sz w:val="21"/>
      <w:lang w:eastAsia="zh-CN"/>
    </w:rPr>
  </w:style>
  <w:style w:type="paragraph" w:customStyle="1" w:styleId="1">
    <w:name w:val="书目1"/>
    <w:basedOn w:val="Normal"/>
    <w:link w:val="Bibliography"/>
    <w:rsid w:val="00A91C05"/>
    <w:pPr>
      <w:snapToGrid w:val="0"/>
      <w:spacing w:after="240"/>
    </w:pPr>
    <w:rPr>
      <w:rFonts w:ascii="Times New Roman" w:eastAsia="Microsoft YaHei" w:hAnsi="Times New Roman" w:cs="Times New Roman"/>
      <w:color w:val="000000" w:themeColor="text1"/>
      <w:sz w:val="24"/>
      <w:szCs w:val="24"/>
    </w:rPr>
  </w:style>
  <w:style w:type="character" w:customStyle="1" w:styleId="Bibliography">
    <w:name w:val="Bibliography 字符"/>
    <w:basedOn w:val="DefaultParagraphFont"/>
    <w:link w:val="1"/>
    <w:rsid w:val="00A91C05"/>
    <w:rPr>
      <w:rFonts w:ascii="Times New Roman" w:eastAsia="Microsoft YaHei" w:hAnsi="Times New Roman" w:cs="Times New Roman"/>
      <w:color w:val="000000" w:themeColor="text1"/>
      <w:kern w:val="2"/>
      <w:sz w:val="24"/>
      <w:szCs w:val="24"/>
      <w:lang w:eastAsia="zh-CN"/>
    </w:rPr>
  </w:style>
  <w:style w:type="paragraph" w:customStyle="1" w:styleId="2">
    <w:name w:val="书目2"/>
    <w:basedOn w:val="Normal"/>
    <w:link w:val="Bibliography1"/>
    <w:rsid w:val="00A91C05"/>
    <w:pPr>
      <w:spacing w:after="240"/>
      <w:ind w:firstLineChars="50" w:firstLine="50"/>
    </w:pPr>
    <w:rPr>
      <w:rFonts w:ascii="Times New Roman" w:eastAsia="Times New Roman,serif" w:hAnsi="Times New Roman" w:cs="Times New Roman"/>
      <w:color w:val="000000" w:themeColor="text1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A91C05"/>
    <w:rPr>
      <w:rFonts w:ascii="SimSun" w:eastAsia="SimSun" w:hAnsi="SimSun" w:cs="SimSun"/>
      <w:sz w:val="24"/>
      <w:szCs w:val="24"/>
      <w:lang w:eastAsia="zh-CN"/>
    </w:rPr>
  </w:style>
  <w:style w:type="character" w:customStyle="1" w:styleId="Bibliography1">
    <w:name w:val="Bibliography 字符1"/>
    <w:basedOn w:val="NormalWebChar"/>
    <w:link w:val="2"/>
    <w:rsid w:val="00A91C05"/>
    <w:rPr>
      <w:rFonts w:ascii="Times New Roman" w:eastAsia="Times New Roman,serif" w:hAnsi="Times New Roman" w:cs="Times New Roman"/>
      <w:color w:val="000000" w:themeColor="text1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1135</Words>
  <Characters>6472</Characters>
  <Application>Microsoft Office Word</Application>
  <DocSecurity>0</DocSecurity>
  <Lines>53</Lines>
  <Paragraphs>15</Paragraphs>
  <ScaleCrop>false</ScaleCrop>
  <Company>Springer Nature</Company>
  <LinksUpToDate>false</LinksUpToDate>
  <CharactersWithSpaces>7592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2021-03-30T03:56:00Z</dcterms:created>
  <dcterms:modified xsi:type="dcterms:W3CDTF">2021-03-30T03:57:00Z</dcterms:modified>
</cp:coreProperties>
</file>