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67A76" w14:textId="44DB9356" w:rsidR="004C077E" w:rsidRPr="006A7AFF" w:rsidRDefault="004C077E" w:rsidP="004C077E">
      <w:pPr>
        <w:rPr>
          <w:rFonts w:ascii="Times New Roman" w:hAnsi="Times New Roman" w:cs="Times New Roman"/>
          <w:b/>
          <w:bCs/>
          <w:color w:val="000000" w:themeColor="text1"/>
        </w:rPr>
      </w:pPr>
      <w:r w:rsidRPr="006A7AFF">
        <w:rPr>
          <w:rFonts w:ascii="Times New Roman" w:hAnsi="Times New Roman" w:cs="Times New Roman"/>
          <w:b/>
          <w:bCs/>
          <w:color w:val="000000" w:themeColor="text1"/>
        </w:rPr>
        <w:t xml:space="preserve">Appendix </w:t>
      </w:r>
      <w:r w:rsidR="00800E4C"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6A7AFF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6A7AFF">
        <w:rPr>
          <w:rFonts w:ascii="Times New Roman" w:hAnsi="Times New Roman" w:cs="Times New Roman"/>
          <w:color w:val="000000" w:themeColor="text1"/>
        </w:rPr>
        <w:t xml:space="preserve">Transcription conventions used in this study (a combination of The </w:t>
      </w:r>
      <w:proofErr w:type="spellStart"/>
      <w:r w:rsidRPr="006A7AFF">
        <w:rPr>
          <w:rFonts w:ascii="Times New Roman" w:hAnsi="Times New Roman" w:cs="Times New Roman"/>
          <w:color w:val="000000" w:themeColor="text1"/>
        </w:rPr>
        <w:t>Jeffersonian</w:t>
      </w:r>
      <w:proofErr w:type="spellEnd"/>
      <w:r w:rsidRPr="006A7AFF">
        <w:rPr>
          <w:rFonts w:ascii="Times New Roman" w:hAnsi="Times New Roman" w:cs="Times New Roman"/>
          <w:color w:val="000000" w:themeColor="text1"/>
        </w:rPr>
        <w:t xml:space="preserve"> Transcription System</w:t>
      </w:r>
      <w:r w:rsidRPr="006A7AFF">
        <w:rPr>
          <w:rFonts w:ascii="Times New Roman" w:hAnsi="Times New Roman" w:cs="Times New Roman"/>
          <w:color w:val="000000" w:themeColor="text1"/>
        </w:rPr>
        <w:fldChar w:fldCharType="begin"/>
      </w:r>
      <w:r w:rsidRPr="006A7AFF">
        <w:rPr>
          <w:rFonts w:ascii="Times New Roman" w:hAnsi="Times New Roman" w:cs="Times New Roman"/>
          <w:color w:val="000000" w:themeColor="text1"/>
        </w:rPr>
        <w:instrText xml:space="preserve"> ADDIN EN.CITE &lt;EndNote&gt;&lt;Cite&gt;&lt;Author&gt;Jefferson&lt;/Author&gt;&lt;Year&gt;2004&lt;/Year&gt;&lt;RecNum&gt;584&lt;/RecNum&gt;&lt;DisplayText&gt;&lt;style face="superscript"&gt;55&lt;/style&gt;&lt;/DisplayText&gt;&lt;record&gt;&lt;rec-number&gt;584&lt;/rec-number&gt;&lt;foreign-keys&gt;&lt;key app="EN" db-id="tstvratasffxs1exws9xw9dppepf5tdzvd5a" timestamp="1692695160"&gt;584&lt;/key&gt;&lt;/foreign-keys&gt;&lt;ref-type name="Journal Article"&gt;17&lt;/ref-type&gt;&lt;contributors&gt;&lt;authors&gt;&lt;author&gt;Jefferson, Gail&lt;/author&gt;&lt;/authors&gt;&lt;/contributors&gt;&lt;titles&gt;&lt;title&gt;Glossary of transcript symbols with an introduction&lt;/title&gt;&lt;secondary-title&gt;Conversation analysis&lt;/secondary-title&gt;&lt;/titles&gt;&lt;periodical&gt;&lt;full-title&gt;Conversation analysis&lt;/full-title&gt;&lt;/periodical&gt;&lt;pages&gt;13-31&lt;/pages&gt;&lt;dates&gt;&lt;year&gt;2004&lt;/year&gt;&lt;/dates&gt;&lt;urls&gt;&lt;/urls&gt;&lt;/record&gt;&lt;/Cite&gt;&lt;/EndNote&gt;</w:instrText>
      </w:r>
      <w:r w:rsidRPr="006A7AFF">
        <w:rPr>
          <w:rFonts w:ascii="Times New Roman" w:hAnsi="Times New Roman" w:cs="Times New Roman"/>
          <w:color w:val="000000" w:themeColor="text1"/>
        </w:rPr>
        <w:fldChar w:fldCharType="separate"/>
      </w:r>
      <w:r w:rsidRPr="006A7AFF">
        <w:rPr>
          <w:rFonts w:ascii="Times New Roman" w:hAnsi="Times New Roman" w:cs="Times New Roman"/>
          <w:noProof/>
          <w:color w:val="000000" w:themeColor="text1"/>
          <w:vertAlign w:val="superscript"/>
        </w:rPr>
        <w:t>55</w:t>
      </w:r>
      <w:r w:rsidRPr="006A7AFF">
        <w:rPr>
          <w:rFonts w:ascii="Times New Roman" w:hAnsi="Times New Roman" w:cs="Times New Roman"/>
          <w:color w:val="000000" w:themeColor="text1"/>
        </w:rPr>
        <w:fldChar w:fldCharType="end"/>
      </w:r>
      <w:r w:rsidRPr="006A7AFF">
        <w:rPr>
          <w:rFonts w:ascii="Times New Roman" w:hAnsi="Times New Roman" w:cs="Times New Roman"/>
          <w:color w:val="000000" w:themeColor="text1"/>
        </w:rPr>
        <w:t xml:space="preserve"> and </w:t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t>Hepburn’s transcription conventions for denoting crying and similar emotional experiences</w:t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fldChar w:fldCharType="begin"/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instrText xml:space="preserve"> ADDIN EN.CITE &lt;EndNote&gt;&lt;Cite&gt;&lt;Author&gt;Hepburn&lt;/Author&gt;&lt;Year&gt;2004&lt;/Year&gt;&lt;RecNum&gt;588&lt;/RecNum&gt;&lt;DisplayText&gt;&lt;style face="superscript"&gt;57&lt;/style&gt;&lt;/DisplayText&gt;&lt;record&gt;&lt;rec-number&gt;588&lt;/rec-number&gt;&lt;foreign-keys&gt;&lt;key app="EN" db-id="tstvratasffxs1exws9xw9dppepf5tdzvd5a" timestamp="1692773083"&gt;588&lt;/key&gt;&lt;/foreign-keys&gt;&lt;ref-type name="Journal Article"&gt;17&lt;/ref-type&gt;&lt;contributors&gt;&lt;authors&gt;&lt;author&gt;Hepburn, Alexa&lt;/author&gt;&lt;/authors&gt;&lt;/contributors&gt;&lt;titles&gt;&lt;title&gt;Crying: Notes on description, transcription, and interaction&lt;/title&gt;&lt;secondary-title&gt;Research on language and social interaction&lt;/secondary-title&gt;&lt;/titles&gt;&lt;periodical&gt;&lt;full-title&gt;Research on language and social interaction&lt;/full-title&gt;&lt;/periodical&gt;&lt;pages&gt;251-290&lt;/pages&gt;&lt;volume&gt;37&lt;/volume&gt;&lt;number&gt;3&lt;/number&gt;&lt;dates&gt;&lt;year&gt;2004&lt;/year&gt;&lt;/dates&gt;&lt;isbn&gt;0835-1813&lt;/isbn&gt;&lt;urls&gt;&lt;/urls&gt;&lt;/record&gt;&lt;/Cite&gt;&lt;/EndNote&gt;</w:instrText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fldChar w:fldCharType="separate"/>
      </w:r>
      <w:r w:rsidRPr="006A7AFF">
        <w:rPr>
          <w:rFonts w:ascii="Times New Roman" w:hAnsi="Times New Roman" w:cs="Times New Roman"/>
          <w:noProof/>
          <w:color w:val="000000" w:themeColor="text1"/>
          <w:vertAlign w:val="superscript"/>
          <w:lang w:val="en-US"/>
        </w:rPr>
        <w:t>57</w:t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fldChar w:fldCharType="end"/>
      </w:r>
      <w:r w:rsidRPr="006A7AFF">
        <w:rPr>
          <w:rFonts w:ascii="Times New Roman" w:hAnsi="Times New Roman" w:cs="Times New Roman"/>
          <w:color w:val="000000" w:themeColor="text1"/>
          <w:lang w:val="en-US"/>
        </w:rPr>
        <w:t xml:space="preserve">) </w:t>
      </w:r>
    </w:p>
    <w:p w14:paraId="5D94DCA7" w14:textId="77777777" w:rsidR="004C077E" w:rsidRPr="006A7AFF" w:rsidRDefault="004C077E" w:rsidP="004C077E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C077E" w:rsidRPr="006A7AFF" w14:paraId="09E20E69" w14:textId="77777777" w:rsidTr="00B130E7">
        <w:tc>
          <w:tcPr>
            <w:tcW w:w="4508" w:type="dxa"/>
          </w:tcPr>
          <w:p w14:paraId="32E1E010" w14:textId="77777777" w:rsidR="004C077E" w:rsidRPr="006A7AFF" w:rsidRDefault="004C077E" w:rsidP="00B130E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Symbol</w:t>
            </w:r>
          </w:p>
        </w:tc>
        <w:tc>
          <w:tcPr>
            <w:tcW w:w="4508" w:type="dxa"/>
          </w:tcPr>
          <w:p w14:paraId="1E5DA726" w14:textId="77777777" w:rsidR="004C077E" w:rsidRPr="006A7AFF" w:rsidRDefault="004C077E" w:rsidP="00B130E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Meaning</w:t>
            </w:r>
          </w:p>
        </w:tc>
      </w:tr>
      <w:tr w:rsidR="004C077E" w:rsidRPr="006A7AFF" w14:paraId="1D33F7F1" w14:textId="77777777" w:rsidTr="00B130E7">
        <w:tc>
          <w:tcPr>
            <w:tcW w:w="4508" w:type="dxa"/>
          </w:tcPr>
          <w:p w14:paraId="404F8F10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My- my- my</w:t>
            </w:r>
          </w:p>
        </w:tc>
        <w:tc>
          <w:tcPr>
            <w:tcW w:w="4508" w:type="dxa"/>
          </w:tcPr>
          <w:p w14:paraId="47302623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Hyphens indicate a cut-off of the preceding sound. </w:t>
            </w:r>
          </w:p>
        </w:tc>
      </w:tr>
      <w:tr w:rsidR="004C077E" w:rsidRPr="006A7AFF" w14:paraId="20825B7E" w14:textId="77777777" w:rsidTr="00B130E7">
        <w:tc>
          <w:tcPr>
            <w:tcW w:w="4508" w:type="dxa"/>
          </w:tcPr>
          <w:p w14:paraId="6DBB8940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&gt;</w:t>
            </w:r>
            <w:proofErr w:type="spellStart"/>
            <w:r w:rsidRPr="006A7AFF">
              <w:rPr>
                <w:rFonts w:ascii="Times New Roman" w:hAnsi="Times New Roman" w:cs="Times New Roman"/>
                <w:color w:val="000000" w:themeColor="text1"/>
              </w:rPr>
              <w:t>hhuh</w:t>
            </w:r>
            <w:proofErr w:type="spellEnd"/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&lt; </w:t>
            </w:r>
          </w:p>
        </w:tc>
        <w:tc>
          <w:tcPr>
            <w:tcW w:w="4508" w:type="dxa"/>
          </w:tcPr>
          <w:p w14:paraId="4E8D5F00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Sharp in</w:t>
            </w: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6A7AFF">
              <w:rPr>
                <w:rFonts w:ascii="Times New Roman" w:hAnsi="Times New Roman" w:cs="Times New Roman"/>
                <w:color w:val="000000" w:themeColor="text1"/>
              </w:rPr>
              <w:t>breath</w:t>
            </w:r>
          </w:p>
        </w:tc>
      </w:tr>
      <w:tr w:rsidR="004C077E" w:rsidRPr="006A7AFF" w14:paraId="2F186027" w14:textId="77777777" w:rsidTr="00B130E7">
        <w:tc>
          <w:tcPr>
            <w:tcW w:w="4508" w:type="dxa"/>
          </w:tcPr>
          <w:p w14:paraId="43FCB81B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spellStart"/>
            <w:r w:rsidRPr="006A7AFF">
              <w:rPr>
                <w:rFonts w:ascii="Times New Roman" w:hAnsi="Times New Roman" w:cs="Times New Roman"/>
                <w:color w:val="000000" w:themeColor="text1"/>
              </w:rPr>
              <w:t>hhh</w:t>
            </w:r>
            <w:proofErr w:type="spellEnd"/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508" w:type="dxa"/>
          </w:tcPr>
          <w:p w14:paraId="512FBAA6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In-breaths. The number of h’s is proportional to the length of the in-breath. </w:t>
            </w:r>
          </w:p>
        </w:tc>
      </w:tr>
      <w:tr w:rsidR="004C077E" w:rsidRPr="006A7AFF" w14:paraId="2C3A4677" w14:textId="77777777" w:rsidTr="00B130E7">
        <w:tc>
          <w:tcPr>
            <w:tcW w:w="4508" w:type="dxa"/>
          </w:tcPr>
          <w:p w14:paraId="552D7695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(0.5)</w:t>
            </w:r>
          </w:p>
        </w:tc>
        <w:tc>
          <w:tcPr>
            <w:tcW w:w="4508" w:type="dxa"/>
          </w:tcPr>
          <w:p w14:paraId="4C2B17BB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Numbers within the round brackets measure the length of a pause in seconds. In this example, the speaker has paused for half a second). </w:t>
            </w:r>
          </w:p>
        </w:tc>
      </w:tr>
      <w:tr w:rsidR="004C077E" w:rsidRPr="006A7AFF" w14:paraId="6CEDF119" w14:textId="77777777" w:rsidTr="00B130E7">
        <w:tc>
          <w:tcPr>
            <w:tcW w:w="4508" w:type="dxa"/>
          </w:tcPr>
          <w:p w14:paraId="52ADFB6D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(.)</w:t>
            </w:r>
          </w:p>
        </w:tc>
        <w:tc>
          <w:tcPr>
            <w:tcW w:w="4508" w:type="dxa"/>
          </w:tcPr>
          <w:p w14:paraId="77936746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A micropause which is noticeable but is too brief to measure. </w:t>
            </w:r>
          </w:p>
        </w:tc>
      </w:tr>
      <w:tr w:rsidR="004C077E" w:rsidRPr="006A7AFF" w14:paraId="1EC99DA0" w14:textId="77777777" w:rsidTr="00B130E7">
        <w:tc>
          <w:tcPr>
            <w:tcW w:w="4508" w:type="dxa"/>
          </w:tcPr>
          <w:p w14:paraId="7F4731E8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  <w:u w:val="single"/>
              </w:rPr>
              <w:t>Unbearable</w:t>
            </w:r>
          </w:p>
        </w:tc>
        <w:tc>
          <w:tcPr>
            <w:tcW w:w="4508" w:type="dxa"/>
          </w:tcPr>
          <w:p w14:paraId="69528BC9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Underlines indicate emphasis, with the extend of underlining within individual words showing where the emphasis has been placed.  </w:t>
            </w:r>
          </w:p>
        </w:tc>
      </w:tr>
      <w:tr w:rsidR="004C077E" w:rsidRPr="006A7AFF" w14:paraId="6E525917" w14:textId="77777777" w:rsidTr="00B130E7">
        <w:tc>
          <w:tcPr>
            <w:tcW w:w="4508" w:type="dxa"/>
          </w:tcPr>
          <w:p w14:paraId="37B0C36A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</w:tc>
        <w:tc>
          <w:tcPr>
            <w:tcW w:w="4508" w:type="dxa"/>
          </w:tcPr>
          <w:p w14:paraId="13458D81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Question mark indicates rising intonation at the end of a word. They are used irrespective of grammar. </w:t>
            </w:r>
          </w:p>
        </w:tc>
      </w:tr>
      <w:tr w:rsidR="004C077E" w:rsidRPr="006A7AFF" w14:paraId="450BAA72" w14:textId="77777777" w:rsidTr="00B130E7">
        <w:tc>
          <w:tcPr>
            <w:tcW w:w="4508" w:type="dxa"/>
          </w:tcPr>
          <w:p w14:paraId="6830AF47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&gt;they said to my husband&lt;</w:t>
            </w:r>
          </w:p>
        </w:tc>
        <w:tc>
          <w:tcPr>
            <w:tcW w:w="4508" w:type="dxa"/>
          </w:tcPr>
          <w:p w14:paraId="2EC13499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Speech enclosed within greater than and lesser than signs indicate</w:t>
            </w: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 sped-up talk. </w:t>
            </w:r>
          </w:p>
        </w:tc>
      </w:tr>
      <w:tr w:rsidR="004C077E" w:rsidRPr="006A7AFF" w14:paraId="7C77E212" w14:textId="77777777" w:rsidTr="00B130E7">
        <w:tc>
          <w:tcPr>
            <w:tcW w:w="4508" w:type="dxa"/>
          </w:tcPr>
          <w:p w14:paraId="6B96C196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I </w:t>
            </w:r>
            <w:proofErr w:type="spellStart"/>
            <w:r w:rsidRPr="006A7AFF">
              <w:rPr>
                <w:rFonts w:ascii="Times New Roman" w:hAnsi="Times New Roman" w:cs="Times New Roman"/>
                <w:color w:val="000000" w:themeColor="text1"/>
              </w:rPr>
              <w:t>thi</w:t>
            </w:r>
            <w:proofErr w:type="spellEnd"/>
            <w:r w:rsidRPr="006A7AFF">
              <w:rPr>
                <w:rFonts w:ascii="Times New Roman" w:hAnsi="Times New Roman" w:cs="Times New Roman"/>
                <w:color w:val="000000" w:themeColor="text1"/>
              </w:rPr>
              <w:t>::</w:t>
            </w:r>
            <w:proofErr w:type="spellStart"/>
            <w:r w:rsidRPr="006A7AFF">
              <w:rPr>
                <w:rFonts w:ascii="Times New Roman" w:hAnsi="Times New Roman" w:cs="Times New Roman"/>
                <w:color w:val="000000" w:themeColor="text1"/>
              </w:rPr>
              <w:t>nk</w:t>
            </w:r>
            <w:proofErr w:type="spellEnd"/>
          </w:p>
        </w:tc>
        <w:tc>
          <w:tcPr>
            <w:tcW w:w="4508" w:type="dxa"/>
          </w:tcPr>
          <w:p w14:paraId="118D8018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Colons indicate the extent of elongation of a preceding sound. The number of colons correspond to the degree of elongation. </w:t>
            </w:r>
          </w:p>
        </w:tc>
      </w:tr>
      <w:tr w:rsidR="004C077E" w:rsidRPr="006A7AFF" w14:paraId="444CC3C9" w14:textId="77777777" w:rsidTr="00B130E7">
        <w:tc>
          <w:tcPr>
            <w:tcW w:w="4508" w:type="dxa"/>
          </w:tcPr>
          <w:p w14:paraId="1E28C613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>~I’ll help you call one.~</w:t>
            </w:r>
          </w:p>
        </w:tc>
        <w:tc>
          <w:tcPr>
            <w:tcW w:w="4508" w:type="dxa"/>
          </w:tcPr>
          <w:p w14:paraId="1D439235" w14:textId="77777777" w:rsidR="004C077E" w:rsidRPr="006A7AFF" w:rsidRDefault="004C077E" w:rsidP="00B130E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7AFF">
              <w:rPr>
                <w:rFonts w:ascii="Times New Roman" w:hAnsi="Times New Roman" w:cs="Times New Roman"/>
                <w:color w:val="000000" w:themeColor="text1"/>
              </w:rPr>
              <w:t xml:space="preserve">Speech enclosed by tildes indicates that the person is speaking in a wobbly voice. </w:t>
            </w:r>
          </w:p>
        </w:tc>
      </w:tr>
    </w:tbl>
    <w:p w14:paraId="00DDB482" w14:textId="77777777" w:rsidR="00594DF2" w:rsidRDefault="00594DF2"/>
    <w:sectPr w:rsidR="00594DF2">
      <w:headerReference w:type="even" r:id="rId6"/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940DE" w14:textId="77777777" w:rsidR="00C9523C" w:rsidRDefault="00C9523C">
      <w:r>
        <w:separator/>
      </w:r>
    </w:p>
  </w:endnote>
  <w:endnote w:type="continuationSeparator" w:id="0">
    <w:p w14:paraId="399F4DA2" w14:textId="77777777" w:rsidR="00C9523C" w:rsidRDefault="00C95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0A2BA" w14:textId="77777777" w:rsidR="00C9523C" w:rsidRDefault="00C9523C">
      <w:r>
        <w:separator/>
      </w:r>
    </w:p>
  </w:footnote>
  <w:footnote w:type="continuationSeparator" w:id="0">
    <w:p w14:paraId="187D9EAA" w14:textId="77777777" w:rsidR="00C9523C" w:rsidRDefault="00C95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54533136"/>
      <w:docPartObj>
        <w:docPartGallery w:val="Page Numbers (Top of Page)"/>
        <w:docPartUnique/>
      </w:docPartObj>
    </w:sdtPr>
    <w:sdtContent>
      <w:p w14:paraId="6A9E8633" w14:textId="77777777" w:rsidR="003219AF" w:rsidRDefault="00000000" w:rsidP="00AF6C4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5E8F3821" w14:textId="77777777" w:rsidR="003219AF" w:rsidRDefault="003219AF" w:rsidP="004353B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imes New Roman" w:hAnsi="Times New Roman" w:cs="Times New Roman"/>
      </w:rPr>
      <w:id w:val="2030991265"/>
      <w:docPartObj>
        <w:docPartGallery w:val="Page Numbers (Top of Page)"/>
        <w:docPartUnique/>
      </w:docPartObj>
    </w:sdtPr>
    <w:sdtContent>
      <w:p w14:paraId="5950B983" w14:textId="77777777" w:rsidR="003219AF" w:rsidRPr="004353B6" w:rsidRDefault="00000000" w:rsidP="00AF6C41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4353B6">
          <w:rPr>
            <w:rStyle w:val="PageNumber"/>
            <w:rFonts w:ascii="Times New Roman" w:hAnsi="Times New Roman" w:cs="Times New Roman"/>
          </w:rPr>
          <w:fldChar w:fldCharType="begin"/>
        </w:r>
        <w:r w:rsidRPr="004353B6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4353B6">
          <w:rPr>
            <w:rStyle w:val="PageNumber"/>
            <w:rFonts w:ascii="Times New Roman" w:hAnsi="Times New Roman" w:cs="Times New Roman"/>
          </w:rPr>
          <w:fldChar w:fldCharType="separate"/>
        </w:r>
        <w:r w:rsidRPr="004353B6">
          <w:rPr>
            <w:rStyle w:val="PageNumber"/>
            <w:rFonts w:ascii="Times New Roman" w:hAnsi="Times New Roman" w:cs="Times New Roman"/>
            <w:noProof/>
          </w:rPr>
          <w:t>1</w:t>
        </w:r>
        <w:r w:rsidRPr="004353B6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8E9B946" w14:textId="77777777" w:rsidR="003219AF" w:rsidRPr="004353B6" w:rsidRDefault="003219AF" w:rsidP="004353B6">
    <w:pPr>
      <w:pStyle w:val="Header"/>
      <w:ind w:right="360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77E"/>
    <w:rsid w:val="00040FD8"/>
    <w:rsid w:val="000A6F89"/>
    <w:rsid w:val="0014006D"/>
    <w:rsid w:val="00147251"/>
    <w:rsid w:val="0015463D"/>
    <w:rsid w:val="00162C11"/>
    <w:rsid w:val="001E5B88"/>
    <w:rsid w:val="001F71A1"/>
    <w:rsid w:val="00283DBB"/>
    <w:rsid w:val="00283FE3"/>
    <w:rsid w:val="002E424C"/>
    <w:rsid w:val="00304B53"/>
    <w:rsid w:val="003219AF"/>
    <w:rsid w:val="00482258"/>
    <w:rsid w:val="004C077E"/>
    <w:rsid w:val="005330FE"/>
    <w:rsid w:val="00557022"/>
    <w:rsid w:val="00594DF2"/>
    <w:rsid w:val="006048C0"/>
    <w:rsid w:val="0063534D"/>
    <w:rsid w:val="007135DF"/>
    <w:rsid w:val="007F3AEF"/>
    <w:rsid w:val="00800E4C"/>
    <w:rsid w:val="00806642"/>
    <w:rsid w:val="00816B25"/>
    <w:rsid w:val="008575B5"/>
    <w:rsid w:val="008777F9"/>
    <w:rsid w:val="00894C8D"/>
    <w:rsid w:val="00895C36"/>
    <w:rsid w:val="008E08A8"/>
    <w:rsid w:val="00920C1E"/>
    <w:rsid w:val="00922F3A"/>
    <w:rsid w:val="00932C8E"/>
    <w:rsid w:val="00956456"/>
    <w:rsid w:val="00964AC9"/>
    <w:rsid w:val="009D4239"/>
    <w:rsid w:val="00A044DD"/>
    <w:rsid w:val="00A077EC"/>
    <w:rsid w:val="00A8730F"/>
    <w:rsid w:val="00A94FE5"/>
    <w:rsid w:val="00AD485A"/>
    <w:rsid w:val="00B311E9"/>
    <w:rsid w:val="00B4095F"/>
    <w:rsid w:val="00BA65A2"/>
    <w:rsid w:val="00BC436B"/>
    <w:rsid w:val="00BC7FFE"/>
    <w:rsid w:val="00C9523C"/>
    <w:rsid w:val="00CB1045"/>
    <w:rsid w:val="00CD63C5"/>
    <w:rsid w:val="00CE5E3D"/>
    <w:rsid w:val="00DF01E8"/>
    <w:rsid w:val="00E22058"/>
    <w:rsid w:val="00E2723E"/>
    <w:rsid w:val="00E67063"/>
    <w:rsid w:val="00E70CF5"/>
    <w:rsid w:val="00E97608"/>
    <w:rsid w:val="00ED5833"/>
    <w:rsid w:val="00F1572B"/>
    <w:rsid w:val="00F624A7"/>
    <w:rsid w:val="00F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0D925"/>
  <w15:chartTrackingRefBased/>
  <w15:docId w15:val="{87A2AF15-9C6E-8047-86E0-EC86A396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0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4A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AC9"/>
  </w:style>
  <w:style w:type="character" w:styleId="PageNumber">
    <w:name w:val="page number"/>
    <w:basedOn w:val="DefaultParagraphFont"/>
    <w:uiPriority w:val="99"/>
    <w:semiHidden/>
    <w:unhideWhenUsed/>
    <w:rsid w:val="00964AC9"/>
  </w:style>
  <w:style w:type="character" w:styleId="LineNumber">
    <w:name w:val="line number"/>
    <w:basedOn w:val="DefaultParagraphFont"/>
    <w:uiPriority w:val="99"/>
    <w:semiHidden/>
    <w:unhideWhenUsed/>
    <w:rsid w:val="00964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Ng</dc:creator>
  <cp:keywords/>
  <dc:description/>
  <cp:lastModifiedBy>Steph Ng</cp:lastModifiedBy>
  <cp:revision>2</cp:revision>
  <dcterms:created xsi:type="dcterms:W3CDTF">2023-11-10T03:19:00Z</dcterms:created>
  <dcterms:modified xsi:type="dcterms:W3CDTF">2023-11-10T03:19:00Z</dcterms:modified>
</cp:coreProperties>
</file>