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E446B" w14:textId="77777777" w:rsidR="008C6C0E" w:rsidRDefault="008C6C0E" w:rsidP="008C6C0E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</w:rPr>
        <w:t xml:space="preserve"> 1. Patient Characteristics </w:t>
      </w:r>
      <w:r>
        <w:rPr>
          <w:rFonts w:ascii="Times New Roman" w:hAnsi="Times New Roman" w:cs="Times New Roman"/>
          <w:b/>
          <w:bCs/>
        </w:rPr>
        <w:t>After Propensity Score Matching</w:t>
      </w:r>
    </w:p>
    <w:tbl>
      <w:tblPr>
        <w:tblW w:w="128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0"/>
        <w:gridCol w:w="3020"/>
        <w:gridCol w:w="3040"/>
        <w:gridCol w:w="1080"/>
        <w:gridCol w:w="1060"/>
        <w:gridCol w:w="1080"/>
      </w:tblGrid>
      <w:tr w:rsidR="008C6C0E" w14:paraId="3FD70630" w14:textId="77777777" w:rsidTr="008C6C0E">
        <w:trPr>
          <w:gridAfter w:val="2"/>
          <w:wAfter w:w="2140" w:type="dxa"/>
          <w:trHeight w:val="12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64E3AC36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/>
                <w:b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"/>
                <w14:ligatures w14:val="standardContextual"/>
              </w:rPr>
              <w:t>Characteristic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0D5290A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"/>
                <w14:ligatures w14:val="standardContextual"/>
              </w:rPr>
              <w:t>NS- BCS</w:t>
            </w: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, N = 107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3384F66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"/>
                <w14:ligatures w14:val="standardContextual"/>
              </w:rPr>
              <w:t>Central lumpectomy</w:t>
            </w: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, N = 107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EED475A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kern w:val="2"/>
                <w14:ligatures w14:val="standardContextual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kern w:val="2"/>
                <w14:ligatures w14:val="standardContextual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value</w:t>
            </w:r>
            <w:r>
              <w:rPr>
                <w:rFonts w:ascii="Times New Roman" w:hAnsi="Times New Roman" w:cs="Times New Roman"/>
                <w:color w:val="000000"/>
                <w:kern w:val="2"/>
                <w:vertAlign w:val="superscript"/>
                <w14:ligatures w14:val="standardContextual"/>
              </w:rPr>
              <w:t>*</w:t>
            </w:r>
          </w:p>
        </w:tc>
      </w:tr>
      <w:tr w:rsidR="008C6C0E" w14:paraId="4E7737FC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371525A5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Age, years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41520C5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52.0 ± 10.1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03B0914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53.0 ± 12.0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27C1BCD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0.663</w:t>
            </w:r>
          </w:p>
        </w:tc>
      </w:tr>
      <w:tr w:rsidR="008C6C0E" w14:paraId="34D72FCA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EABA63F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Age categorized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2A15A7B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1BCFCF61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E53830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0.681</w:t>
            </w:r>
          </w:p>
        </w:tc>
      </w:tr>
      <w:tr w:rsidR="008C6C0E" w14:paraId="45BA48F7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3E511659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&lt;=50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47D3367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52 (48.6%)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0CDE314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49 (45.8%)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4316334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3A6391A8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168E1695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&gt;50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6405065A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55 (51.4%)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2FD19BB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58 (54.2%)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74E857C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3D720CE2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18D7A8EF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Axillary operation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24789691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413505E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2A31395A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0.58</w:t>
            </w:r>
          </w:p>
        </w:tc>
      </w:tr>
      <w:tr w:rsidR="008C6C0E" w14:paraId="37B7F327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5B65161D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Sentinel Lymph Node Biopsy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00E327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73 (68.2%)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4BB320E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75 (70.1%)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3202FD3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5B515323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26F7FB68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Axillary Lymph Node Dissection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12748F43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16 (15.0%)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1CA8C5F3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19 (17.8%)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1BEAF22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531BA9DD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59EF50DC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No Operation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4CFDFE62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18 (16.8%)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4714D61C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13 (12.1%)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566C83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049C2ED6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675072DA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Pathologic T-stage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145300CC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4F523F4A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2152E808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0.629</w:t>
            </w:r>
          </w:p>
        </w:tc>
      </w:tr>
      <w:tr w:rsidR="008C6C0E" w14:paraId="5D4AD90F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76BD767F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Tis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D77CD2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23 (21.5%)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580694C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22 (20.6%)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F8786C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4F2D1A11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1B7600F3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T1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190F1E5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61 (57.0%)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740C45B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56 (52.3%)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5DCB58A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340DC418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104DDB17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T2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15DABDD3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23 (21.5%)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03B1118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29 (27.1%)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3AFA6BF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49C2EE1F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0F2897E0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Pathologic N-stage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235726F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617ED394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5987CCA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0.923</w:t>
            </w:r>
          </w:p>
        </w:tc>
      </w:tr>
      <w:tr w:rsidR="008C6C0E" w14:paraId="2DF90352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5635F1BA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N0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6E875DE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76 (71.0%)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5A2B933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74 (69.2%)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54BB3BFC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27F980FB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5013349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N1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A1950D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29 (27.1%)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183EE90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30 (28.0%)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407D74E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370E46B3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29D5DB3A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N2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0C4802D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 (1.9%)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41A1792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 (2.8%)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6AB1837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667C2E3A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39BB1745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Pathologic TNM stage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9788E8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0100B06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27D283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0.716</w:t>
            </w:r>
          </w:p>
        </w:tc>
      </w:tr>
      <w:tr w:rsidR="008C6C0E" w14:paraId="310CE74C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5065C85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Stage 0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20183CA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23 (21.5%)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5CDA859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22 (20.6%)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4643C5E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442EC0BC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57120C0D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Stage I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6A65267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48 (44.9%)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4581719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41 (38.3%)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1F0210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11C9A4A7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50A4CDEE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Stage II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D7CF0E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34 (31.8%)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1D33F9FC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41 (38.3%)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6E0A075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4171985C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7FBE45C0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Stage III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4186C19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 (1.9%)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69BDE551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 (2.8%)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3513535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26BD5958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3DEED425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Histologic grade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0E4D574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481ADFD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4A0B18A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0.983</w:t>
            </w:r>
          </w:p>
        </w:tc>
      </w:tr>
      <w:tr w:rsidR="008C6C0E" w14:paraId="38822B19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91951EB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lastRenderedPageBreak/>
              <w:t>G1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6B68931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5 (4.7%)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25E0AB3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6 (5.6%)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3714EAD8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74E899C8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74BC349F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G2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733BB018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72 (67.3%)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53DF7E21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70 (65.4%)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3FF6AA1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3E170845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1A6094E8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G3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063D3684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20 (18.7%)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75611C33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20 (18.7%)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2983BDD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686A767D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14A52220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GX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1E1ADE0C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10 (9.3%)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07C5439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11 (10.3%)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35BE8113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6C187C6E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57508947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Lymphovascular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 xml:space="preserve"> invasion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47AF49E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2AB2E5F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2C2D977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0.957</w:t>
            </w:r>
          </w:p>
        </w:tc>
      </w:tr>
      <w:tr w:rsidR="008C6C0E" w14:paraId="6A73E6FE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026A7DC1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No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4A66F6E8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84 (78.5%)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6B1AF90C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82 (76.6%)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4D13F3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001A946A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7B718453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Yes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4CEE4D2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20 (18.7%)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6D11B0E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22 (20.6%)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5ABC2D1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411799C1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16BC5DCF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Unknown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36783A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 (2.8%)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4531668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 (2.8%)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337071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30E49703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17254E2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Estrogen receptor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A2F3EC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6188994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506E41F1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0.81</w:t>
            </w:r>
          </w:p>
        </w:tc>
      </w:tr>
      <w:tr w:rsidR="008C6C0E" w14:paraId="23E5EB4F" w14:textId="77777777" w:rsidTr="008C6C0E">
        <w:trPr>
          <w:gridAfter w:val="2"/>
          <w:wAfter w:w="2140" w:type="dxa"/>
          <w:trHeight w:val="33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C822D79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Negative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39175D9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26 (24.3%)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506D38A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24 (22.4%)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9232242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56A43F11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6810B6B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Positive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F9FD9EA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79 (73.8%)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1277E23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82 (76.6%)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C2F1E2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711EC0B1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76144FE8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Unknown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044A643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 (1.9%)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34F3E31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 (0.9%)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B5C5B14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24A9314A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3D32982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Progesterone receptor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16EC269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7C911178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645825A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0.913</w:t>
            </w:r>
          </w:p>
        </w:tc>
      </w:tr>
      <w:tr w:rsidR="008C6C0E" w14:paraId="728F8095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09D4B183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Negative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3FAAA8F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34 (31.8%)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1120ABF4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36 (33.6%)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2D71672A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1CB0EEB9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0644DB87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Positive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1AA6863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71 (66.4%)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017799F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70 (65.4%)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645B469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691DC525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AC2ED8C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Unknown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331FF27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 (1.9%)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6BA6B56C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 (0.9%)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758ACE6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3C29D77C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36211A66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HER2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2EFE7B7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73D472B4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38414CB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0.641</w:t>
            </w:r>
          </w:p>
        </w:tc>
      </w:tr>
      <w:tr w:rsidR="008C6C0E" w14:paraId="162CD8DF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2C3C8E4F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Negative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2A2C3382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67 (62.6%)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7CC0CEA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61 (57.0%)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BC4C10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279BDEF0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51889B82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Positive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00C2A26C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32 (29.9%)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45DDB4B1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35 (32.7%)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6569D1A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68ED883F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21C461AD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Unknown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05E3DE14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8 (7.5%)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11CB498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11 (10.3%)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3ED0BCF3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5795D779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7B90CE25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Subtype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7D416BE8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51D596E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A0AB38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0.861</w:t>
            </w:r>
          </w:p>
        </w:tc>
      </w:tr>
      <w:tr w:rsidR="008C6C0E" w14:paraId="50B51FA6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2A7814D9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Luminal A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BC4A524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64 (59.8%)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22004DE4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59 (55.1%)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0B8E851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0C57C0F4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F8C144C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Luminal B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4BF3899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16 (15.0%)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58F33C5A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15 (14.0%)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65F2D41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74F10DB5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1D91F5CF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HER2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038FBD4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16 (15.0%)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3C5CED5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20 (18.7%)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5408E97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04F4E8BA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5EA7E1A5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lastRenderedPageBreak/>
              <w:t>Triple-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fnegative</w:t>
            </w:r>
            <w:proofErr w:type="spellEnd"/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698871B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3 (2.8%)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3280A16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 (1.9%)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BBDA1CD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7E21493F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290E456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Unknown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4B949CF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8 (7.5%)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1F57AFB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11 (10.3%)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01FDBBF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65B3F2F0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5E03F783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Endocrine therapy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93B56A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5477F406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8D95C3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0.627</w:t>
            </w:r>
          </w:p>
        </w:tc>
      </w:tr>
      <w:tr w:rsidR="008C6C0E" w14:paraId="2C7FAC8B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437BC12C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No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7DAE829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25 (23.4%)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2AD57B68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25 (23.4%)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5AEC0B70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6DA0EE1A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390B16B4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Yes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7972D8C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82 (76.6%)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45F3E90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80 (74.8%)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39402A3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2D54DC78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51DB3F06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Unknown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630DB274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 (0.0%)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1F83EDD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 (1.9%)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2348724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1DA86CED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2B9AB6CB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Radiation therapy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6963635C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24E7A38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657A3DF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0.64</w:t>
            </w:r>
          </w:p>
        </w:tc>
      </w:tr>
      <w:tr w:rsidR="008C6C0E" w14:paraId="11A2445F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6167700D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No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842862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8 (7.5%)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0B21616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7 (6.5%)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AA39BF2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7577811B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19259F7F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Yes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53647A5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99 (92.5%)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50B64614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98 (91.6%)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7BAB4B5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4FE5DA42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04A0E3EB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Unknown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2B5472A2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 (0.0%)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61BE7688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 (1.9%)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62D63CC2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7D65789B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3FF2F283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Chemotherapy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664E71F1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6A760908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4D4579F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0.496</w:t>
            </w:r>
          </w:p>
        </w:tc>
      </w:tr>
      <w:tr w:rsidR="008C6C0E" w14:paraId="6B5DE73F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38D0DE20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No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3FE6495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62 (57.9%)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0099698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58 (54.2%)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872135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27261B5F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0C7D4906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Yes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3D67210E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45 (42.1%)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386BE091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47 (43.9%)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1D92E349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76573943" w14:textId="77777777" w:rsidTr="008C6C0E">
        <w:trPr>
          <w:gridAfter w:val="2"/>
          <w:wAfter w:w="2140" w:type="dxa"/>
          <w:trHeight w:val="345"/>
        </w:trPr>
        <w:tc>
          <w:tcPr>
            <w:tcW w:w="3520" w:type="dxa"/>
            <w:shd w:val="clear" w:color="auto" w:fill="FFFFFF"/>
            <w:vAlign w:val="center"/>
            <w:hideMark/>
          </w:tcPr>
          <w:p w14:paraId="7BF4D9A9" w14:textId="77777777" w:rsidR="008C6C0E" w:rsidRDefault="008C6C0E">
            <w:pPr>
              <w:widowControl/>
              <w:wordWrap/>
              <w:autoSpaceDE/>
              <w:spacing w:after="0" w:line="480" w:lineRule="auto"/>
              <w:ind w:firstLineChars="100" w:firstLine="200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Unknown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7B4F138A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 (0.0%)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23AD8BBF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2 (1.9%)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53D6E68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  <w:t xml:space="preserve">　</w:t>
            </w:r>
          </w:p>
        </w:tc>
      </w:tr>
      <w:tr w:rsidR="008C6C0E" w14:paraId="3FCD91A9" w14:textId="77777777" w:rsidTr="008C6C0E">
        <w:trPr>
          <w:gridAfter w:val="2"/>
          <w:wAfter w:w="2140" w:type="dxa"/>
          <w:trHeight w:val="570"/>
        </w:trPr>
        <w:tc>
          <w:tcPr>
            <w:tcW w:w="3520" w:type="dxa"/>
            <w:shd w:val="clear" w:color="auto" w:fill="FFFFFF"/>
            <w:vAlign w:val="center"/>
            <w:hideMark/>
          </w:tcPr>
          <w:p w14:paraId="0B3CA638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Target therapy</w:t>
            </w:r>
          </w:p>
        </w:tc>
        <w:tc>
          <w:tcPr>
            <w:tcW w:w="3020" w:type="dxa"/>
            <w:shd w:val="clear" w:color="auto" w:fill="FFFFFF"/>
            <w:vAlign w:val="center"/>
            <w:hideMark/>
          </w:tcPr>
          <w:p w14:paraId="30C174F5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16 (15.0%)</w:t>
            </w:r>
          </w:p>
        </w:tc>
        <w:tc>
          <w:tcPr>
            <w:tcW w:w="3040" w:type="dxa"/>
            <w:shd w:val="clear" w:color="auto" w:fill="FFFFFF"/>
            <w:vAlign w:val="center"/>
            <w:hideMark/>
          </w:tcPr>
          <w:p w14:paraId="08B0A0D7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15 (14.0%)</w:t>
            </w: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14:paraId="7B1716AB" w14:textId="77777777" w:rsidR="008C6C0E" w:rsidRDefault="008C6C0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0.846</w:t>
            </w:r>
          </w:p>
        </w:tc>
      </w:tr>
      <w:tr w:rsidR="008C6C0E" w14:paraId="2E9FFB43" w14:textId="77777777" w:rsidTr="008C6C0E">
        <w:trPr>
          <w:trHeight w:val="330"/>
        </w:trPr>
        <w:tc>
          <w:tcPr>
            <w:tcW w:w="12800" w:type="dxa"/>
            <w:gridSpan w:val="6"/>
            <w:shd w:val="clear" w:color="auto" w:fill="FFFFFF"/>
            <w:vAlign w:val="center"/>
            <w:hideMark/>
          </w:tcPr>
          <w:p w14:paraId="4C59DDD4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 w:hint="eastAsia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Data are n (%).</w:t>
            </w:r>
          </w:p>
        </w:tc>
      </w:tr>
      <w:tr w:rsidR="008C6C0E" w14:paraId="54306881" w14:textId="77777777" w:rsidTr="008C6C0E">
        <w:trPr>
          <w:trHeight w:val="330"/>
        </w:trPr>
        <w:tc>
          <w:tcPr>
            <w:tcW w:w="12800" w:type="dxa"/>
            <w:gridSpan w:val="6"/>
            <w:shd w:val="clear" w:color="auto" w:fill="FFFFFF"/>
            <w:vAlign w:val="center"/>
            <w:hideMark/>
          </w:tcPr>
          <w:p w14:paraId="4A770CBC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vertAlign w:val="superscript"/>
                <w14:ligatures w14:val="standardContextual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Pearson's Chi-squared test or Fisher's exact test</w:t>
            </w:r>
          </w:p>
        </w:tc>
      </w:tr>
      <w:tr w:rsidR="008C6C0E" w14:paraId="725BDACA" w14:textId="77777777" w:rsidTr="008C6C0E">
        <w:trPr>
          <w:trHeight w:val="330"/>
        </w:trPr>
        <w:tc>
          <w:tcPr>
            <w:tcW w:w="3520" w:type="dxa"/>
            <w:vAlign w:val="center"/>
            <w:hideMark/>
          </w:tcPr>
          <w:p w14:paraId="6025FF64" w14:textId="77777777" w:rsidR="008C6C0E" w:rsidRDefault="008C6C0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HER2, human epidermal receptor 2.</w:t>
            </w:r>
          </w:p>
        </w:tc>
        <w:tc>
          <w:tcPr>
            <w:tcW w:w="3020" w:type="dxa"/>
            <w:vAlign w:val="center"/>
            <w:hideMark/>
          </w:tcPr>
          <w:p w14:paraId="2CC39A10" w14:textId="77777777" w:rsidR="008C6C0E" w:rsidRDefault="008C6C0E">
            <w:pPr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</w:p>
        </w:tc>
        <w:tc>
          <w:tcPr>
            <w:tcW w:w="3040" w:type="dxa"/>
            <w:noWrap/>
            <w:vAlign w:val="center"/>
            <w:hideMark/>
          </w:tcPr>
          <w:p w14:paraId="66FA1F84" w14:textId="77777777" w:rsidR="008C6C0E" w:rsidRDefault="008C6C0E">
            <w:pPr>
              <w:widowControl/>
              <w:wordWrap/>
              <w:autoSpaceDE/>
              <w:autoSpaceDN/>
              <w:spacing w:after="0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2140" w:type="dxa"/>
            <w:gridSpan w:val="2"/>
            <w:noWrap/>
            <w:vAlign w:val="center"/>
            <w:hideMark/>
          </w:tcPr>
          <w:p w14:paraId="249804A3" w14:textId="77777777" w:rsidR="008C6C0E" w:rsidRDefault="008C6C0E">
            <w:pPr>
              <w:widowControl/>
              <w:wordWrap/>
              <w:autoSpaceDE/>
              <w:autoSpaceDN/>
              <w:spacing w:after="0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6F6BA74" w14:textId="77777777" w:rsidR="008C6C0E" w:rsidRDefault="008C6C0E">
            <w:pPr>
              <w:widowControl/>
              <w:wordWrap/>
              <w:autoSpaceDE/>
              <w:autoSpaceDN/>
              <w:spacing w:after="0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</w:tbl>
    <w:p w14:paraId="48E571E4" w14:textId="77777777" w:rsidR="008C6C0E" w:rsidRDefault="008C6C0E" w:rsidP="008C6C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5EA6A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0E"/>
    <w:rsid w:val="008C6C0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F1970"/>
  <w15:chartTrackingRefBased/>
  <w15:docId w15:val="{CBCE51B2-A517-47F4-94DD-E817A3F1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C0E"/>
    <w:pPr>
      <w:widowControl w:val="0"/>
      <w:wordWrap w:val="0"/>
      <w:autoSpaceDE w:val="0"/>
      <w:autoSpaceDN w:val="0"/>
      <w:spacing w:line="256" w:lineRule="auto"/>
      <w:jc w:val="both"/>
    </w:pPr>
    <w:rPr>
      <w:rFonts w:ascii="Malgun Gothic" w:eastAsia="Malgun Gothic" w:hAnsi="Malgun Gothic" w:cs="Malgun Gothic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320</Words>
  <Characters>1824</Characters>
  <Application>Microsoft Office Word</Application>
  <DocSecurity>0</DocSecurity>
  <Lines>15</Lines>
  <Paragraphs>4</Paragraphs>
  <ScaleCrop>false</ScaleCrop>
  <Company>Springer Nature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2023-10-31T08:03:00Z</dcterms:created>
  <dcterms:modified xsi:type="dcterms:W3CDTF">2023-10-31T08:03:00Z</dcterms:modified>
</cp:coreProperties>
</file>