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9F326" w14:textId="77777777" w:rsidR="00FF21C9" w:rsidRDefault="00FF21C9" w:rsidP="00BB03FD">
      <w:pPr>
        <w:pStyle w:val="Title2"/>
        <w:spacing w:line="480" w:lineRule="auto"/>
        <w:jc w:val="both"/>
        <w:rPr>
          <w:b w:val="0"/>
        </w:rPr>
      </w:pPr>
    </w:p>
    <w:p w14:paraId="1D0DF114" w14:textId="77777777" w:rsidR="00027ED3" w:rsidRPr="00FD6DB8" w:rsidRDefault="00027ED3" w:rsidP="00BB03FD">
      <w:pPr>
        <w:pStyle w:val="Title2"/>
        <w:spacing w:line="480" w:lineRule="auto"/>
        <w:jc w:val="both"/>
        <w:rPr>
          <w:b w:val="0"/>
        </w:rPr>
      </w:pPr>
    </w:p>
    <w:p w14:paraId="6EB1E4C6" w14:textId="77777777" w:rsidR="00FF21C9" w:rsidRPr="00FD6DB8" w:rsidRDefault="00FF21C9" w:rsidP="00BB03FD">
      <w:pPr>
        <w:pStyle w:val="Title2"/>
        <w:spacing w:line="480" w:lineRule="auto"/>
        <w:jc w:val="both"/>
        <w:rPr>
          <w:b w:val="0"/>
          <w:sz w:val="32"/>
          <w:szCs w:val="32"/>
        </w:rPr>
      </w:pPr>
      <w:r w:rsidRPr="00FD6DB8">
        <w:rPr>
          <w:b w:val="0"/>
          <w:sz w:val="32"/>
          <w:szCs w:val="32"/>
        </w:rPr>
        <w:t xml:space="preserve">Supporting Information </w:t>
      </w:r>
    </w:p>
    <w:p w14:paraId="39A27664" w14:textId="69687550" w:rsidR="00FF21C9" w:rsidRPr="00FD6DB8" w:rsidRDefault="00BB0222" w:rsidP="00F7663B">
      <w:pPr>
        <w:pStyle w:val="Tableofcontents"/>
      </w:pPr>
      <w:r>
        <w:tab/>
      </w:r>
    </w:p>
    <w:p w14:paraId="28A4BAEA" w14:textId="77777777" w:rsidR="00FF21C9" w:rsidRPr="00FD6DB8" w:rsidRDefault="00FF21C9" w:rsidP="00F7663B">
      <w:pPr>
        <w:pStyle w:val="Tableofcontents"/>
      </w:pPr>
    </w:p>
    <w:p w14:paraId="25F6D9FA" w14:textId="77777777" w:rsidR="00682B93" w:rsidRDefault="00682B93" w:rsidP="00F7663B">
      <w:pPr>
        <w:pStyle w:val="Tableofcontents"/>
      </w:pPr>
      <w:r w:rsidRPr="00682B93">
        <w:t xml:space="preserve">A Human Tooth-On-Chip Model Shows Long-Range </w:t>
      </w:r>
      <w:proofErr w:type="spellStart"/>
      <w:r w:rsidRPr="00682B93">
        <w:t>Osteoinduction</w:t>
      </w:r>
      <w:proofErr w:type="spellEnd"/>
      <w:r w:rsidRPr="00682B93">
        <w:t xml:space="preserve"> from the Dentine Surface. </w:t>
      </w:r>
    </w:p>
    <w:p w14:paraId="48B4064B" w14:textId="77777777" w:rsidR="001D2EB1" w:rsidRPr="00682B93" w:rsidRDefault="001D2EB1" w:rsidP="00F7663B">
      <w:pPr>
        <w:pStyle w:val="Tableofcontents"/>
      </w:pPr>
    </w:p>
    <w:p w14:paraId="25058DD5" w14:textId="6385AB33" w:rsidR="001D2EB1" w:rsidRPr="001D2EB1" w:rsidRDefault="001D2EB1" w:rsidP="00F7663B">
      <w:pPr>
        <w:pStyle w:val="Tableofcontents"/>
      </w:pPr>
      <w:r w:rsidRPr="001D2EB1">
        <w:t xml:space="preserve">William Macalester, Rafael Moreno, Mark Shannon, </w:t>
      </w:r>
      <w:r w:rsidR="00DA6036">
        <w:t xml:space="preserve">Nicola West, </w:t>
      </w:r>
      <w:r w:rsidRPr="001D2EB1">
        <w:t>Darryl Hill, Asme Boussahel*, Adam Perriman*</w:t>
      </w:r>
    </w:p>
    <w:p w14:paraId="6BE3FEEB" w14:textId="77777777" w:rsidR="00A37F84" w:rsidRDefault="00A37F84" w:rsidP="00A37F84">
      <w:pPr>
        <w:rPr>
          <w:lang w:val="en-US"/>
        </w:rPr>
      </w:pPr>
    </w:p>
    <w:p w14:paraId="0ACF9D30" w14:textId="77777777" w:rsidR="00F7663B" w:rsidRPr="00936F5D" w:rsidRDefault="00F7663B" w:rsidP="00A37F84">
      <w:pPr>
        <w:rPr>
          <w:b/>
          <w:bCs/>
          <w:lang w:val="en-US"/>
        </w:rPr>
      </w:pPr>
    </w:p>
    <w:p w14:paraId="06D62FBF" w14:textId="3FD32CD7" w:rsidR="00F7663B" w:rsidRPr="00936F5D" w:rsidRDefault="00F7663B" w:rsidP="00A37F84">
      <w:pPr>
        <w:rPr>
          <w:b/>
          <w:bCs/>
          <w:lang w:val="en-US"/>
        </w:rPr>
      </w:pPr>
      <w:r w:rsidRPr="00936F5D">
        <w:rPr>
          <w:b/>
          <w:bCs/>
          <w:lang w:val="en-US"/>
        </w:rPr>
        <w:t>Supplementary methods</w:t>
      </w:r>
    </w:p>
    <w:p w14:paraId="7F3BDA01" w14:textId="77777777" w:rsidR="00A37F84" w:rsidRDefault="00A37F84" w:rsidP="00A37F84">
      <w:pPr>
        <w:rPr>
          <w:lang w:val="en-US"/>
        </w:rPr>
      </w:pPr>
    </w:p>
    <w:p w14:paraId="2EF4EB54" w14:textId="77777777" w:rsidR="00F7663B" w:rsidRDefault="00F7663B" w:rsidP="00A37F84">
      <w:pPr>
        <w:rPr>
          <w:lang w:val="en-US"/>
        </w:rPr>
      </w:pPr>
    </w:p>
    <w:p w14:paraId="13BB6DF6" w14:textId="53C81B4B" w:rsidR="00F7663B" w:rsidRPr="00A20924" w:rsidRDefault="00F7663B" w:rsidP="00F7663B">
      <w:pPr>
        <w:tabs>
          <w:tab w:val="left" w:pos="7852"/>
        </w:tabs>
        <w:spacing w:line="480" w:lineRule="auto"/>
        <w:jc w:val="both"/>
        <w:rPr>
          <w:b/>
          <w:bCs/>
          <w:i/>
          <w:iCs/>
          <w:lang w:val="en-US"/>
        </w:rPr>
      </w:pPr>
      <w:r w:rsidRPr="00A20924">
        <w:rPr>
          <w:b/>
          <w:bCs/>
          <w:i/>
          <w:iCs/>
          <w:lang w:val="en-US"/>
        </w:rPr>
        <w:t>Analysis of macromolecular diffusion through alginate and the bioink</w:t>
      </w:r>
      <w:r w:rsidR="00A20924">
        <w:rPr>
          <w:b/>
          <w:bCs/>
          <w:i/>
          <w:iCs/>
          <w:lang w:val="en-US"/>
        </w:rPr>
        <w:t xml:space="preserve">: </w:t>
      </w:r>
      <w:r w:rsidRPr="00FD6DB8">
        <w:rPr>
          <w:lang w:val="en-US"/>
        </w:rPr>
        <w:t>The determination of the effective diffusion coefficient (</w:t>
      </w:r>
      <w:proofErr w:type="spellStart"/>
      <w:r w:rsidRPr="00FD6DB8">
        <w:rPr>
          <w:lang w:val="en-US"/>
        </w:rPr>
        <w:t>D</w:t>
      </w:r>
      <w:r w:rsidRPr="001F6A1D">
        <w:rPr>
          <w:vertAlign w:val="subscript"/>
          <w:lang w:val="en-US"/>
        </w:rPr>
        <w:t>eff</w:t>
      </w:r>
      <w:proofErr w:type="spellEnd"/>
      <w:r w:rsidRPr="00FD6DB8">
        <w:rPr>
          <w:lang w:val="en-US"/>
        </w:rPr>
        <w:t xml:space="preserve">) of </w:t>
      </w:r>
      <w:proofErr w:type="spellStart"/>
      <w:r w:rsidRPr="00FD6DB8">
        <w:rPr>
          <w:lang w:val="en-US"/>
        </w:rPr>
        <w:t>tetramethylrhodamine</w:t>
      </w:r>
      <w:proofErr w:type="spellEnd"/>
      <w:r w:rsidRPr="00FD6DB8">
        <w:rPr>
          <w:lang w:val="en-US"/>
        </w:rPr>
        <w:t xml:space="preserve">-coupled bovine serum albumin (BSA-TAMRA) in both alginate and the bioink was performed according to the protocol described by </w:t>
      </w:r>
      <w:proofErr w:type="spellStart"/>
      <w:r w:rsidRPr="00FD6DB8">
        <w:rPr>
          <w:lang w:val="en-US"/>
        </w:rPr>
        <w:t>Huesbch</w:t>
      </w:r>
      <w:proofErr w:type="spellEnd"/>
      <w:r w:rsidRPr="00FD6DB8">
        <w:rPr>
          <w:lang w:val="en-US"/>
        </w:rPr>
        <w:t xml:space="preserve"> et al. </w:t>
      </w:r>
    </w:p>
    <w:p w14:paraId="0BDE745B" w14:textId="5C390B23" w:rsidR="00F7663B" w:rsidRPr="00FD6DB8" w:rsidRDefault="00F7663B" w:rsidP="00F7663B">
      <w:pPr>
        <w:tabs>
          <w:tab w:val="left" w:pos="7852"/>
        </w:tabs>
        <w:spacing w:line="480" w:lineRule="auto"/>
        <w:jc w:val="both"/>
        <w:rPr>
          <w:lang w:val="en-US"/>
        </w:rPr>
      </w:pPr>
      <w:r w:rsidRPr="00FD6DB8">
        <w:rPr>
          <w:lang w:val="en-US"/>
        </w:rPr>
        <w:t xml:space="preserve"> To synthesize BSA-TAMRA, NHS-rhodamine (159 </w:t>
      </w:r>
      <w:r w:rsidRPr="00FD6DB8">
        <w:rPr>
          <w:lang w:val="en-US"/>
        </w:rPr>
        <w:sym w:font="Symbol" w:char="F06D"/>
      </w:r>
      <w:r w:rsidRPr="00FD6DB8">
        <w:rPr>
          <w:lang w:val="en-US"/>
        </w:rPr>
        <w:t>L of 10 mg mL</w:t>
      </w:r>
      <w:r w:rsidRPr="00FD6DB8">
        <w:rPr>
          <w:vertAlign w:val="superscript"/>
          <w:lang w:val="en-US"/>
        </w:rPr>
        <w:t>-1</w:t>
      </w:r>
      <w:r w:rsidRPr="00FD6DB8">
        <w:rPr>
          <w:lang w:val="en-US"/>
        </w:rPr>
        <w:t xml:space="preserve"> stock in DMSO, 46406, </w:t>
      </w:r>
      <w:proofErr w:type="spellStart"/>
      <w:r w:rsidRPr="00FD6DB8">
        <w:rPr>
          <w:lang w:val="en-US"/>
        </w:rPr>
        <w:t>ThermoFisher</w:t>
      </w:r>
      <w:proofErr w:type="spellEnd"/>
      <w:r w:rsidRPr="00FD6DB8">
        <w:rPr>
          <w:lang w:val="en-US"/>
        </w:rPr>
        <w:t xml:space="preserve">) was conjugated to BSA (50 mg, ~66 </w:t>
      </w:r>
      <w:proofErr w:type="spellStart"/>
      <w:r w:rsidRPr="00FD6DB8">
        <w:rPr>
          <w:lang w:val="en-US"/>
        </w:rPr>
        <w:t>kDa</w:t>
      </w:r>
      <w:proofErr w:type="spellEnd"/>
      <w:r w:rsidRPr="00FD6DB8">
        <w:rPr>
          <w:lang w:val="en-US"/>
        </w:rPr>
        <w:t xml:space="preserve">, A7638, Sigma-Aldrich) by reaction (4 °C, 22 hours, wrapped in foil) in bicarbonate buffer (5 mL, 0.1 M NaHCO3 in deionized water, S6014, Sigma-Aldrich, pH = 8.5). To remove unreacted components, the products were purified using a Sephadex® G-25 desalting column. The degree of labelling was determined by UV-vis spectrophotometry. </w:t>
      </w:r>
    </w:p>
    <w:p w14:paraId="70227F1A" w14:textId="77777777" w:rsidR="00F7663B" w:rsidRPr="00FD6DB8" w:rsidRDefault="00F7663B" w:rsidP="00F7663B">
      <w:pPr>
        <w:tabs>
          <w:tab w:val="left" w:pos="7852"/>
        </w:tabs>
        <w:spacing w:line="480" w:lineRule="auto"/>
        <w:jc w:val="both"/>
        <w:rPr>
          <w:lang w:val="en-US"/>
        </w:rPr>
      </w:pPr>
      <w:r w:rsidRPr="00FD6DB8">
        <w:rPr>
          <w:lang w:val="en-US"/>
        </w:rPr>
        <w:t xml:space="preserve">For BSA-TAMRA diffusion studies, acellular bioink and alginate samples were prepared without </w:t>
      </w:r>
      <w:proofErr w:type="spellStart"/>
      <w:r w:rsidRPr="00FD6DB8">
        <w:rPr>
          <w:lang w:val="en-US"/>
        </w:rPr>
        <w:t>GlutaMax</w:t>
      </w:r>
      <w:proofErr w:type="spellEnd"/>
      <w:r w:rsidRPr="00FD6DB8">
        <w:rPr>
          <w:lang w:val="en-US"/>
        </w:rPr>
        <w:t xml:space="preserve"> and FBS added to basal media. After Pluronic F127 or DMEM respectively was spun into the gel, BSA-TAMRA was added to yield a final concentration of 1 mg / mL, and the samples kept wrapped in foil henceforth to prevent photobleaching of the fluorophore. </w:t>
      </w:r>
      <w:r w:rsidRPr="00FD6DB8">
        <w:rPr>
          <w:lang w:val="en-US"/>
        </w:rPr>
        <w:lastRenderedPageBreak/>
        <w:t>The crosslinking solution and expansion media were supplemented with BSA-TAMRA (1 mg / mL), and all samples were taken after incubation (overnight, 37 °C) in 5 mM expansion media.</w:t>
      </w:r>
    </w:p>
    <w:p w14:paraId="7673038D" w14:textId="77777777" w:rsidR="00F7663B" w:rsidRPr="00FD6DB8" w:rsidRDefault="00F7663B" w:rsidP="00F7663B">
      <w:pPr>
        <w:tabs>
          <w:tab w:val="left" w:pos="7852"/>
        </w:tabs>
        <w:spacing w:line="480" w:lineRule="auto"/>
        <w:jc w:val="both"/>
        <w:rPr>
          <w:lang w:val="en-US"/>
        </w:rPr>
      </w:pPr>
    </w:p>
    <w:p w14:paraId="355C22D9" w14:textId="289D8E40" w:rsidR="00F7663B" w:rsidRPr="00FD6DB8" w:rsidRDefault="00F7663B" w:rsidP="00F7663B">
      <w:pPr>
        <w:tabs>
          <w:tab w:val="left" w:pos="7852"/>
        </w:tabs>
        <w:spacing w:line="480" w:lineRule="auto"/>
        <w:jc w:val="both"/>
        <w:rPr>
          <w:lang w:val="en-US"/>
        </w:rPr>
      </w:pPr>
      <w:r w:rsidRPr="00FD6DB8">
        <w:rPr>
          <w:lang w:val="en-US"/>
        </w:rPr>
        <w:t>Samples were measured using digital calipers and transferred to a 6 well plate (1 sample per well). The samples were then incubated in low glucose DMEM (phenol free, + 5 mM CaCl</w:t>
      </w:r>
      <w:r w:rsidRPr="00503406">
        <w:rPr>
          <w:vertAlign w:val="subscript"/>
          <w:lang w:val="en-US"/>
        </w:rPr>
        <w:t>2</w:t>
      </w:r>
      <w:r w:rsidRPr="00FD6DB8">
        <w:rPr>
          <w:lang w:val="en-US"/>
        </w:rPr>
        <w:t>, + P/S, 9-10 mL) on an orbital shaker (30 rpm, 37 °C, 5</w:t>
      </w:r>
      <w:r>
        <w:rPr>
          <w:lang w:val="en-US"/>
        </w:rPr>
        <w:t xml:space="preserve"> </w:t>
      </w:r>
      <w:r w:rsidRPr="00FD6DB8">
        <w:rPr>
          <w:lang w:val="en-US"/>
        </w:rPr>
        <w:t>% CO</w:t>
      </w:r>
      <w:r w:rsidRPr="00503406">
        <w:rPr>
          <w:vertAlign w:val="subscript"/>
          <w:lang w:val="en-US"/>
        </w:rPr>
        <w:t>2</w:t>
      </w:r>
      <w:r w:rsidRPr="00FD6DB8">
        <w:rPr>
          <w:lang w:val="en-US"/>
        </w:rPr>
        <w:t xml:space="preserve">). The lowest shaking speed was used to remove complications that may arise due to boundary-layer effects whilst minimizing effect on bulk diffusion. Aliquots (100 </w:t>
      </w:r>
      <w:r w:rsidRPr="00FD6DB8">
        <w:rPr>
          <w:lang w:val="en-US"/>
        </w:rPr>
        <w:sym w:font="Symbol" w:char="F06D"/>
      </w:r>
      <w:r w:rsidRPr="00FD6DB8">
        <w:rPr>
          <w:lang w:val="en-US"/>
        </w:rPr>
        <w:t>L) were taken from the center of the wells over 4 hours, and the endpoint fluorescence recorded (Ex/</w:t>
      </w:r>
      <w:proofErr w:type="spellStart"/>
      <w:r w:rsidRPr="00FD6DB8">
        <w:rPr>
          <w:lang w:val="en-US"/>
        </w:rPr>
        <w:t>Em</w:t>
      </w:r>
      <w:proofErr w:type="spellEnd"/>
      <w:r w:rsidRPr="00FD6DB8">
        <w:rPr>
          <w:lang w:val="en-US"/>
        </w:rPr>
        <w:t xml:space="preserve"> 552/575 nm, </w:t>
      </w:r>
      <w:proofErr w:type="spellStart"/>
      <w:r w:rsidRPr="00FD6DB8">
        <w:rPr>
          <w:lang w:val="en-US"/>
        </w:rPr>
        <w:t>BioTek</w:t>
      </w:r>
      <w:proofErr w:type="spellEnd"/>
      <w:r w:rsidRPr="00FD6DB8">
        <w:rPr>
          <w:lang w:val="en-US"/>
        </w:rPr>
        <w:t xml:space="preserve"> Synergy Neo2 Hybrid Multi-Mode Reader). The readings were then compared to a standard curve of known BSA-TAMRA concentrations. The </w:t>
      </w:r>
      <w:proofErr w:type="spellStart"/>
      <w:r w:rsidRPr="00FD6DB8">
        <w:rPr>
          <w:lang w:val="en-US"/>
        </w:rPr>
        <w:t>D</w:t>
      </w:r>
      <w:r w:rsidRPr="00FD6DB8">
        <w:rPr>
          <w:vertAlign w:val="subscript"/>
          <w:lang w:val="en-US"/>
        </w:rPr>
        <w:t>eff</w:t>
      </w:r>
      <w:proofErr w:type="spellEnd"/>
      <w:r w:rsidRPr="00FD6DB8">
        <w:rPr>
          <w:lang w:val="en-US"/>
        </w:rPr>
        <w:t xml:space="preserve"> was then calculated using equation </w:t>
      </w:r>
      <w:r>
        <w:rPr>
          <w:lang w:val="en-US"/>
        </w:rPr>
        <w:t>(</w:t>
      </w:r>
      <w:r w:rsidR="00014EE8">
        <w:rPr>
          <w:lang w:val="en-US"/>
        </w:rPr>
        <w:t>1</w:t>
      </w:r>
      <w:r>
        <w:rPr>
          <w:lang w:val="en-US"/>
        </w:rPr>
        <w:t>)</w:t>
      </w:r>
      <w:r w:rsidRPr="00FD6DB8">
        <w:rPr>
          <w:lang w:val="en-US"/>
        </w:rPr>
        <w:t>.</w:t>
      </w:r>
    </w:p>
    <w:p w14:paraId="2AB1A498" w14:textId="77777777" w:rsidR="00F7663B" w:rsidRPr="00FD6DB8" w:rsidRDefault="00F7663B" w:rsidP="00F7663B">
      <w:pPr>
        <w:tabs>
          <w:tab w:val="left" w:pos="7852"/>
        </w:tabs>
        <w:spacing w:line="480" w:lineRule="auto"/>
        <w:jc w:val="both"/>
        <w:rPr>
          <w:lang w:val="en-US"/>
        </w:rPr>
      </w:pPr>
      <w:r w:rsidRPr="00FD6DB8">
        <w:rPr>
          <w:rFonts w:ascii="Cambria Math" w:hAnsi="Cambria Math"/>
          <w:i/>
          <w:lang w:val="en-US"/>
        </w:rPr>
        <w:br/>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eff</m:t>
            </m:r>
          </m:sub>
        </m:sSub>
        <m:r>
          <w:rPr>
            <w:rFonts w:ascii="Cambria Math" w:hAnsi="Cambria Math"/>
            <w:lang w:val="en-US"/>
          </w:rPr>
          <m:t>=π</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m*</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media bath</m:t>
                        </m:r>
                      </m:sub>
                    </m:sSub>
                  </m:num>
                  <m:den>
                    <m:r>
                      <w:rPr>
                        <w:rFonts w:ascii="Cambria Math" w:hAnsi="Cambria Math"/>
                        <w:lang w:val="en-US"/>
                      </w:rPr>
                      <m:t xml:space="preserve">2 </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matrix</m:t>
                        </m:r>
                      </m:sub>
                    </m:sSub>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matrix</m:t>
                        </m:r>
                      </m:sub>
                    </m:sSub>
                  </m:den>
                </m:f>
              </m:e>
            </m:d>
          </m:e>
          <m:sup>
            <m:r>
              <w:rPr>
                <w:rFonts w:ascii="Cambria Math" w:hAnsi="Cambria Math"/>
                <w:lang w:val="en-US"/>
              </w:rPr>
              <m:t>2</m:t>
            </m:r>
          </m:sup>
        </m:sSup>
      </m:oMath>
      <w:r w:rsidRPr="00FD6DB8">
        <w:rPr>
          <w:lang w:val="en-US"/>
        </w:rPr>
        <w:tab/>
      </w:r>
      <w:r w:rsidRPr="00FD6DB8">
        <w:rPr>
          <w:lang w:val="en-US"/>
        </w:rPr>
        <w:tab/>
      </w:r>
      <w:r w:rsidRPr="00FD6DB8">
        <w:rPr>
          <w:lang w:val="en-US"/>
        </w:rPr>
        <w:tab/>
      </w:r>
      <w:r w:rsidRPr="00FD6DB8">
        <w:rPr>
          <w:color w:val="000000"/>
          <w:lang w:val="en-US"/>
        </w:rPr>
        <w:t>(1)</w:t>
      </w:r>
    </w:p>
    <w:p w14:paraId="7C0412D0" w14:textId="77777777" w:rsidR="00F7663B" w:rsidRPr="00FD6DB8" w:rsidRDefault="00F7663B" w:rsidP="00F7663B">
      <w:pPr>
        <w:tabs>
          <w:tab w:val="left" w:pos="7852"/>
        </w:tabs>
        <w:spacing w:line="480" w:lineRule="auto"/>
        <w:jc w:val="both"/>
        <w:rPr>
          <w:lang w:val="en-US"/>
        </w:rPr>
      </w:pPr>
    </w:p>
    <w:p w14:paraId="4352AD39" w14:textId="77777777" w:rsidR="00F7663B" w:rsidRPr="00FD6DB8" w:rsidRDefault="00F7663B" w:rsidP="00F7663B">
      <w:pPr>
        <w:tabs>
          <w:tab w:val="left" w:pos="7852"/>
        </w:tabs>
        <w:spacing w:line="480" w:lineRule="auto"/>
        <w:jc w:val="both"/>
        <w:rPr>
          <w:lang w:val="en-US"/>
        </w:rPr>
      </w:pPr>
    </w:p>
    <w:p w14:paraId="55CC40B1" w14:textId="77777777" w:rsidR="00F7663B" w:rsidRDefault="00F7663B" w:rsidP="00F7663B">
      <w:pPr>
        <w:tabs>
          <w:tab w:val="left" w:pos="7852"/>
        </w:tabs>
        <w:spacing w:line="480" w:lineRule="auto"/>
        <w:jc w:val="both"/>
        <w:rPr>
          <w:lang w:val="en-US"/>
        </w:rPr>
      </w:pPr>
      <w:r w:rsidRPr="00FD6DB8">
        <w:rPr>
          <w:lang w:val="en-US"/>
        </w:rPr>
        <w:t>The semi-infinite slab approximation was validated over the range of timepoints used by least-squares fitting of the linear regression (all R</w:t>
      </w:r>
      <w:r w:rsidRPr="00FD6DB8">
        <w:rPr>
          <w:vertAlign w:val="superscript"/>
          <w:lang w:val="en-US"/>
        </w:rPr>
        <w:t>2</w:t>
      </w:r>
      <w:r w:rsidRPr="00FD6DB8">
        <w:rPr>
          <w:lang w:val="en-US"/>
        </w:rPr>
        <w:t xml:space="preserve"> &gt; 0.90). Statistical analysis was performed using a Welch’s t-test (n=5). For comparison, </w:t>
      </w:r>
      <w:proofErr w:type="spellStart"/>
      <w:r w:rsidRPr="00FD6DB8">
        <w:rPr>
          <w:lang w:val="en-US"/>
        </w:rPr>
        <w:t>Pluen</w:t>
      </w:r>
      <w:proofErr w:type="spellEnd"/>
      <w:r w:rsidRPr="00FD6DB8">
        <w:rPr>
          <w:lang w:val="en-US"/>
        </w:rPr>
        <w:t xml:space="preserve"> et al. found the </w:t>
      </w:r>
      <w:proofErr w:type="spellStart"/>
      <w:r w:rsidRPr="00FD6DB8">
        <w:rPr>
          <w:lang w:val="en-US"/>
        </w:rPr>
        <w:t>D</w:t>
      </w:r>
      <w:r w:rsidRPr="00FD6DB8">
        <w:rPr>
          <w:vertAlign w:val="subscript"/>
          <w:lang w:val="en-US"/>
        </w:rPr>
        <w:t>eff</w:t>
      </w:r>
      <w:proofErr w:type="spellEnd"/>
      <w:r w:rsidRPr="00FD6DB8">
        <w:rPr>
          <w:lang w:val="en-US"/>
        </w:rPr>
        <w:t xml:space="preserve"> of BSA in water to be 6.4 ± 0.4 x10</w:t>
      </w:r>
      <w:r w:rsidRPr="00FD6DB8">
        <w:rPr>
          <w:vertAlign w:val="superscript"/>
          <w:lang w:val="en-US"/>
        </w:rPr>
        <w:t>-11</w:t>
      </w:r>
      <w:r w:rsidRPr="00FD6DB8">
        <w:rPr>
          <w:lang w:val="en-US"/>
        </w:rPr>
        <w:t xml:space="preserve"> m</w:t>
      </w:r>
      <w:r w:rsidRPr="00FD6DB8">
        <w:rPr>
          <w:vertAlign w:val="superscript"/>
          <w:lang w:val="en-US"/>
        </w:rPr>
        <w:t>2</w:t>
      </w:r>
      <w:r w:rsidRPr="00FD6DB8">
        <w:rPr>
          <w:lang w:val="en-US"/>
        </w:rPr>
        <w:t xml:space="preserve"> s</w:t>
      </w:r>
      <w:r w:rsidRPr="00FD6DB8">
        <w:rPr>
          <w:vertAlign w:val="superscript"/>
          <w:lang w:val="en-US"/>
        </w:rPr>
        <w:t>-1</w:t>
      </w:r>
      <w:r w:rsidRPr="00FD6DB8">
        <w:rPr>
          <w:lang w:val="en-US"/>
        </w:rPr>
        <w:t>.</w:t>
      </w:r>
    </w:p>
    <w:p w14:paraId="70F40FB9" w14:textId="77777777" w:rsidR="00A20924" w:rsidRDefault="00A20924" w:rsidP="00F7663B">
      <w:pPr>
        <w:tabs>
          <w:tab w:val="left" w:pos="7852"/>
        </w:tabs>
        <w:spacing w:line="480" w:lineRule="auto"/>
        <w:jc w:val="both"/>
        <w:rPr>
          <w:lang w:val="en-US"/>
        </w:rPr>
      </w:pPr>
    </w:p>
    <w:p w14:paraId="24C0B633" w14:textId="33CD3CBE" w:rsidR="00A20924" w:rsidRPr="002D4D89" w:rsidRDefault="00A20924" w:rsidP="00A20924">
      <w:pPr>
        <w:tabs>
          <w:tab w:val="center" w:pos="4536"/>
        </w:tabs>
        <w:spacing w:line="480" w:lineRule="auto"/>
        <w:jc w:val="both"/>
        <w:rPr>
          <w:lang w:val="en-US"/>
        </w:rPr>
      </w:pPr>
      <w:r w:rsidRPr="00A20924">
        <w:rPr>
          <w:b/>
          <w:bCs/>
          <w:i/>
          <w:iCs/>
          <w:lang w:val="en-US"/>
        </w:rPr>
        <w:t>Unconfined Compression Analysis</w:t>
      </w:r>
      <w:r w:rsidRPr="00FD6DB8">
        <w:rPr>
          <w:i/>
          <w:iCs/>
          <w:lang w:val="en-US"/>
        </w:rPr>
        <w:t>:</w:t>
      </w:r>
      <w:r w:rsidRPr="00FD6DB8">
        <w:rPr>
          <w:lang w:val="en-US"/>
        </w:rPr>
        <w:t xml:space="preserve"> </w:t>
      </w:r>
      <w:r w:rsidRPr="00FD6DB8">
        <w:rPr>
          <w:lang w:val="en-US"/>
        </w:rPr>
        <w:tab/>
      </w:r>
      <w:proofErr w:type="spellStart"/>
      <w:r w:rsidR="002372A4">
        <w:rPr>
          <w:lang w:val="en-US"/>
        </w:rPr>
        <w:t>Bioprinted</w:t>
      </w:r>
      <w:proofErr w:type="spellEnd"/>
      <w:r w:rsidR="002372A4">
        <w:rPr>
          <w:lang w:val="en-US"/>
        </w:rPr>
        <w:t xml:space="preserve"> constructs were crosslinked by incubation in 100 mM </w:t>
      </w:r>
      <w:r w:rsidR="002372A4" w:rsidRPr="00FD6DB8">
        <w:t>CaCl</w:t>
      </w:r>
      <w:r w:rsidR="002372A4" w:rsidRPr="00503406">
        <w:rPr>
          <w:vertAlign w:val="subscript"/>
        </w:rPr>
        <w:t>2</w:t>
      </w:r>
      <w:r w:rsidR="002372A4">
        <w:rPr>
          <w:vertAlign w:val="subscript"/>
        </w:rPr>
        <w:t xml:space="preserve"> </w:t>
      </w:r>
      <w:r w:rsidR="002372A4">
        <w:t xml:space="preserve">overnight, followed by incubation overnight with expansion media (+ 5 mM </w:t>
      </w:r>
      <w:r w:rsidR="002372A4" w:rsidRPr="00FD6DB8">
        <w:t>CaCl</w:t>
      </w:r>
      <w:r w:rsidR="002372A4" w:rsidRPr="00503406">
        <w:rPr>
          <w:vertAlign w:val="subscript"/>
        </w:rPr>
        <w:t>2</w:t>
      </w:r>
      <w:r w:rsidR="002372A4">
        <w:t xml:space="preserve">) under tissue culture conditions before compression analysis. </w:t>
      </w:r>
      <w:r w:rsidRPr="00FD6DB8">
        <w:rPr>
          <w:lang w:val="en-US"/>
        </w:rPr>
        <w:t xml:space="preserve">All mechanical testing was performed using a STARRET FMS-500-L2 Force Measurement System (The L.S. Starrett Company Ltd, UK) fitted with a 10 N load cell at room temperature. Unconfined compression </w:t>
      </w:r>
      <w:r w:rsidRPr="00FD6DB8">
        <w:rPr>
          <w:lang w:val="en-US"/>
        </w:rPr>
        <w:lastRenderedPageBreak/>
        <w:t xml:space="preserve">testing was performed at a rate of 1 mm </w:t>
      </w:r>
      <w:proofErr w:type="gramStart"/>
      <w:r w:rsidRPr="00FD6DB8">
        <w:rPr>
          <w:lang w:val="en-US"/>
        </w:rPr>
        <w:t>min</w:t>
      </w:r>
      <w:r w:rsidRPr="00FD6DB8">
        <w:rPr>
          <w:vertAlign w:val="superscript"/>
          <w:lang w:val="en-US"/>
        </w:rPr>
        <w:t>-1</w:t>
      </w:r>
      <w:proofErr w:type="gramEnd"/>
      <w:r w:rsidRPr="00FD6DB8">
        <w:rPr>
          <w:lang w:val="en-US"/>
        </w:rPr>
        <w:t>. The Young’s modulus was calculated by linear regression analysis of the elastic region.</w:t>
      </w:r>
      <w:r w:rsidR="00E27579">
        <w:rPr>
          <w:lang w:val="en-US"/>
        </w:rPr>
        <w:t xml:space="preserve"> </w:t>
      </w:r>
    </w:p>
    <w:p w14:paraId="2EF7425A" w14:textId="77777777" w:rsidR="00A20924" w:rsidRDefault="00A20924" w:rsidP="00A20924">
      <w:pPr>
        <w:tabs>
          <w:tab w:val="center" w:pos="4536"/>
        </w:tabs>
        <w:spacing w:line="480" w:lineRule="auto"/>
        <w:jc w:val="both"/>
        <w:rPr>
          <w:lang w:val="en-US"/>
        </w:rPr>
      </w:pPr>
    </w:p>
    <w:p w14:paraId="4D8EA273" w14:textId="0FAD62E5" w:rsidR="00A20924" w:rsidRDefault="00A20924" w:rsidP="00A20924">
      <w:pPr>
        <w:spacing w:line="480" w:lineRule="auto"/>
        <w:jc w:val="both"/>
        <w:rPr>
          <w:lang w:val="en-US"/>
        </w:rPr>
      </w:pPr>
      <w:r w:rsidRPr="00A20924">
        <w:rPr>
          <w:b/>
          <w:bCs/>
          <w:i/>
          <w:iCs/>
          <w:lang w:val="en-US"/>
        </w:rPr>
        <w:t xml:space="preserve">FTIR analysis of </w:t>
      </w:r>
      <w:proofErr w:type="spellStart"/>
      <w:r w:rsidRPr="00A20924">
        <w:rPr>
          <w:b/>
          <w:bCs/>
          <w:i/>
          <w:iCs/>
          <w:lang w:val="en-US"/>
        </w:rPr>
        <w:t>bioprinted</w:t>
      </w:r>
      <w:proofErr w:type="spellEnd"/>
      <w:r w:rsidRPr="00A20924">
        <w:rPr>
          <w:b/>
          <w:bCs/>
          <w:i/>
          <w:iCs/>
          <w:lang w:val="en-US"/>
        </w:rPr>
        <w:t xml:space="preserve"> constructs</w:t>
      </w:r>
      <w:r w:rsidRPr="00FD6DB8">
        <w:rPr>
          <w:i/>
          <w:iCs/>
          <w:lang w:val="en-US"/>
        </w:rPr>
        <w:t>:</w:t>
      </w:r>
      <w:r w:rsidRPr="00FD6DB8">
        <w:rPr>
          <w:lang w:val="en-US"/>
        </w:rPr>
        <w:t xml:space="preserve"> </w:t>
      </w:r>
      <w:r w:rsidR="00716638">
        <w:rPr>
          <w:lang w:val="en-US"/>
        </w:rPr>
        <w:t>Cell lade</w:t>
      </w:r>
      <w:r w:rsidR="002372A4">
        <w:rPr>
          <w:lang w:val="en-US"/>
        </w:rPr>
        <w:t>n</w:t>
      </w:r>
      <w:r w:rsidR="00716638">
        <w:rPr>
          <w:lang w:val="en-US"/>
        </w:rPr>
        <w:t xml:space="preserve"> c</w:t>
      </w:r>
      <w:r w:rsidRPr="00FD6DB8">
        <w:rPr>
          <w:lang w:val="en-US"/>
        </w:rPr>
        <w:t xml:space="preserve">onstructs were </w:t>
      </w:r>
      <w:proofErr w:type="spellStart"/>
      <w:r w:rsidRPr="00FD6DB8">
        <w:rPr>
          <w:lang w:val="en-US"/>
        </w:rPr>
        <w:t>bioprinted</w:t>
      </w:r>
      <w:proofErr w:type="spellEnd"/>
      <w:r w:rsidRPr="00FD6DB8">
        <w:rPr>
          <w:lang w:val="en-US"/>
        </w:rPr>
        <w:t xml:space="preserve"> onto tissue culture plastic and cultured for 28 days with either expansion or </w:t>
      </w:r>
      <w:proofErr w:type="spellStart"/>
      <w:r w:rsidRPr="00FD6DB8">
        <w:rPr>
          <w:lang w:val="en-US"/>
        </w:rPr>
        <w:t>osteoinductive</w:t>
      </w:r>
      <w:proofErr w:type="spellEnd"/>
      <w:r w:rsidRPr="00FD6DB8">
        <w:rPr>
          <w:lang w:val="en-US"/>
        </w:rPr>
        <w:t xml:space="preserve"> media. 4 constructs were pooled per sample, washed with PBS, and lyophilized. Samples were then incubated with EDTA (50 mM, in PBS) until the alginate </w:t>
      </w:r>
      <w:r>
        <w:rPr>
          <w:lang w:val="en-US"/>
        </w:rPr>
        <w:t xml:space="preserve">network </w:t>
      </w:r>
      <w:r w:rsidRPr="00FD6DB8">
        <w:rPr>
          <w:lang w:val="en-US"/>
        </w:rPr>
        <w:t xml:space="preserve">was </w:t>
      </w:r>
      <w:r>
        <w:rPr>
          <w:lang w:val="en-US"/>
        </w:rPr>
        <w:t>disassembled</w:t>
      </w:r>
      <w:r w:rsidRPr="00FD6DB8">
        <w:rPr>
          <w:lang w:val="en-US"/>
        </w:rPr>
        <w:t xml:space="preserve">. The </w:t>
      </w:r>
      <w:r w:rsidRPr="008C559D">
        <w:rPr>
          <w:lang w:val="en-US"/>
        </w:rPr>
        <w:t>insoluble fraction</w:t>
      </w:r>
      <w:r w:rsidRPr="00FD6DB8">
        <w:rPr>
          <w:lang w:val="en-US"/>
        </w:rPr>
        <w:t xml:space="preserve"> was isolated by centrifugation (13000 g, 3 mins, RT) and washed with PBS. The insoluble fraction was then isolated by centrifugation (13000 g, 3 mins, RT) and allowed to dry. FTIR spectra of the samples were taken using a spectrum one FTIR spectrometer (Perkin Elmer) equipped with an attenuated total reflectance accessory between the range of 500 - 4000 cm</w:t>
      </w:r>
      <w:r w:rsidRPr="00FD6DB8">
        <w:rPr>
          <w:vertAlign w:val="superscript"/>
          <w:lang w:val="en-US"/>
        </w:rPr>
        <w:t>-1</w:t>
      </w:r>
      <w:r w:rsidRPr="00FD6DB8">
        <w:rPr>
          <w:lang w:val="en-US"/>
        </w:rPr>
        <w:t xml:space="preserve"> using transmission mode. Spectra were recorded with 50 scans accumulation at 0.2 cm s</w:t>
      </w:r>
      <w:r w:rsidRPr="00FD6DB8">
        <w:rPr>
          <w:vertAlign w:val="superscript"/>
          <w:lang w:val="en-US"/>
        </w:rPr>
        <w:t>-1</w:t>
      </w:r>
      <w:r w:rsidRPr="00FD6DB8">
        <w:rPr>
          <w:lang w:val="en-US"/>
        </w:rPr>
        <w:t xml:space="preserve"> and 0.5 cm</w:t>
      </w:r>
      <w:r w:rsidRPr="00FD6DB8">
        <w:rPr>
          <w:vertAlign w:val="superscript"/>
          <w:lang w:val="en-US"/>
        </w:rPr>
        <w:t>-1</w:t>
      </w:r>
      <w:r w:rsidRPr="00FD6DB8">
        <w:rPr>
          <w:lang w:val="en-US"/>
        </w:rPr>
        <w:t xml:space="preserve"> resolution. A blank background was recorded and subtracted from the measured spectra.</w:t>
      </w:r>
      <w:r w:rsidRPr="00183057">
        <w:rPr>
          <w:lang w:val="en-US"/>
        </w:rPr>
        <w:t xml:space="preserve"> </w:t>
      </w:r>
      <w:r w:rsidRPr="00FD6DB8">
        <w:rPr>
          <w:lang w:val="en-US"/>
        </w:rPr>
        <w:t xml:space="preserve">IR: </w:t>
      </w:r>
      <w:r w:rsidRPr="00FD6DB8">
        <w:rPr>
          <w:i/>
          <w:lang w:val="en-US"/>
        </w:rPr>
        <w:t>ν</w:t>
      </w:r>
      <w:r w:rsidRPr="00FD6DB8">
        <w:rPr>
          <w:lang w:val="en-US"/>
        </w:rPr>
        <w:t xml:space="preserve"> = 3278 (m), 3072 (m), 2930 (s), 1634 (m), 1548 (m), 1445 (w), 1410 (m), 1260 (s), 1012 (s), 961 (m), 871 (s), 600 (s), 557 cm</w:t>
      </w:r>
      <w:r w:rsidRPr="00FD6DB8">
        <w:rPr>
          <w:vertAlign w:val="superscript"/>
          <w:lang w:val="en-US"/>
        </w:rPr>
        <w:t>−1</w:t>
      </w:r>
      <w:r w:rsidRPr="00FD6DB8">
        <w:rPr>
          <w:lang w:val="en-US"/>
        </w:rPr>
        <w:t xml:space="preserve"> (s)</w:t>
      </w:r>
      <w:r>
        <w:rPr>
          <w:lang w:val="en-US"/>
        </w:rPr>
        <w:t>.</w:t>
      </w:r>
      <w:r>
        <w:rPr>
          <w:lang w:val="en-US"/>
        </w:rPr>
        <w:fldChar w:fldCharType="begin" w:fldLock="1"/>
      </w:r>
      <w:r>
        <w:rPr>
          <w:lang w:val="en-US"/>
        </w:rPr>
        <w:instrText>ADDIN CSL_CITATION {"citationItems":[{"id":"ITEM-1","itemData":{"DOI":"10.5772/36379","abstract":"Despite its static appearance, bone is a very dynamic living tissue that undergoes constant remodelling throughout life. After blood, bone is the second most commonly transplanted tissue in human medicine, and thus a thorough characterization of this material is of crucial importance. For instance, although it has been accepted that the whole bone strength is related to the bone mineral density (BMD), changes in this parameter often do not correlate with the probability of fracture. To improve the mechanical performance of bone, other material properties related to bone quality, and not only quantity, have to be investigated. FTIR spectroscopy constitutes an excellent tool to characterize the bone matrix because its main components (carbonated hydroxyapatite and collagen) absorb infrared radiation at distinct, almost complementary, regions within the 500-4000 cm-1 range. This not only enables the study of the main contributions of each component separately, but also allows a further investigation of relevant parameters that mostly affect the structural and mechanical properties of bone, as well as its active metabolism. Furthermore, FTIR analysis, particularly when combined with microscopic technologies, enables the measurement of spatial variations in bone composition, allowing their correlation with micro-to-macro morpho- structural properties. In clinical studies, this allows the comparison between sound and diseased bone, and the analysis of therapeutic effects of drugs, among many other examples. On the other hand, FTIR spectroscopy is also commonly used to characterize bone grafts. Moreover, evidence that optimizing the osteointegration requires a fundamental knowledge of the material properties both of the bone graft and of the host bone tissue, has driven to extensive research on this subject, often supported by FTIR spectroscopy.","author":[{"dropping-particle":"","family":"Figueiredo","given":"M.M.","non-dropping-particle":"","parse-names":false,"suffix":""},{"dropping-particle":"","family":"Gamelas","given":"J.A.F.","non-dropping-particle":"","parse-names":false,"suffix":""},{"dropping-particle":"","family":"Martins","given":"A.G.","non-dropping-particle":"","parse-names":false,"suffix":""}],"chapter-number":"19","container-title":"Infrared Spectroscopy - Life and Biomedical Sciences","editor":[{"dropping-particle":"","family":"Theophanides","given":"Theophile","non-dropping-particle":"","parse-names":false,"suffix":""}],"id":"ITEM-1","issued":{"date-parts":[["2012"]]},"publisher-place":"London","title":"Characterization of Bone and Bone-Based Graft Materials Using FTIR Spectroscopy","type":"chapter"},"uris":["http://www.mendeley.com/documents/?uuid=993bee5e-5d6a-4c02-bcd3-44a65fd1574b"]}],"mendeley":{"formattedCitation":"&lt;sup&gt;[52]&lt;/sup&gt;","plainTextFormattedCitation":"[52]","previouslyFormattedCitation":"&lt;sup&gt;[51]&lt;/sup&gt;"},"properties":{"noteIndex":0},"schema":"https://github.com/citation-style-language/schema/raw/master/csl-citation.json"}</w:instrText>
      </w:r>
      <w:r>
        <w:rPr>
          <w:lang w:val="en-US"/>
        </w:rPr>
        <w:fldChar w:fldCharType="separate"/>
      </w:r>
      <w:r w:rsidRPr="00FD5A45">
        <w:rPr>
          <w:noProof/>
          <w:vertAlign w:val="superscript"/>
          <w:lang w:val="en-US"/>
        </w:rPr>
        <w:t>[52]</w:t>
      </w:r>
      <w:r>
        <w:rPr>
          <w:lang w:val="en-US"/>
        </w:rPr>
        <w:fldChar w:fldCharType="end"/>
      </w:r>
    </w:p>
    <w:p w14:paraId="13E10E63" w14:textId="77777777" w:rsidR="00A20924" w:rsidRPr="00A20924" w:rsidRDefault="00A20924" w:rsidP="00A20924">
      <w:pPr>
        <w:spacing w:line="480" w:lineRule="auto"/>
        <w:jc w:val="both"/>
        <w:rPr>
          <w:b/>
          <w:bCs/>
          <w:lang w:val="en-US"/>
        </w:rPr>
      </w:pPr>
    </w:p>
    <w:p w14:paraId="450A935D" w14:textId="62C229A3" w:rsidR="00A20924" w:rsidRDefault="00A20924" w:rsidP="00A20924">
      <w:pPr>
        <w:spacing w:line="480" w:lineRule="auto"/>
        <w:jc w:val="both"/>
        <w:rPr>
          <w:lang w:val="en-US"/>
        </w:rPr>
      </w:pPr>
      <w:r w:rsidRPr="00A20924">
        <w:rPr>
          <w:b/>
          <w:bCs/>
          <w:i/>
          <w:iCs/>
          <w:lang w:val="en-US"/>
        </w:rPr>
        <w:t xml:space="preserve">Powder XRD analysis of </w:t>
      </w:r>
      <w:proofErr w:type="spellStart"/>
      <w:r w:rsidRPr="00A20924">
        <w:rPr>
          <w:b/>
          <w:bCs/>
          <w:i/>
          <w:iCs/>
          <w:lang w:val="en-US"/>
        </w:rPr>
        <w:t>bioprinted</w:t>
      </w:r>
      <w:proofErr w:type="spellEnd"/>
      <w:r w:rsidRPr="00A20924">
        <w:rPr>
          <w:b/>
          <w:bCs/>
          <w:i/>
          <w:iCs/>
          <w:lang w:val="en-US"/>
        </w:rPr>
        <w:t xml:space="preserve"> constructs</w:t>
      </w:r>
      <w:r w:rsidRPr="00FD6DB8">
        <w:rPr>
          <w:i/>
          <w:iCs/>
          <w:lang w:val="en-US"/>
        </w:rPr>
        <w:t>:</w:t>
      </w:r>
      <w:r w:rsidRPr="00FD6DB8">
        <w:rPr>
          <w:lang w:val="en-US"/>
        </w:rPr>
        <w:t xml:space="preserve"> </w:t>
      </w:r>
      <w:r w:rsidR="00716638">
        <w:rPr>
          <w:lang w:val="en-US"/>
        </w:rPr>
        <w:t>Cell lade</w:t>
      </w:r>
      <w:r w:rsidR="002372A4">
        <w:rPr>
          <w:lang w:val="en-US"/>
        </w:rPr>
        <w:t>n</w:t>
      </w:r>
      <w:r w:rsidR="00716638">
        <w:rPr>
          <w:lang w:val="en-US"/>
        </w:rPr>
        <w:t xml:space="preserve"> </w:t>
      </w:r>
      <w:proofErr w:type="spellStart"/>
      <w:r w:rsidR="00716638">
        <w:rPr>
          <w:lang w:val="en-US"/>
        </w:rPr>
        <w:t>b</w:t>
      </w:r>
      <w:r w:rsidRPr="00FD6DB8">
        <w:rPr>
          <w:lang w:val="en-US"/>
        </w:rPr>
        <w:t>ioprinted</w:t>
      </w:r>
      <w:proofErr w:type="spellEnd"/>
      <w:r w:rsidRPr="00FD6DB8">
        <w:rPr>
          <w:lang w:val="en-US"/>
        </w:rPr>
        <w:t xml:space="preserve"> samples were cultured for 28 days in either expansion or </w:t>
      </w:r>
      <w:proofErr w:type="spellStart"/>
      <w:r w:rsidRPr="00FD6DB8">
        <w:rPr>
          <w:lang w:val="en-US"/>
        </w:rPr>
        <w:t>osteoinductive</w:t>
      </w:r>
      <w:proofErr w:type="spellEnd"/>
      <w:r w:rsidRPr="00FD6DB8">
        <w:rPr>
          <w:lang w:val="en-US"/>
        </w:rPr>
        <w:t xml:space="preserve"> media. Samples were washed with PBS, pooled (8 samples per condition) and lyophilized. The sample was then ground into a powder, deposited onto a film of silicon grease that was prepared on a silicon wafer and tapped clean with a clean glass slide. The sample was then submitted to the X-ray crystallography facility for powder X-ray diffraction using a D8 powder diffractometer (Bruker), using Cu K</w:t>
      </w:r>
      <w:r w:rsidRPr="00FD6DB8">
        <w:rPr>
          <w:lang w:val="en-US"/>
        </w:rPr>
        <w:sym w:font="Symbol" w:char="F061"/>
      </w:r>
      <w:r w:rsidRPr="00FD6DB8">
        <w:rPr>
          <w:lang w:val="en-US"/>
        </w:rPr>
        <w:t xml:space="preserve"> radiation with a scan range 2</w:t>
      </w:r>
      <w:r w:rsidRPr="00FD6DB8">
        <w:rPr>
          <w:lang w:val="en-US"/>
        </w:rPr>
        <w:sym w:font="Symbol" w:char="F071"/>
      </w:r>
      <w:r w:rsidRPr="00FD6DB8">
        <w:rPr>
          <w:lang w:val="en-US"/>
        </w:rPr>
        <w:t xml:space="preserve"> of 5 to 80 ° at a resolution of 0.5 ° and residence time of 0.2s. For analysis, background was subtracted using MATCH! XRD analysis software.</w:t>
      </w:r>
    </w:p>
    <w:p w14:paraId="7EFE16F0" w14:textId="77777777" w:rsidR="00B247F7" w:rsidRDefault="00B247F7" w:rsidP="00A20924">
      <w:pPr>
        <w:spacing w:line="480" w:lineRule="auto"/>
        <w:jc w:val="both"/>
        <w:rPr>
          <w:lang w:val="en-US"/>
        </w:rPr>
      </w:pPr>
    </w:p>
    <w:p w14:paraId="0F785E5E" w14:textId="67A128AD" w:rsidR="00A20924" w:rsidRDefault="00A20924" w:rsidP="00A20924">
      <w:pPr>
        <w:spacing w:line="480" w:lineRule="auto"/>
        <w:jc w:val="both"/>
        <w:rPr>
          <w:lang w:val="en-US"/>
        </w:rPr>
      </w:pPr>
      <w:r w:rsidRPr="00A20924">
        <w:rPr>
          <w:b/>
          <w:bCs/>
          <w:i/>
          <w:iCs/>
          <w:lang w:val="en-US"/>
        </w:rPr>
        <w:lastRenderedPageBreak/>
        <w:t>Scanning electron microscopy with energy dispersive X-ray analysis</w:t>
      </w:r>
      <w:r>
        <w:rPr>
          <w:b/>
          <w:bCs/>
          <w:i/>
          <w:iCs/>
          <w:lang w:val="en-US"/>
        </w:rPr>
        <w:t xml:space="preserve">: </w:t>
      </w:r>
      <w:r w:rsidR="008434C3">
        <w:rPr>
          <w:lang w:val="en-US"/>
        </w:rPr>
        <w:t xml:space="preserve">Cell laden </w:t>
      </w:r>
      <w:proofErr w:type="spellStart"/>
      <w:r w:rsidR="008434C3">
        <w:rPr>
          <w:lang w:val="en-US"/>
        </w:rPr>
        <w:t>b</w:t>
      </w:r>
      <w:r w:rsidRPr="00FD6DB8">
        <w:rPr>
          <w:lang w:val="en-US"/>
        </w:rPr>
        <w:t>ioprinted</w:t>
      </w:r>
      <w:proofErr w:type="spellEnd"/>
      <w:r w:rsidRPr="00FD6DB8">
        <w:rPr>
          <w:lang w:val="en-US"/>
        </w:rPr>
        <w:t xml:space="preserve"> samples were cultured for 28 days in </w:t>
      </w:r>
      <w:proofErr w:type="spellStart"/>
      <w:r w:rsidRPr="00FD6DB8">
        <w:rPr>
          <w:lang w:val="en-US"/>
        </w:rPr>
        <w:t>osteoinductive</w:t>
      </w:r>
      <w:proofErr w:type="spellEnd"/>
      <w:r w:rsidRPr="00FD6DB8">
        <w:rPr>
          <w:lang w:val="en-US"/>
        </w:rPr>
        <w:t xml:space="preserve"> media prior to fixation and embedding in LR White. Sections (1 </w:t>
      </w:r>
      <w:r>
        <w:rPr>
          <w:rFonts w:ascii="Symbol" w:hAnsi="Symbol"/>
          <w:lang w:val="en-US"/>
        </w:rPr>
        <w:t>m</w:t>
      </w:r>
      <w:r w:rsidRPr="00FD6DB8">
        <w:rPr>
          <w:lang w:val="en-US"/>
        </w:rPr>
        <w:t xml:space="preserve">m) along the </w:t>
      </w:r>
      <w:proofErr w:type="spellStart"/>
      <w:r w:rsidRPr="00FD6DB8">
        <w:rPr>
          <w:lang w:val="en-US"/>
        </w:rPr>
        <w:t>xy</w:t>
      </w:r>
      <w:proofErr w:type="spellEnd"/>
      <w:r w:rsidRPr="00FD6DB8">
        <w:rPr>
          <w:lang w:val="en-US"/>
        </w:rPr>
        <w:t xml:space="preserve"> plane at the gel-media interface were floated onto a glass coverslip. The coverslip was then mounted and grounded on a chuck using conductive tape. The sample was then sputter coated with silver (~5 nm) and imaged using a JSM-IT300 (JEOL), equipped with an X-Max 80 energy dispersive spectrometer (Oxford Instruments). Samples were imaged using either a secondary electron or backscatter detector.</w:t>
      </w:r>
    </w:p>
    <w:p w14:paraId="3DD0066B" w14:textId="77777777" w:rsidR="002372A4" w:rsidRDefault="002372A4" w:rsidP="00A20924">
      <w:pPr>
        <w:spacing w:line="480" w:lineRule="auto"/>
        <w:jc w:val="both"/>
        <w:rPr>
          <w:lang w:val="en-US"/>
        </w:rPr>
      </w:pPr>
    </w:p>
    <w:p w14:paraId="558A6110" w14:textId="6917454C" w:rsidR="002372A4" w:rsidRPr="002372A4" w:rsidRDefault="002372A4" w:rsidP="002372A4">
      <w:pPr>
        <w:spacing w:line="480" w:lineRule="auto"/>
        <w:jc w:val="both"/>
        <w:rPr>
          <w:b/>
          <w:bCs/>
          <w:i/>
          <w:iCs/>
          <w:lang w:val="en-US"/>
        </w:rPr>
      </w:pPr>
      <w:r w:rsidRPr="002372A4">
        <w:rPr>
          <w:b/>
          <w:bCs/>
          <w:i/>
          <w:iCs/>
          <w:lang w:val="en-US"/>
        </w:rPr>
        <w:t>Microcomputed Tomography</w:t>
      </w:r>
      <w:r>
        <w:rPr>
          <w:b/>
          <w:bCs/>
          <w:i/>
          <w:iCs/>
          <w:lang w:val="en-US"/>
        </w:rPr>
        <w:t xml:space="preserve">: </w:t>
      </w:r>
      <w:r>
        <w:rPr>
          <w:lang w:val="en-US"/>
        </w:rPr>
        <w:t>M</w:t>
      </w:r>
      <w:r w:rsidRPr="002372A4">
        <w:rPr>
          <w:lang w:val="en-US"/>
        </w:rPr>
        <w:t>icrocomputed tomography (</w:t>
      </w:r>
      <w:r>
        <w:rPr>
          <w:lang w:val="en-US"/>
        </w:rPr>
        <w:t>µ</w:t>
      </w:r>
      <w:r w:rsidRPr="002372A4">
        <w:rPr>
          <w:lang w:val="en-US"/>
        </w:rPr>
        <w:t>CT) measurements were performed on PE, PO, DE and DO samples after 28 days culture and embedding in LRW</w:t>
      </w:r>
      <w:r>
        <w:rPr>
          <w:lang w:val="en-US"/>
        </w:rPr>
        <w:t xml:space="preserve">. </w:t>
      </w:r>
      <w:r w:rsidRPr="002372A4">
        <w:rPr>
          <w:lang w:val="en-US"/>
        </w:rPr>
        <w:t>All measurements were performed using a CT scanner (</w:t>
      </w:r>
      <w:proofErr w:type="gramStart"/>
      <w:r w:rsidRPr="002372A4">
        <w:rPr>
          <w:lang w:val="en-US"/>
        </w:rPr>
        <w:t>XTH225ST</w:t>
      </w:r>
      <w:proofErr w:type="gramEnd"/>
      <w:r w:rsidRPr="002372A4">
        <w:rPr>
          <w:lang w:val="en-US"/>
        </w:rPr>
        <w:t>, Nikon) with a 3 micron focal spot size at 35 kV by Katie Smith at the Bristol Composites Institute. Projections were recorded across 360° rotation and reconstructed using VG Studio MAX 3.3.</w:t>
      </w:r>
    </w:p>
    <w:p w14:paraId="62758A53" w14:textId="77777777" w:rsidR="00A20924" w:rsidRDefault="00A20924" w:rsidP="00A20924">
      <w:pPr>
        <w:spacing w:line="480" w:lineRule="auto"/>
        <w:jc w:val="both"/>
        <w:rPr>
          <w:lang w:val="en-US"/>
        </w:rPr>
      </w:pPr>
    </w:p>
    <w:p w14:paraId="02E6E4FE" w14:textId="73452126" w:rsidR="00A20924" w:rsidRPr="00A20924" w:rsidRDefault="00A20924" w:rsidP="00A20924">
      <w:pPr>
        <w:spacing w:line="480" w:lineRule="auto"/>
        <w:jc w:val="both"/>
        <w:rPr>
          <w:lang w:val="en-US"/>
        </w:rPr>
      </w:pPr>
      <w:r w:rsidRPr="00A20924">
        <w:rPr>
          <w:b/>
          <w:bCs/>
          <w:i/>
          <w:iCs/>
          <w:lang w:val="en-US"/>
        </w:rPr>
        <w:t>Characterization of bacteria after culture in the bioink</w:t>
      </w:r>
      <w:r w:rsidRPr="00FD6DB8">
        <w:rPr>
          <w:i/>
          <w:iCs/>
          <w:lang w:val="en-US"/>
        </w:rPr>
        <w:t>:</w:t>
      </w:r>
      <w:r w:rsidRPr="00FD6DB8">
        <w:rPr>
          <w:lang w:val="en-US"/>
        </w:rPr>
        <w:t xml:space="preserve"> For Gram staining, four constructs were inoculated with </w:t>
      </w:r>
      <w:r w:rsidRPr="009C0FE9">
        <w:rPr>
          <w:i/>
          <w:iCs/>
          <w:lang w:val="en-US"/>
        </w:rPr>
        <w:t xml:space="preserve">F. </w:t>
      </w:r>
      <w:proofErr w:type="spellStart"/>
      <w:r w:rsidRPr="009C0FE9">
        <w:rPr>
          <w:i/>
          <w:iCs/>
          <w:lang w:val="en-US"/>
        </w:rPr>
        <w:t>periodonticum</w:t>
      </w:r>
      <w:proofErr w:type="spellEnd"/>
      <w:r w:rsidRPr="00FD6DB8">
        <w:rPr>
          <w:lang w:val="en-US"/>
        </w:rPr>
        <w:t xml:space="preserve"> (MOI = 10) via dual asymmetric centrifugation and cultured in expansion media for 7 days. The constructs were pooled into an Eppendorf, and PBS (300 </w:t>
      </w:r>
      <w:r w:rsidRPr="00FD6DB8">
        <w:rPr>
          <w:lang w:val="en-US"/>
        </w:rPr>
        <w:sym w:font="Symbol" w:char="F06D"/>
      </w:r>
      <w:r w:rsidRPr="00FD6DB8">
        <w:rPr>
          <w:lang w:val="en-US"/>
        </w:rPr>
        <w:t xml:space="preserve">L, pre-warmed) was added. An </w:t>
      </w:r>
      <w:r w:rsidRPr="009C0FE9">
        <w:rPr>
          <w:i/>
          <w:iCs/>
          <w:lang w:val="en-US"/>
        </w:rPr>
        <w:t xml:space="preserve">F. </w:t>
      </w:r>
      <w:proofErr w:type="spellStart"/>
      <w:r w:rsidRPr="009C0FE9">
        <w:rPr>
          <w:i/>
          <w:iCs/>
          <w:lang w:val="en-US"/>
        </w:rPr>
        <w:t>periodonticum</w:t>
      </w:r>
      <w:proofErr w:type="spellEnd"/>
      <w:r w:rsidRPr="00FD6DB8">
        <w:rPr>
          <w:lang w:val="en-US"/>
        </w:rPr>
        <w:t xml:space="preserve"> suspension was prepared by mechanical fragmentation of the constructs using RNase/DNase free pestles (ARG1532, SLS). The suspension was transferred onto a glass slide using either a loop, or a pipette (30 </w:t>
      </w:r>
      <w:r w:rsidRPr="00FD6DB8">
        <w:rPr>
          <w:lang w:val="en-US"/>
        </w:rPr>
        <w:sym w:font="Symbol" w:char="F06D"/>
      </w:r>
      <w:r w:rsidRPr="00FD6DB8">
        <w:rPr>
          <w:lang w:val="en-US"/>
        </w:rPr>
        <w:t xml:space="preserve">L) followed by spreading with a loop and allowed to air dry. The sample was then heat fixed and allowed to cool prior to staining. The sample was incubated with crystal violet solution (PL.7001, Pro-Lab Diagnostics) for 1 minute and the excess tipped away. The sample was then incubated with Gram’s iodine solution (PL.7004, Pro-Lab Diagnostics) for 1 minute, and the slide washed with deionized water. The sample was briefly incubated in Gram’s differentiator </w:t>
      </w:r>
      <w:r w:rsidRPr="00FD6DB8">
        <w:rPr>
          <w:lang w:val="en-US"/>
        </w:rPr>
        <w:lastRenderedPageBreak/>
        <w:t>(PL.7007, Pro-Lab Diagnostics) to remove excess stain, and then washed with deionized water. The sample was counterstained with Safranin-O solution (PL.7013, Pro-Lab Diagnostics), briefly washed with deionized water and left to dry. Images were recorded using a phone camera using a 100x objective.</w:t>
      </w:r>
    </w:p>
    <w:p w14:paraId="2C8CAC2E" w14:textId="77777777" w:rsidR="00A20924" w:rsidRDefault="00A20924" w:rsidP="00A37F84">
      <w:pPr>
        <w:rPr>
          <w:lang w:val="en-US"/>
        </w:rPr>
      </w:pPr>
    </w:p>
    <w:p w14:paraId="7F841F56" w14:textId="77777777" w:rsidR="00A20924" w:rsidRDefault="00A20924" w:rsidP="00A37F84">
      <w:pPr>
        <w:rPr>
          <w:lang w:val="en-US"/>
        </w:rPr>
      </w:pPr>
    </w:p>
    <w:p w14:paraId="614EF9BC" w14:textId="45B75B52" w:rsidR="00A20924" w:rsidRPr="00A20924" w:rsidRDefault="00A20924" w:rsidP="00A37F84">
      <w:pPr>
        <w:rPr>
          <w:b/>
          <w:bCs/>
          <w:lang w:val="en-US"/>
        </w:rPr>
      </w:pPr>
      <w:r w:rsidRPr="00A20924">
        <w:rPr>
          <w:b/>
          <w:bCs/>
          <w:lang w:val="en-US"/>
        </w:rPr>
        <w:t>Supplementary figures</w:t>
      </w:r>
    </w:p>
    <w:p w14:paraId="6C74D405" w14:textId="77777777" w:rsidR="00A20924" w:rsidRDefault="00A20924" w:rsidP="00A37F84">
      <w:pPr>
        <w:rPr>
          <w:lang w:val="en-US"/>
        </w:rPr>
      </w:pPr>
    </w:p>
    <w:p w14:paraId="393A73E3" w14:textId="77777777" w:rsidR="00A20924" w:rsidRPr="00A37F84" w:rsidRDefault="00A20924" w:rsidP="00A37F84">
      <w:pPr>
        <w:rPr>
          <w:lang w:val="en-US"/>
        </w:rPr>
      </w:pPr>
    </w:p>
    <w:p w14:paraId="5F40C2D2" w14:textId="77777777" w:rsidR="00F64044" w:rsidRPr="00FD6DB8" w:rsidRDefault="00F64044" w:rsidP="00BB03FD">
      <w:pPr>
        <w:pStyle w:val="Caption"/>
        <w:keepNext/>
        <w:spacing w:line="480" w:lineRule="auto"/>
        <w:jc w:val="both"/>
        <w:rPr>
          <w:lang w:val="en-US"/>
        </w:rPr>
      </w:pPr>
      <w:r w:rsidRPr="00FD6DB8">
        <w:rPr>
          <w:noProof/>
          <w:lang w:val="en-US"/>
        </w:rPr>
        <w:drawing>
          <wp:inline distT="0" distB="0" distL="0" distR="0" wp14:anchorId="6A29C8F4" wp14:editId="600F2788">
            <wp:extent cx="5743575" cy="1657350"/>
            <wp:effectExtent l="0" t="0" r="9525" b="0"/>
            <wp:docPr id="18" name="Picture 18"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1657350"/>
                    </a:xfrm>
                    <a:prstGeom prst="rect">
                      <a:avLst/>
                    </a:prstGeom>
                    <a:noFill/>
                    <a:ln>
                      <a:noFill/>
                    </a:ln>
                  </pic:spPr>
                </pic:pic>
              </a:graphicData>
            </a:graphic>
          </wp:inline>
        </w:drawing>
      </w:r>
    </w:p>
    <w:p w14:paraId="64838FD3" w14:textId="1100D1C6" w:rsidR="00FF21C9" w:rsidRDefault="00F64044" w:rsidP="0078466E">
      <w:pPr>
        <w:pStyle w:val="Caption"/>
        <w:spacing w:line="480" w:lineRule="auto"/>
        <w:jc w:val="both"/>
        <w:rPr>
          <w:lang w:val="en-US"/>
        </w:rPr>
      </w:pPr>
      <w:bookmarkStart w:id="0" w:name="_Ref108621751"/>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w:t>
      </w:r>
      <w:r w:rsidRPr="00FD6DB8">
        <w:rPr>
          <w:b/>
          <w:bCs/>
          <w:noProof/>
          <w:lang w:val="en-US"/>
        </w:rPr>
        <w:fldChar w:fldCharType="end"/>
      </w:r>
      <w:bookmarkEnd w:id="0"/>
      <w:r w:rsidRPr="00FD6DB8">
        <w:rPr>
          <w:b/>
          <w:bCs/>
          <w:lang w:val="en-US"/>
        </w:rPr>
        <w:t>.</w:t>
      </w:r>
      <w:r w:rsidRPr="00FD6DB8">
        <w:rPr>
          <w:lang w:val="en-US"/>
        </w:rPr>
        <w:t xml:space="preserve"> SEM micrographs </w:t>
      </w:r>
      <w:r w:rsidR="005B1C1A">
        <w:rPr>
          <w:lang w:val="en-US"/>
        </w:rPr>
        <w:t xml:space="preserve">of </w:t>
      </w:r>
      <w:r w:rsidRPr="00FD6DB8">
        <w:rPr>
          <w:lang w:val="en-US"/>
        </w:rPr>
        <w:t xml:space="preserve">untreated dentine (a), </w:t>
      </w:r>
      <w:r w:rsidRPr="00FD6DB8">
        <w:rPr>
          <w:rFonts w:ascii="Symbol" w:hAnsi="Symbol"/>
          <w:lang w:val="en-US"/>
        </w:rPr>
        <w:t>b</w:t>
      </w:r>
      <w:r w:rsidRPr="00FD6DB8">
        <w:rPr>
          <w:lang w:val="en-US"/>
        </w:rPr>
        <w:t xml:space="preserve">TCP (b) and tissue culture plastic (c). A smear layer present on the dentine surface occludes the tubules (dark shadows).  </w:t>
      </w:r>
    </w:p>
    <w:p w14:paraId="5AA699C6" w14:textId="77777777" w:rsidR="0078466E" w:rsidRPr="0078466E" w:rsidRDefault="0078466E" w:rsidP="0078466E">
      <w:pPr>
        <w:rPr>
          <w:lang w:val="en-US"/>
        </w:rPr>
      </w:pPr>
    </w:p>
    <w:p w14:paraId="5923413D" w14:textId="0EA134CC" w:rsidR="00FF21C9" w:rsidRPr="00FD6DB8" w:rsidRDefault="004F3B55" w:rsidP="00BB03FD">
      <w:pPr>
        <w:tabs>
          <w:tab w:val="left" w:pos="7852"/>
        </w:tabs>
        <w:spacing w:line="480" w:lineRule="auto"/>
        <w:jc w:val="both"/>
        <w:rPr>
          <w:lang w:val="en-US"/>
        </w:rPr>
      </w:pPr>
      <w:r w:rsidRPr="00FD6DB8">
        <w:rPr>
          <w:noProof/>
          <w:lang w:val="en-US"/>
        </w:rPr>
        <w:drawing>
          <wp:inline distT="0" distB="0" distL="0" distR="0" wp14:anchorId="1A9686AF" wp14:editId="1739B5B1">
            <wp:extent cx="3778370" cy="25055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7881" cy="2511897"/>
                    </a:xfrm>
                    <a:prstGeom prst="rect">
                      <a:avLst/>
                    </a:prstGeom>
                    <a:noFill/>
                    <a:ln>
                      <a:noFill/>
                    </a:ln>
                  </pic:spPr>
                </pic:pic>
              </a:graphicData>
            </a:graphic>
          </wp:inline>
        </w:drawing>
      </w:r>
    </w:p>
    <w:p w14:paraId="13C2F91F" w14:textId="07CA9C5D" w:rsidR="00FF21C9" w:rsidRPr="00830469" w:rsidRDefault="00FF21C9" w:rsidP="00830469">
      <w:pPr>
        <w:pStyle w:val="Caption"/>
        <w:spacing w:line="480" w:lineRule="auto"/>
        <w:jc w:val="both"/>
        <w:rPr>
          <w:lang w:val="en-US"/>
        </w:rPr>
      </w:pPr>
      <w:bookmarkStart w:id="1" w:name="_Ref108620860"/>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2</w:t>
      </w:r>
      <w:r w:rsidRPr="00FD6DB8">
        <w:rPr>
          <w:b/>
          <w:bCs/>
          <w:noProof/>
          <w:lang w:val="en-US"/>
        </w:rPr>
        <w:fldChar w:fldCharType="end"/>
      </w:r>
      <w:bookmarkEnd w:id="1"/>
      <w:r w:rsidR="007F2FFE" w:rsidRPr="00FD6DB8">
        <w:rPr>
          <w:b/>
          <w:bCs/>
          <w:noProof/>
          <w:lang w:val="en-US"/>
        </w:rPr>
        <w:t>.</w:t>
      </w:r>
      <w:r w:rsidRPr="00FD6DB8">
        <w:rPr>
          <w:lang w:val="en-US"/>
        </w:rPr>
        <w:t xml:space="preserve"> The </w:t>
      </w:r>
      <w:proofErr w:type="spellStart"/>
      <w:r w:rsidRPr="00FD6DB8">
        <w:rPr>
          <w:lang w:val="en-US"/>
        </w:rPr>
        <w:t>Deff</w:t>
      </w:r>
      <w:proofErr w:type="spellEnd"/>
      <w:r w:rsidRPr="00FD6DB8">
        <w:rPr>
          <w:lang w:val="en-US"/>
        </w:rPr>
        <w:t xml:space="preserve"> of BSA-TAMRA in either the bioink or alginate hydrogel, as calculated using the semi-infinite slab approximation. The </w:t>
      </w:r>
      <w:proofErr w:type="spellStart"/>
      <w:r w:rsidRPr="00FD6DB8">
        <w:rPr>
          <w:lang w:val="en-US"/>
        </w:rPr>
        <w:t>Deff</w:t>
      </w:r>
      <w:proofErr w:type="spellEnd"/>
      <w:r w:rsidRPr="00FD6DB8">
        <w:rPr>
          <w:lang w:val="en-US"/>
        </w:rPr>
        <w:t xml:space="preserve"> of BSA-TAMRA was significantly greater in bioink than alginate, suggesting that the templating of a microporous network results in greater mass transport through the gel. Statistical significance was determined by Welch’s t-test (** = p &lt; 0.01, n = 5)</w:t>
      </w:r>
      <w:r w:rsidR="00801907">
        <w:rPr>
          <w:lang w:val="en-US"/>
        </w:rPr>
        <w:t xml:space="preserve">. </w:t>
      </w:r>
      <w:r w:rsidR="00952DF8" w:rsidRPr="00FD6DB8">
        <w:rPr>
          <w:lang w:val="en-US"/>
        </w:rPr>
        <w:t>Bar represents the mean.</w:t>
      </w:r>
    </w:p>
    <w:p w14:paraId="39DBD455" w14:textId="77777777" w:rsidR="00FF21C9" w:rsidRPr="00FD6DB8" w:rsidRDefault="00FF21C9" w:rsidP="00BB03FD">
      <w:pPr>
        <w:tabs>
          <w:tab w:val="center" w:pos="4536"/>
        </w:tabs>
        <w:spacing w:line="480" w:lineRule="auto"/>
        <w:jc w:val="both"/>
        <w:rPr>
          <w:i/>
          <w:iCs/>
          <w:lang w:val="en-US"/>
        </w:rPr>
      </w:pPr>
    </w:p>
    <w:p w14:paraId="238505A6" w14:textId="77777777" w:rsidR="00FF21C9" w:rsidRPr="00FD6DB8" w:rsidRDefault="00FF21C9" w:rsidP="00BB03FD">
      <w:pPr>
        <w:keepNext/>
        <w:spacing w:line="480" w:lineRule="auto"/>
        <w:jc w:val="both"/>
        <w:rPr>
          <w:lang w:val="en-US"/>
        </w:rPr>
      </w:pPr>
      <w:r w:rsidRPr="00FD6DB8">
        <w:rPr>
          <w:noProof/>
          <w:lang w:val="en-US"/>
        </w:rPr>
        <w:drawing>
          <wp:inline distT="0" distB="0" distL="0" distR="0" wp14:anchorId="0D9C5CE5" wp14:editId="42A47311">
            <wp:extent cx="2258060" cy="2449195"/>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8060" cy="2449195"/>
                    </a:xfrm>
                    <a:prstGeom prst="rect">
                      <a:avLst/>
                    </a:prstGeom>
                    <a:noFill/>
                    <a:ln>
                      <a:noFill/>
                    </a:ln>
                  </pic:spPr>
                </pic:pic>
              </a:graphicData>
            </a:graphic>
          </wp:inline>
        </w:drawing>
      </w:r>
    </w:p>
    <w:p w14:paraId="41367A23" w14:textId="2200121C" w:rsidR="00FF21C9" w:rsidRDefault="00FF21C9" w:rsidP="00BB03FD">
      <w:pPr>
        <w:pStyle w:val="Caption"/>
        <w:spacing w:line="480" w:lineRule="auto"/>
        <w:jc w:val="both"/>
        <w:rPr>
          <w:lang w:val="en-US"/>
        </w:rPr>
      </w:pPr>
      <w:bookmarkStart w:id="2" w:name="_Ref108620872"/>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3</w:t>
      </w:r>
      <w:r w:rsidRPr="00FD6DB8">
        <w:rPr>
          <w:b/>
          <w:bCs/>
          <w:noProof/>
          <w:lang w:val="en-US"/>
        </w:rPr>
        <w:fldChar w:fldCharType="end"/>
      </w:r>
      <w:bookmarkEnd w:id="2"/>
      <w:r w:rsidR="007F2FFE" w:rsidRPr="00FD6DB8">
        <w:rPr>
          <w:b/>
          <w:bCs/>
          <w:lang w:val="en-US"/>
        </w:rPr>
        <w:t>.</w:t>
      </w:r>
      <w:r w:rsidRPr="00FD6DB8">
        <w:rPr>
          <w:lang w:val="en-US"/>
        </w:rPr>
        <w:t xml:space="preserve"> Young’s moduli of the bioink under tissue culture conditions. Bar represents the mean. </w:t>
      </w:r>
    </w:p>
    <w:p w14:paraId="614894B8" w14:textId="77777777" w:rsidR="00BB03FD" w:rsidRPr="00FD6DB8" w:rsidRDefault="00BB03FD" w:rsidP="00BB03FD">
      <w:pPr>
        <w:keepNext/>
        <w:spacing w:line="480" w:lineRule="auto"/>
        <w:jc w:val="both"/>
        <w:rPr>
          <w:lang w:val="en-US"/>
        </w:rPr>
      </w:pPr>
      <w:r w:rsidRPr="00FD6DB8">
        <w:rPr>
          <w:noProof/>
          <w:lang w:val="en-US"/>
        </w:rPr>
        <w:drawing>
          <wp:inline distT="0" distB="0" distL="0" distR="0" wp14:anchorId="61378088" wp14:editId="294AC3A4">
            <wp:extent cx="3816985" cy="2945130"/>
            <wp:effectExtent l="0" t="0" r="0" b="0"/>
            <wp:docPr id="17" name="Picture 17" descr="A picture containing indoor,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indoor, night sk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6985" cy="2945130"/>
                    </a:xfrm>
                    <a:prstGeom prst="rect">
                      <a:avLst/>
                    </a:prstGeom>
                    <a:noFill/>
                    <a:ln>
                      <a:noFill/>
                    </a:ln>
                  </pic:spPr>
                </pic:pic>
              </a:graphicData>
            </a:graphic>
          </wp:inline>
        </w:drawing>
      </w:r>
    </w:p>
    <w:p w14:paraId="0578CEE1" w14:textId="47644241" w:rsidR="00ED5970" w:rsidRPr="00ED5970" w:rsidRDefault="00BB03FD" w:rsidP="00ED5970">
      <w:pPr>
        <w:pStyle w:val="Caption"/>
        <w:spacing w:line="480" w:lineRule="auto"/>
        <w:jc w:val="both"/>
      </w:pPr>
      <w:bookmarkStart w:id="3" w:name="_Ref108620916"/>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4</w:t>
      </w:r>
      <w:r w:rsidRPr="00FD6DB8">
        <w:rPr>
          <w:b/>
          <w:bCs/>
          <w:noProof/>
          <w:lang w:val="en-US"/>
        </w:rPr>
        <w:fldChar w:fldCharType="end"/>
      </w:r>
      <w:bookmarkEnd w:id="3"/>
      <w:r w:rsidRPr="00FD6DB8">
        <w:rPr>
          <w:b/>
          <w:bCs/>
          <w:noProof/>
          <w:lang w:val="en-US"/>
        </w:rPr>
        <w:t>.</w:t>
      </w:r>
      <w:r w:rsidRPr="00FD6DB8">
        <w:rPr>
          <w:lang w:val="en-US"/>
        </w:rPr>
        <w:t xml:space="preserve"> Metabolic activity of</w:t>
      </w:r>
      <w:r w:rsidR="00061C02">
        <w:rPr>
          <w:lang w:val="en-US"/>
        </w:rPr>
        <w:t xml:space="preserve"> </w:t>
      </w:r>
      <w:proofErr w:type="spellStart"/>
      <w:r w:rsidR="00061C02">
        <w:rPr>
          <w:lang w:val="en-US"/>
        </w:rPr>
        <w:t>hMSCs</w:t>
      </w:r>
      <w:proofErr w:type="spellEnd"/>
      <w:r w:rsidR="00061C02">
        <w:rPr>
          <w:lang w:val="en-US"/>
        </w:rPr>
        <w:t xml:space="preserve"> in</w:t>
      </w:r>
      <w:r w:rsidRPr="00FD6DB8">
        <w:rPr>
          <w:lang w:val="en-US"/>
        </w:rPr>
        <w:t xml:space="preserve"> </w:t>
      </w:r>
      <w:proofErr w:type="spellStart"/>
      <w:r w:rsidRPr="00FD6DB8">
        <w:rPr>
          <w:lang w:val="en-US"/>
        </w:rPr>
        <w:t>bioprinted</w:t>
      </w:r>
      <w:proofErr w:type="spellEnd"/>
      <w:r w:rsidRPr="00FD6DB8">
        <w:rPr>
          <w:lang w:val="en-US"/>
        </w:rPr>
        <w:t xml:space="preserve"> samples. Samples were cultured in expansion media for 1 day, then split into groups cultured in either expansion media (blue) or </w:t>
      </w:r>
      <w:proofErr w:type="spellStart"/>
      <w:r w:rsidRPr="00FD6DB8">
        <w:rPr>
          <w:lang w:val="en-US"/>
        </w:rPr>
        <w:t>osteoinductive</w:t>
      </w:r>
      <w:proofErr w:type="spellEnd"/>
      <w:r w:rsidRPr="00FD6DB8">
        <w:rPr>
          <w:lang w:val="en-US"/>
        </w:rPr>
        <w:t xml:space="preserve"> media (red) for the rest of the time points. Little change was observed in metabolic activity over 7 days of culture.</w:t>
      </w:r>
      <w:r w:rsidR="00ED5970">
        <w:rPr>
          <w:lang w:val="en-US"/>
        </w:rPr>
        <w:t xml:space="preserve"> </w:t>
      </w:r>
      <w:r w:rsidR="00ED5970" w:rsidRPr="00ED5970">
        <w:t xml:space="preserve">Statistical significance was determined by 2-way ANOVA (* = p &lt; 0.05, ** = p&lt; 0.01, *** = p &lt; 0.001, **** = p&lt; 0.0001, N = 3), bars represent the mean. </w:t>
      </w:r>
    </w:p>
    <w:p w14:paraId="387E52B3" w14:textId="2EA51EBA" w:rsidR="00BB03FD" w:rsidRPr="00FD6DB8" w:rsidRDefault="00BB03FD" w:rsidP="00BB03FD">
      <w:pPr>
        <w:pStyle w:val="Caption"/>
        <w:spacing w:line="480" w:lineRule="auto"/>
        <w:jc w:val="both"/>
        <w:rPr>
          <w:lang w:val="en-US"/>
        </w:rPr>
      </w:pPr>
    </w:p>
    <w:p w14:paraId="4F7BF3E6" w14:textId="77777777" w:rsidR="00BB03FD" w:rsidRPr="00BB03FD" w:rsidRDefault="00BB03FD" w:rsidP="00BB03FD">
      <w:pPr>
        <w:spacing w:line="480" w:lineRule="auto"/>
        <w:jc w:val="both"/>
        <w:rPr>
          <w:lang w:val="en-US"/>
        </w:rPr>
      </w:pPr>
    </w:p>
    <w:p w14:paraId="373CBAAA" w14:textId="77777777" w:rsidR="00FF21C9" w:rsidRPr="00FD6DB8" w:rsidRDefault="00FF21C9" w:rsidP="00BB03FD">
      <w:pPr>
        <w:keepNext/>
        <w:spacing w:line="480" w:lineRule="auto"/>
        <w:jc w:val="both"/>
        <w:rPr>
          <w:b/>
          <w:bCs/>
          <w:lang w:val="en-US"/>
        </w:rPr>
      </w:pPr>
      <w:r w:rsidRPr="00FD6DB8">
        <w:rPr>
          <w:noProof/>
          <w:lang w:val="en-US"/>
        </w:rPr>
        <w:lastRenderedPageBreak/>
        <w:drawing>
          <wp:inline distT="0" distB="0" distL="0" distR="0" wp14:anchorId="5E583451" wp14:editId="78DBFE09">
            <wp:extent cx="5756910" cy="8126095"/>
            <wp:effectExtent l="0" t="0" r="0" b="8255"/>
            <wp:docPr id="13" name="Picture 13"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video gam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910" cy="8126095"/>
                    </a:xfrm>
                    <a:prstGeom prst="rect">
                      <a:avLst/>
                    </a:prstGeom>
                    <a:noFill/>
                    <a:ln>
                      <a:noFill/>
                    </a:ln>
                  </pic:spPr>
                </pic:pic>
              </a:graphicData>
            </a:graphic>
          </wp:inline>
        </w:drawing>
      </w:r>
    </w:p>
    <w:p w14:paraId="2FD1CDC5" w14:textId="1441790A" w:rsidR="00FF21C9" w:rsidRPr="00FD6DB8" w:rsidRDefault="00FF21C9" w:rsidP="00BB03FD">
      <w:pPr>
        <w:pStyle w:val="Caption"/>
        <w:spacing w:line="480" w:lineRule="auto"/>
        <w:jc w:val="both"/>
        <w:rPr>
          <w:lang w:val="en-US"/>
        </w:rPr>
      </w:pPr>
      <w:bookmarkStart w:id="4" w:name="_Ref108620892"/>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5</w:t>
      </w:r>
      <w:r w:rsidRPr="00FD6DB8">
        <w:rPr>
          <w:b/>
          <w:bCs/>
          <w:noProof/>
          <w:lang w:val="en-US"/>
        </w:rPr>
        <w:fldChar w:fldCharType="end"/>
      </w:r>
      <w:bookmarkEnd w:id="4"/>
      <w:r w:rsidR="007F2FFE" w:rsidRPr="00FD6DB8">
        <w:rPr>
          <w:b/>
          <w:bCs/>
          <w:lang w:val="en-US"/>
        </w:rPr>
        <w:t>.</w:t>
      </w:r>
      <w:r w:rsidRPr="00FD6DB8">
        <w:rPr>
          <w:lang w:val="en-US"/>
        </w:rPr>
        <w:t xml:space="preserve"> </w:t>
      </w:r>
      <w:r w:rsidR="00426AE0">
        <w:rPr>
          <w:lang w:val="en-US"/>
        </w:rPr>
        <w:t xml:space="preserve">Cell viability </w:t>
      </w:r>
      <w:r w:rsidR="00C84332">
        <w:rPr>
          <w:lang w:val="en-US"/>
        </w:rPr>
        <w:t xml:space="preserve">of </w:t>
      </w:r>
      <w:proofErr w:type="spellStart"/>
      <w:r w:rsidR="00C84332">
        <w:rPr>
          <w:lang w:val="en-US"/>
        </w:rPr>
        <w:t>hMSCs</w:t>
      </w:r>
      <w:proofErr w:type="spellEnd"/>
      <w:r w:rsidR="000D64C4">
        <w:rPr>
          <w:lang w:val="en-US"/>
        </w:rPr>
        <w:t xml:space="preserve"> </w:t>
      </w:r>
      <w:r w:rsidR="00CE3F30">
        <w:rPr>
          <w:lang w:val="en-US"/>
        </w:rPr>
        <w:t>constructs</w:t>
      </w:r>
      <w:r w:rsidR="000D64C4">
        <w:rPr>
          <w:lang w:val="en-US"/>
        </w:rPr>
        <w:t xml:space="preserve"> </w:t>
      </w:r>
      <w:proofErr w:type="spellStart"/>
      <w:r w:rsidR="00CE3F30">
        <w:rPr>
          <w:lang w:val="en-US"/>
        </w:rPr>
        <w:t>bioprinted</w:t>
      </w:r>
      <w:proofErr w:type="spellEnd"/>
      <w:r w:rsidR="00CE3F30">
        <w:rPr>
          <w:lang w:val="en-US"/>
        </w:rPr>
        <w:t xml:space="preserve"> </w:t>
      </w:r>
      <w:r w:rsidR="009701B5" w:rsidRPr="00FD6DB8">
        <w:rPr>
          <w:lang w:val="en-US"/>
        </w:rPr>
        <w:t xml:space="preserve">onto either tissue culture plastic, </w:t>
      </w:r>
      <w:r w:rsidR="009701B5" w:rsidRPr="00FD6DB8">
        <w:rPr>
          <w:rFonts w:ascii="Symbol" w:hAnsi="Symbol"/>
          <w:lang w:val="en-US"/>
        </w:rPr>
        <w:t>b</w:t>
      </w:r>
      <w:r w:rsidR="009701B5" w:rsidRPr="00FD6DB8">
        <w:rPr>
          <w:lang w:val="en-US"/>
        </w:rPr>
        <w:t>TCP discs or dentine slices after 1 or 7 days of culture</w:t>
      </w:r>
      <w:r w:rsidR="0043724F">
        <w:rPr>
          <w:lang w:val="en-US"/>
        </w:rPr>
        <w:t>.</w:t>
      </w:r>
      <w:r w:rsidR="009701B5" w:rsidRPr="00FD6DB8">
        <w:rPr>
          <w:lang w:val="en-US"/>
        </w:rPr>
        <w:t xml:space="preserve"> </w:t>
      </w:r>
      <w:r w:rsidRPr="00FD6DB8">
        <w:rPr>
          <w:lang w:val="en-US"/>
        </w:rPr>
        <w:t>Widefield micrographs of live (</w:t>
      </w:r>
      <w:proofErr w:type="spellStart"/>
      <w:r w:rsidRPr="00FD6DB8">
        <w:rPr>
          <w:lang w:val="en-US"/>
        </w:rPr>
        <w:t>Calcein</w:t>
      </w:r>
      <w:proofErr w:type="spellEnd"/>
      <w:r w:rsidRPr="00FD6DB8">
        <w:rPr>
          <w:lang w:val="en-US"/>
        </w:rPr>
        <w:t xml:space="preserve"> AM, green) / dead (ethidium homodimer-1, red) staining of </w:t>
      </w:r>
      <w:r w:rsidR="0043724F">
        <w:rPr>
          <w:lang w:val="en-US"/>
        </w:rPr>
        <w:t xml:space="preserve">the </w:t>
      </w:r>
      <w:r w:rsidR="0043724F">
        <w:rPr>
          <w:lang w:val="en-US"/>
        </w:rPr>
        <w:lastRenderedPageBreak/>
        <w:t xml:space="preserve">bulk of the </w:t>
      </w:r>
      <w:r w:rsidRPr="00FD6DB8">
        <w:rPr>
          <w:lang w:val="en-US"/>
        </w:rPr>
        <w:t>constructs printed onto culture plastic (</w:t>
      </w:r>
      <w:proofErr w:type="spellStart"/>
      <w:proofErr w:type="gramStart"/>
      <w:r w:rsidRPr="00FD6DB8">
        <w:rPr>
          <w:lang w:val="en-US"/>
        </w:rPr>
        <w:t>a,b</w:t>
      </w:r>
      <w:proofErr w:type="spellEnd"/>
      <w:proofErr w:type="gramEnd"/>
      <w:r w:rsidRPr="00FD6DB8">
        <w:rPr>
          <w:lang w:val="en-US"/>
        </w:rPr>
        <w:t xml:space="preserve">), dentine (c, d) or </w:t>
      </w:r>
      <w:r w:rsidRPr="00FD6DB8">
        <w:rPr>
          <w:lang w:val="en-US"/>
        </w:rPr>
        <w:sym w:font="Symbol" w:char="F062"/>
      </w:r>
      <w:r w:rsidRPr="00FD6DB8">
        <w:rPr>
          <w:lang w:val="en-US"/>
        </w:rPr>
        <w:t>TCP discs (</w:t>
      </w:r>
      <w:proofErr w:type="spellStart"/>
      <w:r w:rsidRPr="00FD6DB8">
        <w:rPr>
          <w:lang w:val="en-US"/>
        </w:rPr>
        <w:t>e,f</w:t>
      </w:r>
      <w:proofErr w:type="spellEnd"/>
      <w:r w:rsidRPr="00FD6DB8">
        <w:rPr>
          <w:lang w:val="en-US"/>
        </w:rPr>
        <w:t xml:space="preserve">) after 1 (a, c, e) or 7 (b, d, f) days of culture. </w:t>
      </w:r>
      <w:proofErr w:type="spellStart"/>
      <w:r w:rsidRPr="00FD6DB8">
        <w:rPr>
          <w:lang w:val="en-US"/>
        </w:rPr>
        <w:t>hMSCs</w:t>
      </w:r>
      <w:proofErr w:type="spellEnd"/>
      <w:r w:rsidRPr="00FD6DB8">
        <w:rPr>
          <w:lang w:val="en-US"/>
        </w:rPr>
        <w:t xml:space="preserve"> were predominantly spherical at day 1, with some evidence of </w:t>
      </w:r>
      <w:r w:rsidR="001F6A1D" w:rsidRPr="00FD6DB8">
        <w:rPr>
          <w:lang w:val="en-US"/>
        </w:rPr>
        <w:t>polarization</w:t>
      </w:r>
      <w:r w:rsidRPr="00FD6DB8">
        <w:rPr>
          <w:lang w:val="en-US"/>
        </w:rPr>
        <w:t xml:space="preserve"> at day 7.</w:t>
      </w:r>
      <w:r w:rsidR="00034EE8">
        <w:rPr>
          <w:lang w:val="en-US"/>
        </w:rPr>
        <w:t xml:space="preserve"> </w:t>
      </w:r>
      <w:r w:rsidRPr="00F17DEF">
        <w:rPr>
          <w:lang w:val="en-US"/>
        </w:rPr>
        <w:t>Analysis was performed in collaboration with Emily Cornwell.</w:t>
      </w:r>
    </w:p>
    <w:p w14:paraId="1ECFD962" w14:textId="77777777" w:rsidR="00FF21C9" w:rsidRPr="00FD6DB8" w:rsidRDefault="00FF21C9" w:rsidP="00BB03FD">
      <w:pPr>
        <w:pStyle w:val="Caption"/>
        <w:spacing w:line="480" w:lineRule="auto"/>
        <w:jc w:val="both"/>
        <w:rPr>
          <w:lang w:val="en-US"/>
        </w:rPr>
      </w:pPr>
    </w:p>
    <w:p w14:paraId="26D33DC6" w14:textId="77777777" w:rsidR="00FF21C9" w:rsidRPr="00FD6DB8" w:rsidRDefault="00FF21C9" w:rsidP="00BB03FD">
      <w:pPr>
        <w:keepNext/>
        <w:spacing w:line="480" w:lineRule="auto"/>
        <w:jc w:val="both"/>
        <w:rPr>
          <w:lang w:val="en-US"/>
        </w:rPr>
      </w:pPr>
      <w:r w:rsidRPr="00FD6DB8">
        <w:rPr>
          <w:noProof/>
          <w:lang w:val="en-US"/>
        </w:rPr>
        <w:drawing>
          <wp:inline distT="0" distB="0" distL="0" distR="0" wp14:anchorId="2AAD8DB7" wp14:editId="5F22756D">
            <wp:extent cx="5756910" cy="22504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910" cy="2250440"/>
                    </a:xfrm>
                    <a:prstGeom prst="rect">
                      <a:avLst/>
                    </a:prstGeom>
                    <a:noFill/>
                    <a:ln>
                      <a:noFill/>
                    </a:ln>
                  </pic:spPr>
                </pic:pic>
              </a:graphicData>
            </a:graphic>
          </wp:inline>
        </w:drawing>
      </w:r>
    </w:p>
    <w:p w14:paraId="10F59F1D" w14:textId="4434BDFA" w:rsidR="00FF21C9" w:rsidRPr="00FD6DB8" w:rsidRDefault="00FF21C9" w:rsidP="00BB03FD">
      <w:pPr>
        <w:pStyle w:val="Caption"/>
        <w:spacing w:line="480" w:lineRule="auto"/>
        <w:jc w:val="both"/>
        <w:rPr>
          <w:lang w:val="en-US"/>
        </w:rPr>
      </w:pPr>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6</w:t>
      </w:r>
      <w:r w:rsidRPr="00FD6DB8">
        <w:rPr>
          <w:b/>
          <w:bCs/>
          <w:noProof/>
          <w:lang w:val="en-US"/>
        </w:rPr>
        <w:fldChar w:fldCharType="end"/>
      </w:r>
      <w:r w:rsidR="007F2FFE" w:rsidRPr="00FD6DB8">
        <w:rPr>
          <w:b/>
          <w:bCs/>
          <w:noProof/>
          <w:lang w:val="en-US"/>
        </w:rPr>
        <w:t>.</w:t>
      </w:r>
      <w:r w:rsidRPr="00FD6DB8">
        <w:rPr>
          <w:lang w:val="en-US"/>
        </w:rPr>
        <w:t xml:space="preserve"> Representative plots of individual cell distribution across </w:t>
      </w:r>
      <w:proofErr w:type="spellStart"/>
      <w:r w:rsidRPr="00FD6DB8">
        <w:rPr>
          <w:lang w:val="en-US"/>
        </w:rPr>
        <w:t>xy</w:t>
      </w:r>
      <w:proofErr w:type="spellEnd"/>
      <w:r w:rsidRPr="00FD6DB8">
        <w:rPr>
          <w:lang w:val="en-US"/>
        </w:rPr>
        <w:t xml:space="preserve">, </w:t>
      </w:r>
      <w:proofErr w:type="spellStart"/>
      <w:r w:rsidRPr="00FD6DB8">
        <w:rPr>
          <w:lang w:val="en-US"/>
        </w:rPr>
        <w:t>xz</w:t>
      </w:r>
      <w:proofErr w:type="spellEnd"/>
      <w:r w:rsidRPr="00FD6DB8">
        <w:rPr>
          <w:lang w:val="en-US"/>
        </w:rPr>
        <w:t xml:space="preserve"> and </w:t>
      </w:r>
      <w:proofErr w:type="spellStart"/>
      <w:r w:rsidRPr="00FD6DB8">
        <w:rPr>
          <w:lang w:val="en-US"/>
        </w:rPr>
        <w:t>yz</w:t>
      </w:r>
      <w:proofErr w:type="spellEnd"/>
      <w:r w:rsidRPr="00FD6DB8">
        <w:rPr>
          <w:lang w:val="en-US"/>
        </w:rPr>
        <w:t xml:space="preserve"> faces, taken from a sample </w:t>
      </w:r>
      <w:proofErr w:type="spellStart"/>
      <w:r w:rsidRPr="00FD6DB8">
        <w:rPr>
          <w:lang w:val="en-US"/>
        </w:rPr>
        <w:t>bioprinted</w:t>
      </w:r>
      <w:proofErr w:type="spellEnd"/>
      <w:r w:rsidRPr="00FD6DB8">
        <w:rPr>
          <w:lang w:val="en-US"/>
        </w:rPr>
        <w:t xml:space="preserve"> onto tissue culture plastic and cultured with expansion media for 1 day. Cells were well distributed across the imaged volume.</w:t>
      </w:r>
    </w:p>
    <w:p w14:paraId="39E5C845" w14:textId="77777777" w:rsidR="00FF21C9" w:rsidRPr="00FD6DB8" w:rsidRDefault="00FF21C9" w:rsidP="00BB03FD">
      <w:pPr>
        <w:spacing w:line="480" w:lineRule="auto"/>
        <w:jc w:val="both"/>
        <w:rPr>
          <w:lang w:val="en-US"/>
        </w:rPr>
      </w:pPr>
    </w:p>
    <w:p w14:paraId="3F40C367" w14:textId="77777777" w:rsidR="00FF21C9" w:rsidRPr="00FD6DB8" w:rsidRDefault="00FF21C9" w:rsidP="00BB03FD">
      <w:pPr>
        <w:keepNext/>
        <w:spacing w:line="480" w:lineRule="auto"/>
        <w:jc w:val="both"/>
        <w:rPr>
          <w:lang w:val="en-US"/>
        </w:rPr>
      </w:pPr>
      <w:r w:rsidRPr="00FD6DB8">
        <w:rPr>
          <w:noProof/>
          <w:lang w:val="en-US"/>
        </w:rPr>
        <w:drawing>
          <wp:inline distT="0" distB="0" distL="0" distR="0" wp14:anchorId="47FFCF88" wp14:editId="3BC974B1">
            <wp:extent cx="5753100" cy="1914525"/>
            <wp:effectExtent l="0" t="0" r="0" b="9525"/>
            <wp:docPr id="20" name="Picture 2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background patter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914525"/>
                    </a:xfrm>
                    <a:prstGeom prst="rect">
                      <a:avLst/>
                    </a:prstGeom>
                    <a:noFill/>
                    <a:ln>
                      <a:noFill/>
                    </a:ln>
                  </pic:spPr>
                </pic:pic>
              </a:graphicData>
            </a:graphic>
          </wp:inline>
        </w:drawing>
      </w:r>
    </w:p>
    <w:p w14:paraId="32951312" w14:textId="7D16E194" w:rsidR="00FF21C9" w:rsidRPr="00FD6DB8" w:rsidRDefault="00FF21C9" w:rsidP="00BB03FD">
      <w:pPr>
        <w:pStyle w:val="Caption"/>
        <w:spacing w:line="480" w:lineRule="auto"/>
        <w:jc w:val="both"/>
        <w:rPr>
          <w:lang w:val="en-US"/>
        </w:rPr>
      </w:pPr>
      <w:bookmarkStart w:id="5" w:name="_Ref108621040"/>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7</w:t>
      </w:r>
      <w:r w:rsidRPr="00FD6DB8">
        <w:rPr>
          <w:b/>
          <w:bCs/>
          <w:noProof/>
          <w:lang w:val="en-US"/>
        </w:rPr>
        <w:fldChar w:fldCharType="end"/>
      </w:r>
      <w:bookmarkEnd w:id="5"/>
      <w:r w:rsidR="007F2FFE" w:rsidRPr="00FD6DB8">
        <w:rPr>
          <w:b/>
          <w:bCs/>
          <w:noProof/>
          <w:lang w:val="en-US"/>
        </w:rPr>
        <w:t>.</w:t>
      </w:r>
      <w:r w:rsidRPr="00FD6DB8">
        <w:rPr>
          <w:lang w:val="en-US"/>
        </w:rPr>
        <w:t xml:space="preserve"> Immunofluorescence staining for F-actin (green) and DAPI (blue) of cell laden </w:t>
      </w:r>
      <w:r w:rsidR="001F6A1D" w:rsidRPr="00FD6DB8">
        <w:rPr>
          <w:lang w:val="en-US"/>
        </w:rPr>
        <w:t>constructs after</w:t>
      </w:r>
      <w:r w:rsidRPr="00FD6DB8">
        <w:rPr>
          <w:lang w:val="en-US"/>
        </w:rPr>
        <w:t xml:space="preserve"> 7 days culture. a) Cells imaged within the bulk of the gel were spherical for samples cultured on dentine. b) After observation of cell </w:t>
      </w:r>
      <w:r w:rsidR="001F6A1D" w:rsidRPr="00FD6DB8">
        <w:rPr>
          <w:lang w:val="en-US"/>
        </w:rPr>
        <w:t>polarization</w:t>
      </w:r>
      <w:r w:rsidRPr="00FD6DB8">
        <w:rPr>
          <w:lang w:val="en-US"/>
        </w:rPr>
        <w:t xml:space="preserve"> at the gel-dentine interface, the gel was carefully </w:t>
      </w:r>
      <w:proofErr w:type="gramStart"/>
      <w:r w:rsidRPr="00FD6DB8">
        <w:rPr>
          <w:lang w:val="en-US"/>
        </w:rPr>
        <w:t>removed</w:t>
      </w:r>
      <w:proofErr w:type="gramEnd"/>
      <w:r w:rsidRPr="00FD6DB8">
        <w:rPr>
          <w:lang w:val="en-US"/>
        </w:rPr>
        <w:t xml:space="preserve"> and highly </w:t>
      </w:r>
      <w:r w:rsidR="001F6A1D" w:rsidRPr="00FD6DB8">
        <w:rPr>
          <w:lang w:val="en-US"/>
        </w:rPr>
        <w:t>polarized</w:t>
      </w:r>
      <w:r w:rsidRPr="00FD6DB8">
        <w:rPr>
          <w:lang w:val="en-US"/>
        </w:rPr>
        <w:t xml:space="preserve"> cells were found anchored at the corresponding gel surface. c) Cells were observed to </w:t>
      </w:r>
      <w:r w:rsidR="001F6A1D" w:rsidRPr="00FD6DB8">
        <w:rPr>
          <w:lang w:val="en-US"/>
        </w:rPr>
        <w:t>polarize</w:t>
      </w:r>
      <w:r w:rsidRPr="00FD6DB8">
        <w:rPr>
          <w:lang w:val="en-US"/>
        </w:rPr>
        <w:t xml:space="preserve"> at the gel-</w:t>
      </w:r>
      <w:r w:rsidR="00097FAC" w:rsidRPr="00FD6DB8">
        <w:rPr>
          <w:rFonts w:ascii="Symbol" w:hAnsi="Symbol"/>
          <w:lang w:val="en-US"/>
        </w:rPr>
        <w:t>b</w:t>
      </w:r>
      <w:r w:rsidRPr="00FD6DB8">
        <w:rPr>
          <w:lang w:val="en-US"/>
        </w:rPr>
        <w:t>TCP interface</w:t>
      </w:r>
      <w:r w:rsidR="00B67CB2">
        <w:rPr>
          <w:lang w:val="en-US"/>
        </w:rPr>
        <w:t xml:space="preserve"> for constructs </w:t>
      </w:r>
      <w:r w:rsidR="00926FFE">
        <w:rPr>
          <w:lang w:val="en-US"/>
        </w:rPr>
        <w:t xml:space="preserve">cultured on </w:t>
      </w:r>
      <w:r w:rsidR="00926FFE" w:rsidRPr="00FD6DB8">
        <w:rPr>
          <w:rFonts w:ascii="Symbol" w:hAnsi="Symbol"/>
          <w:lang w:val="en-US"/>
        </w:rPr>
        <w:t>b</w:t>
      </w:r>
      <w:r w:rsidR="00926FFE" w:rsidRPr="00FD6DB8">
        <w:rPr>
          <w:lang w:val="en-US"/>
        </w:rPr>
        <w:t>TCP</w:t>
      </w:r>
      <w:r w:rsidR="00926FFE">
        <w:rPr>
          <w:lang w:val="en-US"/>
        </w:rPr>
        <w:t xml:space="preserve"> discs</w:t>
      </w:r>
      <w:r w:rsidRPr="00FD6DB8">
        <w:rPr>
          <w:lang w:val="en-US"/>
        </w:rPr>
        <w:t>.</w:t>
      </w:r>
    </w:p>
    <w:p w14:paraId="1C096C6A" w14:textId="77777777" w:rsidR="00FF21C9" w:rsidRPr="00FD6DB8" w:rsidRDefault="00FF21C9" w:rsidP="00BB03FD">
      <w:pPr>
        <w:spacing w:line="480" w:lineRule="auto"/>
        <w:jc w:val="both"/>
        <w:rPr>
          <w:lang w:val="en-US"/>
        </w:rPr>
      </w:pPr>
    </w:p>
    <w:p w14:paraId="36BA21A3" w14:textId="77777777" w:rsidR="00FF21C9" w:rsidRPr="00FD6DB8" w:rsidRDefault="00FF21C9" w:rsidP="00BB03FD">
      <w:pPr>
        <w:keepNext/>
        <w:spacing w:line="480" w:lineRule="auto"/>
        <w:jc w:val="both"/>
        <w:rPr>
          <w:lang w:val="en-US"/>
        </w:rPr>
      </w:pPr>
      <w:r w:rsidRPr="00FD6DB8">
        <w:rPr>
          <w:noProof/>
          <w:lang w:val="en-US"/>
        </w:rPr>
        <w:lastRenderedPageBreak/>
        <w:drawing>
          <wp:inline distT="0" distB="0" distL="0" distR="0" wp14:anchorId="4CCD8C45" wp14:editId="048B02DE">
            <wp:extent cx="5752465" cy="2296795"/>
            <wp:effectExtent l="0" t="0" r="0" b="0"/>
            <wp:docPr id="15" name="Picture 15"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ligh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2465" cy="2296795"/>
                    </a:xfrm>
                    <a:prstGeom prst="rect">
                      <a:avLst/>
                    </a:prstGeom>
                    <a:noFill/>
                    <a:ln>
                      <a:noFill/>
                    </a:ln>
                  </pic:spPr>
                </pic:pic>
              </a:graphicData>
            </a:graphic>
          </wp:inline>
        </w:drawing>
      </w:r>
    </w:p>
    <w:p w14:paraId="1DA94A93" w14:textId="2C9CF0B4" w:rsidR="00FF21C9" w:rsidRDefault="00FF21C9" w:rsidP="00BB03FD">
      <w:pPr>
        <w:pStyle w:val="Caption"/>
        <w:spacing w:line="480" w:lineRule="auto"/>
        <w:jc w:val="both"/>
        <w:rPr>
          <w:lang w:val="en-US"/>
        </w:rPr>
      </w:pPr>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8</w:t>
      </w:r>
      <w:r w:rsidRPr="00FD6DB8">
        <w:rPr>
          <w:b/>
          <w:bCs/>
          <w:noProof/>
          <w:lang w:val="en-US"/>
        </w:rPr>
        <w:fldChar w:fldCharType="end"/>
      </w:r>
      <w:r w:rsidR="007F2FFE" w:rsidRPr="00FD6DB8">
        <w:rPr>
          <w:b/>
          <w:bCs/>
          <w:noProof/>
          <w:lang w:val="en-US"/>
        </w:rPr>
        <w:t>.</w:t>
      </w:r>
      <w:r w:rsidRPr="00FD6DB8">
        <w:rPr>
          <w:lang w:val="en-US"/>
        </w:rPr>
        <w:t xml:space="preserve"> Gene expression analysis of </w:t>
      </w:r>
      <w:r w:rsidR="00D5379F">
        <w:rPr>
          <w:lang w:val="en-US"/>
        </w:rPr>
        <w:t xml:space="preserve">cell laden </w:t>
      </w:r>
      <w:r w:rsidRPr="00FD6DB8">
        <w:rPr>
          <w:lang w:val="en-US"/>
        </w:rPr>
        <w:t xml:space="preserve">constructs </w:t>
      </w:r>
      <w:proofErr w:type="spellStart"/>
      <w:r w:rsidRPr="00FD6DB8">
        <w:rPr>
          <w:lang w:val="en-US"/>
        </w:rPr>
        <w:t>bioprinted</w:t>
      </w:r>
      <w:proofErr w:type="spellEnd"/>
      <w:r w:rsidRPr="00FD6DB8">
        <w:rPr>
          <w:lang w:val="en-US"/>
        </w:rPr>
        <w:t xml:space="preserve"> onto either tissue culture plastic (P, N = 4), dentine (D, N = 4) or </w:t>
      </w:r>
      <w:r w:rsidR="00097FAC" w:rsidRPr="00FD6DB8">
        <w:rPr>
          <w:rFonts w:ascii="Symbol" w:hAnsi="Symbol"/>
          <w:lang w:val="en-US"/>
        </w:rPr>
        <w:t>b</w:t>
      </w:r>
      <w:r w:rsidRPr="00FD6DB8">
        <w:rPr>
          <w:lang w:val="en-US"/>
        </w:rPr>
        <w:t xml:space="preserve">TCP discs (B, N = 3) and cultured either in expansion (E) or osteo media (O) for 14 days. The results were </w:t>
      </w:r>
      <w:r w:rsidR="001F6A1D" w:rsidRPr="00FD6DB8">
        <w:rPr>
          <w:lang w:val="en-US"/>
        </w:rPr>
        <w:t>normalized</w:t>
      </w:r>
      <w:r w:rsidRPr="00FD6DB8">
        <w:rPr>
          <w:lang w:val="en-US"/>
        </w:rPr>
        <w:t xml:space="preserve"> against PE (dotted line), and the data presented fold changes. </w:t>
      </w:r>
      <w:r w:rsidR="00B81496">
        <w:rPr>
          <w:lang w:val="en-US"/>
        </w:rPr>
        <w:t xml:space="preserve">BGLAP expression trended towards downregulation indicating </w:t>
      </w:r>
      <w:r w:rsidR="00185483">
        <w:rPr>
          <w:lang w:val="en-US"/>
        </w:rPr>
        <w:t xml:space="preserve">that cells have not reached the mature osteoblast stage. </w:t>
      </w:r>
      <w:r w:rsidR="0088453E">
        <w:rPr>
          <w:lang w:val="en-US"/>
        </w:rPr>
        <w:t xml:space="preserve">COL1A2 trended towards upregulation </w:t>
      </w:r>
      <w:r w:rsidR="00566903">
        <w:rPr>
          <w:lang w:val="en-US"/>
        </w:rPr>
        <w:t xml:space="preserve">with significance for DO indicting </w:t>
      </w:r>
      <w:r w:rsidR="000D3EFB">
        <w:rPr>
          <w:lang w:val="en-US"/>
        </w:rPr>
        <w:t xml:space="preserve">immature osteoblasts. </w:t>
      </w:r>
      <w:r w:rsidRPr="00FD6DB8">
        <w:rPr>
          <w:lang w:val="en-US"/>
        </w:rPr>
        <w:t xml:space="preserve">All statistical analysis was performed on </w:t>
      </w:r>
      <w:r w:rsidR="001F6A1D" w:rsidRPr="001F6A1D">
        <w:rPr>
          <w:rFonts w:ascii="Symbol" w:hAnsi="Symbol"/>
          <w:lang w:val="en-US"/>
        </w:rPr>
        <w:t></w:t>
      </w:r>
      <w:r w:rsidR="001F6A1D" w:rsidRPr="001F6A1D">
        <w:rPr>
          <w:rFonts w:ascii="Symbol" w:hAnsi="Symbol"/>
          <w:lang w:val="en-US"/>
        </w:rPr>
        <w:t></w:t>
      </w:r>
      <w:r w:rsidRPr="00FD6DB8">
        <w:rPr>
          <w:lang w:val="en-US"/>
        </w:rPr>
        <w:t>CT values. Paired t-tests (</w:t>
      </w:r>
      <w:r w:rsidR="001F6A1D" w:rsidRPr="001F6A1D">
        <w:rPr>
          <w:rFonts w:ascii="Symbol" w:hAnsi="Symbol"/>
          <w:lang w:val="en-US"/>
        </w:rPr>
        <w:t></w:t>
      </w:r>
      <w:r w:rsidRPr="00FD6DB8">
        <w:rPr>
          <w:lang w:val="en-US"/>
        </w:rPr>
        <w:t xml:space="preserve">CT plastic expansion vs </w:t>
      </w:r>
      <w:r w:rsidRPr="001F6A1D">
        <w:rPr>
          <w:rFonts w:ascii="Symbol" w:hAnsi="Symbol"/>
          <w:lang w:val="en-US"/>
        </w:rPr>
        <w:t></w:t>
      </w:r>
      <w:r w:rsidRPr="00FD6DB8">
        <w:rPr>
          <w:lang w:val="en-US"/>
        </w:rPr>
        <w:t>CT treatment,</w:t>
      </w:r>
      <w:r w:rsidR="001F6A1D">
        <w:rPr>
          <w:lang w:val="en-US"/>
        </w:rPr>
        <w:t xml:space="preserve"> </w:t>
      </w:r>
      <w:r w:rsidRPr="00FD6DB8">
        <w:rPr>
          <w:lang w:val="en-US"/>
        </w:rPr>
        <w:t xml:space="preserve">† = P &lt; 0.05) were used to investigate autoinduction of the gene compared to PE. 2-way ANOVA on </w:t>
      </w:r>
      <w:r w:rsidR="001F6A1D" w:rsidRPr="001F6A1D">
        <w:rPr>
          <w:rFonts w:ascii="Symbol" w:hAnsi="Symbol"/>
          <w:lang w:val="en-US"/>
        </w:rPr>
        <w:t></w:t>
      </w:r>
      <w:r w:rsidR="001F6A1D" w:rsidRPr="001F6A1D">
        <w:rPr>
          <w:rFonts w:ascii="Symbol" w:hAnsi="Symbol"/>
          <w:lang w:val="en-US"/>
        </w:rPr>
        <w:t></w:t>
      </w:r>
      <w:r w:rsidRPr="00FD6DB8">
        <w:rPr>
          <w:lang w:val="en-US"/>
        </w:rPr>
        <w:t>CT values was used to compare statistical differences between groups (* = p &lt; 0.05). Bars represent the mean.</w:t>
      </w:r>
    </w:p>
    <w:p w14:paraId="38D34F28" w14:textId="1D907E09" w:rsidR="002627E2" w:rsidRDefault="002627E2" w:rsidP="00BB03FD">
      <w:pPr>
        <w:spacing w:line="480" w:lineRule="auto"/>
        <w:jc w:val="both"/>
        <w:rPr>
          <w:lang w:val="en-US"/>
        </w:rPr>
      </w:pPr>
    </w:p>
    <w:p w14:paraId="706F289B" w14:textId="77777777" w:rsidR="005A3FD8" w:rsidRDefault="00230C2C" w:rsidP="00BB03FD">
      <w:pPr>
        <w:keepNext/>
        <w:spacing w:line="480" w:lineRule="auto"/>
        <w:jc w:val="both"/>
      </w:pPr>
      <w:r>
        <w:rPr>
          <w:noProof/>
          <w:lang w:val="en-US"/>
        </w:rPr>
        <w:drawing>
          <wp:inline distT="0" distB="0" distL="0" distR="0" wp14:anchorId="4C61CAB8" wp14:editId="5978D7BF">
            <wp:extent cx="3774440" cy="24453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74440" cy="2445385"/>
                    </a:xfrm>
                    <a:prstGeom prst="rect">
                      <a:avLst/>
                    </a:prstGeom>
                    <a:noFill/>
                    <a:ln>
                      <a:noFill/>
                    </a:ln>
                  </pic:spPr>
                </pic:pic>
              </a:graphicData>
            </a:graphic>
          </wp:inline>
        </w:drawing>
      </w:r>
    </w:p>
    <w:p w14:paraId="13215499" w14:textId="6D8E5D30" w:rsidR="00B45EA7" w:rsidRPr="00FD6DB8" w:rsidRDefault="005A3FD8" w:rsidP="00BB03FD">
      <w:pPr>
        <w:pStyle w:val="Caption"/>
        <w:spacing w:line="480" w:lineRule="auto"/>
        <w:jc w:val="both"/>
        <w:rPr>
          <w:lang w:val="en-US"/>
        </w:rPr>
      </w:pPr>
      <w:r w:rsidRPr="005A3FD8">
        <w:rPr>
          <w:b/>
          <w:bCs/>
        </w:rPr>
        <w:t>Figure S</w:t>
      </w:r>
      <w:r w:rsidRPr="005A3FD8">
        <w:rPr>
          <w:b/>
          <w:bCs/>
        </w:rPr>
        <w:fldChar w:fldCharType="begin"/>
      </w:r>
      <w:r w:rsidRPr="005A3FD8">
        <w:rPr>
          <w:b/>
          <w:bCs/>
        </w:rPr>
        <w:instrText xml:space="preserve"> SEQ Figure_S \* ARABIC </w:instrText>
      </w:r>
      <w:r w:rsidRPr="005A3FD8">
        <w:rPr>
          <w:b/>
          <w:bCs/>
        </w:rPr>
        <w:fldChar w:fldCharType="separate"/>
      </w:r>
      <w:r w:rsidR="007C4B03">
        <w:rPr>
          <w:b/>
          <w:bCs/>
          <w:noProof/>
        </w:rPr>
        <w:t>9</w:t>
      </w:r>
      <w:r w:rsidRPr="005A3FD8">
        <w:rPr>
          <w:b/>
          <w:bCs/>
        </w:rPr>
        <w:fldChar w:fldCharType="end"/>
      </w:r>
      <w:r w:rsidRPr="005A3FD8">
        <w:rPr>
          <w:b/>
          <w:bCs/>
        </w:rPr>
        <w:t>.</w:t>
      </w:r>
      <w:r>
        <w:t xml:space="preserve"> </w:t>
      </w:r>
      <w:r w:rsidR="00B45EA7" w:rsidRPr="00FD6DB8">
        <w:rPr>
          <w:lang w:val="en-US"/>
        </w:rPr>
        <w:t>ALP activity assays for samples</w:t>
      </w:r>
      <w:r w:rsidR="001B3FEB">
        <w:rPr>
          <w:lang w:val="en-US"/>
        </w:rPr>
        <w:t xml:space="preserve"> cultured</w:t>
      </w:r>
      <w:r w:rsidR="00B45EA7" w:rsidRPr="00FD6DB8">
        <w:rPr>
          <w:lang w:val="en-US"/>
        </w:rPr>
        <w:t xml:space="preserve"> on </w:t>
      </w:r>
      <w:r w:rsidR="001B3FEB">
        <w:rPr>
          <w:lang w:val="en-US"/>
        </w:rPr>
        <w:t xml:space="preserve">tissue culture plastic, </w:t>
      </w:r>
      <w:r w:rsidR="00B45EA7" w:rsidRPr="00FD6DB8">
        <w:rPr>
          <w:lang w:val="en-US"/>
        </w:rPr>
        <w:t>dentine</w:t>
      </w:r>
      <w:r w:rsidR="001B3FEB">
        <w:rPr>
          <w:lang w:val="en-US"/>
        </w:rPr>
        <w:t xml:space="preserve"> or </w:t>
      </w:r>
      <w:proofErr w:type="spellStart"/>
      <w:r w:rsidR="001B3FEB">
        <w:rPr>
          <w:lang w:val="en-US"/>
        </w:rPr>
        <w:t>bTCP</w:t>
      </w:r>
      <w:proofErr w:type="spellEnd"/>
      <w:r w:rsidR="00B45EA7" w:rsidRPr="00FD6DB8">
        <w:rPr>
          <w:lang w:val="en-US"/>
        </w:rPr>
        <w:t xml:space="preserve"> compared</w:t>
      </w:r>
      <w:r w:rsidR="001B3FEB">
        <w:rPr>
          <w:lang w:val="en-US"/>
        </w:rPr>
        <w:t xml:space="preserve"> in </w:t>
      </w:r>
      <w:proofErr w:type="spellStart"/>
      <w:r w:rsidR="001B3FEB">
        <w:rPr>
          <w:lang w:val="en-US"/>
        </w:rPr>
        <w:t>osteoinductive</w:t>
      </w:r>
      <w:proofErr w:type="spellEnd"/>
      <w:r w:rsidR="001B3FEB">
        <w:rPr>
          <w:lang w:val="en-US"/>
        </w:rPr>
        <w:t xml:space="preserve"> media for 7 days</w:t>
      </w:r>
      <w:r w:rsidR="00B45EA7" w:rsidRPr="00FD6DB8">
        <w:rPr>
          <w:lang w:val="en-US"/>
        </w:rPr>
        <w:t xml:space="preserve"> to culture plastic</w:t>
      </w:r>
      <w:r w:rsidR="001B3FEB">
        <w:rPr>
          <w:lang w:val="en-US"/>
        </w:rPr>
        <w:t xml:space="preserve"> in expansion media</w:t>
      </w:r>
      <w:r w:rsidR="00B45EA7" w:rsidRPr="00FD6DB8">
        <w:rPr>
          <w:lang w:val="en-US"/>
        </w:rPr>
        <w:t xml:space="preserve"> (dotted line). ALP activity was first normalized to mass of hydrogel per sample, and statistical significance determined by RM </w:t>
      </w:r>
      <w:r w:rsidR="00AC2F7B">
        <w:rPr>
          <w:lang w:val="en-US"/>
        </w:rPr>
        <w:t>two</w:t>
      </w:r>
      <w:r w:rsidR="00B45EA7" w:rsidRPr="00FD6DB8">
        <w:rPr>
          <w:lang w:val="en-US"/>
        </w:rPr>
        <w:t>-way ANOVA († = p &lt; 0.05, N = 3). The data were then converted to fold change relative to PE for plotting. Bars represent the mean.</w:t>
      </w:r>
    </w:p>
    <w:p w14:paraId="3DAFA753" w14:textId="77777777" w:rsidR="00B45EA7" w:rsidRPr="002627E2" w:rsidRDefault="00B45EA7" w:rsidP="00BB03FD">
      <w:pPr>
        <w:spacing w:line="480" w:lineRule="auto"/>
        <w:jc w:val="both"/>
        <w:rPr>
          <w:lang w:val="en-US"/>
        </w:rPr>
      </w:pPr>
    </w:p>
    <w:p w14:paraId="029EB383" w14:textId="07819BF9" w:rsidR="00FF21C9" w:rsidRPr="00FD6DB8" w:rsidRDefault="00FF21C9" w:rsidP="00BB03FD">
      <w:pPr>
        <w:keepNext/>
        <w:spacing w:line="480" w:lineRule="auto"/>
        <w:jc w:val="both"/>
        <w:rPr>
          <w:lang w:val="en-US"/>
        </w:rPr>
      </w:pPr>
      <w:r w:rsidRPr="00FD6DB8">
        <w:rPr>
          <w:noProof/>
          <w:lang w:val="en-US"/>
        </w:rPr>
        <w:lastRenderedPageBreak/>
        <w:drawing>
          <wp:inline distT="0" distB="0" distL="0" distR="0" wp14:anchorId="63F9C348" wp14:editId="7FC589AD">
            <wp:extent cx="3411463" cy="3904091"/>
            <wp:effectExtent l="0" t="0" r="0" b="0"/>
            <wp:docPr id="9" name="Picture 9" descr="A picture containing wall, painted,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wall, painted, several&#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5089" cy="3908241"/>
                    </a:xfrm>
                    <a:prstGeom prst="rect">
                      <a:avLst/>
                    </a:prstGeom>
                    <a:noFill/>
                    <a:ln>
                      <a:noFill/>
                    </a:ln>
                  </pic:spPr>
                </pic:pic>
              </a:graphicData>
            </a:graphic>
          </wp:inline>
        </w:drawing>
      </w:r>
    </w:p>
    <w:p w14:paraId="1D594E5B" w14:textId="3D0DFF0C" w:rsidR="00FF21C9" w:rsidRPr="00FD6DB8" w:rsidRDefault="00FF21C9" w:rsidP="00BB03FD">
      <w:pPr>
        <w:pStyle w:val="Caption"/>
        <w:spacing w:line="480" w:lineRule="auto"/>
        <w:jc w:val="both"/>
        <w:rPr>
          <w:lang w:val="en-US"/>
        </w:rPr>
      </w:pPr>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10</w:t>
      </w:r>
      <w:r w:rsidRPr="00FD6DB8">
        <w:rPr>
          <w:b/>
          <w:bCs/>
          <w:noProof/>
          <w:lang w:val="en-US"/>
        </w:rPr>
        <w:fldChar w:fldCharType="end"/>
      </w:r>
      <w:r w:rsidR="007F2FFE" w:rsidRPr="00FD6DB8">
        <w:rPr>
          <w:b/>
          <w:bCs/>
          <w:lang w:val="en-US"/>
        </w:rPr>
        <w:t>.</w:t>
      </w:r>
      <w:r w:rsidRPr="00FD6DB8">
        <w:rPr>
          <w:lang w:val="en-US"/>
        </w:rPr>
        <w:t xml:space="preserve"> Pictures of samples after 4 weeks culture. There is an increase in opacity for samples cultured with expansion media on dentine compared to tissue culture plastic that was also observed when removed from the dentine slice.</w:t>
      </w:r>
    </w:p>
    <w:p w14:paraId="061FC185" w14:textId="77777777" w:rsidR="00FF21C9" w:rsidRPr="00FD6DB8" w:rsidRDefault="00FF21C9" w:rsidP="00BB03FD">
      <w:pPr>
        <w:spacing w:line="480" w:lineRule="auto"/>
        <w:jc w:val="both"/>
        <w:rPr>
          <w:lang w:val="en-US"/>
        </w:rPr>
      </w:pPr>
    </w:p>
    <w:p w14:paraId="0B4FC83D" w14:textId="77777777" w:rsidR="00FF21C9" w:rsidRPr="00FD6DB8" w:rsidRDefault="00FF21C9" w:rsidP="00BB03FD">
      <w:pPr>
        <w:spacing w:line="480" w:lineRule="auto"/>
        <w:jc w:val="both"/>
        <w:rPr>
          <w:lang w:val="en-US"/>
        </w:rPr>
      </w:pPr>
    </w:p>
    <w:p w14:paraId="0EC17320" w14:textId="6EDBB9CF" w:rsidR="00FF21C9" w:rsidRPr="00FD6DB8" w:rsidRDefault="00FF21C9" w:rsidP="00BB03FD">
      <w:pPr>
        <w:keepNext/>
        <w:spacing w:line="480" w:lineRule="auto"/>
        <w:jc w:val="both"/>
        <w:rPr>
          <w:lang w:val="en-US"/>
        </w:rPr>
      </w:pPr>
    </w:p>
    <w:p w14:paraId="44F09D5C" w14:textId="5DD1B01E" w:rsidR="008E00AA" w:rsidRPr="00FD6DB8" w:rsidRDefault="008E00AA" w:rsidP="00BB03FD">
      <w:pPr>
        <w:keepNext/>
        <w:spacing w:line="480" w:lineRule="auto"/>
        <w:jc w:val="both"/>
        <w:rPr>
          <w:lang w:val="en-US"/>
        </w:rPr>
      </w:pPr>
    </w:p>
    <w:p w14:paraId="505E6163" w14:textId="77B17B7F" w:rsidR="008E00AA" w:rsidRPr="00FD6DB8" w:rsidRDefault="00A8462C" w:rsidP="00BB03FD">
      <w:pPr>
        <w:keepNext/>
        <w:spacing w:line="480" w:lineRule="auto"/>
        <w:jc w:val="both"/>
        <w:rPr>
          <w:lang w:val="en-US"/>
        </w:rPr>
      </w:pPr>
      <w:r w:rsidRPr="00FD6DB8">
        <w:rPr>
          <w:noProof/>
          <w:lang w:val="en-US"/>
        </w:rPr>
        <w:drawing>
          <wp:inline distT="0" distB="0" distL="0" distR="0" wp14:anchorId="3654351E" wp14:editId="5819FAA5">
            <wp:extent cx="5753735" cy="32346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735" cy="3234690"/>
                    </a:xfrm>
                    <a:prstGeom prst="rect">
                      <a:avLst/>
                    </a:prstGeom>
                    <a:noFill/>
                    <a:ln>
                      <a:noFill/>
                    </a:ln>
                  </pic:spPr>
                </pic:pic>
              </a:graphicData>
            </a:graphic>
          </wp:inline>
        </w:drawing>
      </w:r>
    </w:p>
    <w:p w14:paraId="3A10484C" w14:textId="1DB26201" w:rsidR="008E00AA" w:rsidRPr="00FD6DB8" w:rsidRDefault="008E00AA" w:rsidP="00BB03FD">
      <w:pPr>
        <w:keepNext/>
        <w:spacing w:line="480" w:lineRule="auto"/>
        <w:jc w:val="both"/>
        <w:rPr>
          <w:lang w:val="en-US"/>
        </w:rPr>
      </w:pPr>
    </w:p>
    <w:p w14:paraId="5F668466" w14:textId="77777777" w:rsidR="008E00AA" w:rsidRPr="00FD6DB8" w:rsidRDefault="008E00AA" w:rsidP="00BB03FD">
      <w:pPr>
        <w:keepNext/>
        <w:spacing w:line="480" w:lineRule="auto"/>
        <w:jc w:val="both"/>
        <w:rPr>
          <w:lang w:val="en-US"/>
        </w:rPr>
      </w:pPr>
    </w:p>
    <w:p w14:paraId="2E6A577C" w14:textId="7106E05C" w:rsidR="00FF21C9" w:rsidRPr="00FD6DB8" w:rsidRDefault="00FF21C9" w:rsidP="00BB03FD">
      <w:pPr>
        <w:pStyle w:val="Caption"/>
        <w:spacing w:line="480" w:lineRule="auto"/>
        <w:jc w:val="both"/>
        <w:rPr>
          <w:lang w:val="en-US"/>
        </w:rPr>
      </w:pPr>
      <w:bookmarkStart w:id="6" w:name="_Ref108621226"/>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11</w:t>
      </w:r>
      <w:r w:rsidRPr="00FD6DB8">
        <w:rPr>
          <w:b/>
          <w:bCs/>
          <w:noProof/>
          <w:lang w:val="en-US"/>
        </w:rPr>
        <w:fldChar w:fldCharType="end"/>
      </w:r>
      <w:bookmarkEnd w:id="6"/>
      <w:r w:rsidR="007F2FFE" w:rsidRPr="00FD6DB8">
        <w:rPr>
          <w:b/>
          <w:bCs/>
          <w:lang w:val="en-US"/>
        </w:rPr>
        <w:t>.</w:t>
      </w:r>
      <w:r w:rsidR="007F2FFE" w:rsidRPr="00FD6DB8">
        <w:rPr>
          <w:lang w:val="en-US"/>
        </w:rPr>
        <w:t xml:space="preserve"> </w:t>
      </w:r>
      <w:r w:rsidRPr="00FD6DB8">
        <w:rPr>
          <w:lang w:val="en-US"/>
        </w:rPr>
        <w:t>Representative images of safranin-O staining of constructs printed with (</w:t>
      </w:r>
      <w:proofErr w:type="spellStart"/>
      <w:proofErr w:type="gramStart"/>
      <w:r w:rsidRPr="00FD6DB8">
        <w:rPr>
          <w:lang w:val="en-US"/>
        </w:rPr>
        <w:t>c,d</w:t>
      </w:r>
      <w:proofErr w:type="gramEnd"/>
      <w:r w:rsidR="00A8462C" w:rsidRPr="00FD6DB8">
        <w:rPr>
          <w:lang w:val="en-US"/>
        </w:rPr>
        <w:t>,e,f</w:t>
      </w:r>
      <w:proofErr w:type="spellEnd"/>
      <w:r w:rsidRPr="00FD6DB8">
        <w:rPr>
          <w:lang w:val="en-US"/>
        </w:rPr>
        <w:t>) or without (</w:t>
      </w:r>
      <w:proofErr w:type="spellStart"/>
      <w:r w:rsidRPr="00FD6DB8">
        <w:rPr>
          <w:lang w:val="en-US"/>
        </w:rPr>
        <w:t>a,b</w:t>
      </w:r>
      <w:proofErr w:type="spellEnd"/>
      <w:r w:rsidRPr="00FD6DB8">
        <w:rPr>
          <w:lang w:val="en-US"/>
        </w:rPr>
        <w:t xml:space="preserve">) </w:t>
      </w:r>
      <w:proofErr w:type="spellStart"/>
      <w:r w:rsidRPr="00FD6DB8">
        <w:rPr>
          <w:lang w:val="en-US"/>
        </w:rPr>
        <w:t>hMSCs</w:t>
      </w:r>
      <w:proofErr w:type="spellEnd"/>
      <w:r w:rsidRPr="00FD6DB8">
        <w:rPr>
          <w:lang w:val="en-US"/>
        </w:rPr>
        <w:t xml:space="preserve"> onto </w:t>
      </w:r>
      <w:r w:rsidR="0067762D" w:rsidRPr="00FD6DB8">
        <w:rPr>
          <w:lang w:val="en-US"/>
        </w:rPr>
        <w:t xml:space="preserve">either </w:t>
      </w:r>
      <w:r w:rsidRPr="00FD6DB8">
        <w:rPr>
          <w:lang w:val="en-US"/>
        </w:rPr>
        <w:t>tissue culture plastic</w:t>
      </w:r>
      <w:r w:rsidR="0067762D" w:rsidRPr="00FD6DB8">
        <w:rPr>
          <w:lang w:val="en-US"/>
        </w:rPr>
        <w:t xml:space="preserve"> (</w:t>
      </w:r>
      <w:proofErr w:type="spellStart"/>
      <w:r w:rsidR="0067762D" w:rsidRPr="00FD6DB8">
        <w:rPr>
          <w:lang w:val="en-US"/>
        </w:rPr>
        <w:t>a,b,c,d</w:t>
      </w:r>
      <w:proofErr w:type="spellEnd"/>
      <w:r w:rsidR="006F6EE4" w:rsidRPr="00FD6DB8">
        <w:rPr>
          <w:lang w:val="en-US"/>
        </w:rPr>
        <w:t>)</w:t>
      </w:r>
      <w:r w:rsidR="0067762D" w:rsidRPr="00FD6DB8">
        <w:rPr>
          <w:lang w:val="en-US"/>
        </w:rPr>
        <w:t xml:space="preserve">, dentine (e) or </w:t>
      </w:r>
      <w:r w:rsidR="0067762D" w:rsidRPr="00FD6DB8">
        <w:rPr>
          <w:rFonts w:ascii="Symbol" w:hAnsi="Symbol"/>
          <w:lang w:val="en-US"/>
        </w:rPr>
        <w:t>b</w:t>
      </w:r>
      <w:r w:rsidR="0067762D" w:rsidRPr="00FD6DB8">
        <w:rPr>
          <w:lang w:val="en-US"/>
        </w:rPr>
        <w:t>TCP (f)</w:t>
      </w:r>
      <w:r w:rsidRPr="00FD6DB8">
        <w:rPr>
          <w:lang w:val="en-US"/>
        </w:rPr>
        <w:t>, and cultured for 28 days in either expansion (</w:t>
      </w:r>
      <w:proofErr w:type="spellStart"/>
      <w:r w:rsidRPr="00FD6DB8">
        <w:rPr>
          <w:lang w:val="en-US"/>
        </w:rPr>
        <w:t>a,c</w:t>
      </w:r>
      <w:proofErr w:type="spellEnd"/>
      <w:r w:rsidRPr="00FD6DB8">
        <w:rPr>
          <w:lang w:val="en-US"/>
        </w:rPr>
        <w:t xml:space="preserve">) or </w:t>
      </w:r>
      <w:proofErr w:type="spellStart"/>
      <w:r w:rsidRPr="00FD6DB8">
        <w:rPr>
          <w:lang w:val="en-US"/>
        </w:rPr>
        <w:t>osteoinductive</w:t>
      </w:r>
      <w:proofErr w:type="spellEnd"/>
      <w:r w:rsidRPr="00FD6DB8">
        <w:rPr>
          <w:lang w:val="en-US"/>
        </w:rPr>
        <w:t xml:space="preserve"> media (</w:t>
      </w:r>
      <w:proofErr w:type="spellStart"/>
      <w:r w:rsidRPr="00FD6DB8">
        <w:rPr>
          <w:lang w:val="en-US"/>
        </w:rPr>
        <w:t>b,d</w:t>
      </w:r>
      <w:r w:rsidR="00A8462C" w:rsidRPr="00FD6DB8">
        <w:rPr>
          <w:lang w:val="en-US"/>
        </w:rPr>
        <w:t>,e,f</w:t>
      </w:r>
      <w:proofErr w:type="spellEnd"/>
      <w:r w:rsidRPr="00FD6DB8">
        <w:rPr>
          <w:lang w:val="en-US"/>
        </w:rPr>
        <w:t>). Minimal positive staining (black) was observed for the acellular controls and for cellular samples cultured in expansion media. However, a thick band of positive staining was observed at the gel-media interface (</w:t>
      </w:r>
      <w:r w:rsidR="006F6EE4" w:rsidRPr="00FD6DB8">
        <w:rPr>
          <w:lang w:val="en-US"/>
        </w:rPr>
        <w:t>yellow</w:t>
      </w:r>
      <w:r w:rsidRPr="00FD6DB8">
        <w:rPr>
          <w:lang w:val="en-US"/>
        </w:rPr>
        <w:t xml:space="preserve"> arrows) for cellular samples cultured with </w:t>
      </w:r>
      <w:proofErr w:type="spellStart"/>
      <w:r w:rsidRPr="00FD6DB8">
        <w:rPr>
          <w:lang w:val="en-US"/>
        </w:rPr>
        <w:t>osteoinductive</w:t>
      </w:r>
      <w:proofErr w:type="spellEnd"/>
      <w:r w:rsidRPr="00FD6DB8">
        <w:rPr>
          <w:lang w:val="en-US"/>
        </w:rPr>
        <w:t xml:space="preserve"> media.</w:t>
      </w:r>
    </w:p>
    <w:p w14:paraId="26C3D190" w14:textId="414B578E" w:rsidR="002C09F6" w:rsidRPr="00FD6DB8" w:rsidRDefault="002C09F6" w:rsidP="00BB03FD">
      <w:pPr>
        <w:keepNext/>
        <w:spacing w:line="480" w:lineRule="auto"/>
        <w:jc w:val="both"/>
        <w:rPr>
          <w:lang w:val="en-US"/>
        </w:rPr>
      </w:pPr>
    </w:p>
    <w:p w14:paraId="026ABF0D" w14:textId="64462356" w:rsidR="002C09F6" w:rsidRPr="00FD6DB8" w:rsidRDefault="002C09F6" w:rsidP="00BB03FD">
      <w:pPr>
        <w:keepNext/>
        <w:spacing w:line="480" w:lineRule="auto"/>
        <w:jc w:val="both"/>
        <w:rPr>
          <w:lang w:val="en-US"/>
        </w:rPr>
      </w:pPr>
      <w:r w:rsidRPr="00FD6DB8">
        <w:rPr>
          <w:noProof/>
          <w:lang w:val="en-US"/>
        </w:rPr>
        <w:drawing>
          <wp:inline distT="0" distB="0" distL="0" distR="0" wp14:anchorId="2A53728C" wp14:editId="4AA2D805">
            <wp:extent cx="5762625" cy="6435090"/>
            <wp:effectExtent l="0" t="0" r="952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6435090"/>
                    </a:xfrm>
                    <a:prstGeom prst="rect">
                      <a:avLst/>
                    </a:prstGeom>
                    <a:noFill/>
                    <a:ln>
                      <a:noFill/>
                    </a:ln>
                  </pic:spPr>
                </pic:pic>
              </a:graphicData>
            </a:graphic>
          </wp:inline>
        </w:drawing>
      </w:r>
    </w:p>
    <w:p w14:paraId="52B271A1" w14:textId="77777777" w:rsidR="002C09F6" w:rsidRPr="00FD6DB8" w:rsidRDefault="002C09F6" w:rsidP="00BB03FD">
      <w:pPr>
        <w:keepNext/>
        <w:spacing w:line="480" w:lineRule="auto"/>
        <w:jc w:val="both"/>
        <w:rPr>
          <w:lang w:val="en-US"/>
        </w:rPr>
      </w:pPr>
    </w:p>
    <w:p w14:paraId="7C3CBFEB" w14:textId="1D7624E9" w:rsidR="00FF21C9" w:rsidRPr="00FD6DB8" w:rsidRDefault="00FF21C9" w:rsidP="00BB03FD">
      <w:pPr>
        <w:pStyle w:val="Caption"/>
        <w:spacing w:line="480" w:lineRule="auto"/>
        <w:jc w:val="both"/>
        <w:rPr>
          <w:lang w:val="en-US"/>
        </w:rPr>
      </w:pPr>
      <w:bookmarkStart w:id="7" w:name="_Ref108621235"/>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12</w:t>
      </w:r>
      <w:r w:rsidRPr="00FD6DB8">
        <w:rPr>
          <w:b/>
          <w:bCs/>
          <w:noProof/>
          <w:lang w:val="en-US"/>
        </w:rPr>
        <w:fldChar w:fldCharType="end"/>
      </w:r>
      <w:bookmarkEnd w:id="7"/>
      <w:r w:rsidR="007F2FFE" w:rsidRPr="00FD6DB8">
        <w:rPr>
          <w:b/>
          <w:bCs/>
          <w:lang w:val="en-US"/>
        </w:rPr>
        <w:t>.</w:t>
      </w:r>
      <w:r w:rsidRPr="00FD6DB8">
        <w:rPr>
          <w:lang w:val="en-US"/>
        </w:rPr>
        <w:t xml:space="preserve"> Representative images of alizarin red </w:t>
      </w:r>
      <w:r w:rsidR="002C09F6" w:rsidRPr="00FD6DB8">
        <w:rPr>
          <w:lang w:val="en-US"/>
        </w:rPr>
        <w:t>staining of constructs printed with (</w:t>
      </w:r>
      <w:proofErr w:type="spellStart"/>
      <w:proofErr w:type="gramStart"/>
      <w:r w:rsidR="002C09F6" w:rsidRPr="00FD6DB8">
        <w:rPr>
          <w:lang w:val="en-US"/>
        </w:rPr>
        <w:t>c,d</w:t>
      </w:r>
      <w:proofErr w:type="gramEnd"/>
      <w:r w:rsidR="002C09F6" w:rsidRPr="00FD6DB8">
        <w:rPr>
          <w:lang w:val="en-US"/>
        </w:rPr>
        <w:t>,e,f</w:t>
      </w:r>
      <w:proofErr w:type="spellEnd"/>
      <w:r w:rsidR="002C09F6" w:rsidRPr="00FD6DB8">
        <w:rPr>
          <w:lang w:val="en-US"/>
        </w:rPr>
        <w:t>) or without (</w:t>
      </w:r>
      <w:proofErr w:type="spellStart"/>
      <w:r w:rsidR="002C09F6" w:rsidRPr="00FD6DB8">
        <w:rPr>
          <w:lang w:val="en-US"/>
        </w:rPr>
        <w:t>a,b</w:t>
      </w:r>
      <w:proofErr w:type="spellEnd"/>
      <w:r w:rsidR="002C09F6" w:rsidRPr="00FD6DB8">
        <w:rPr>
          <w:lang w:val="en-US"/>
        </w:rPr>
        <w:t xml:space="preserve">) </w:t>
      </w:r>
      <w:proofErr w:type="spellStart"/>
      <w:r w:rsidR="002C09F6" w:rsidRPr="00FD6DB8">
        <w:rPr>
          <w:lang w:val="en-US"/>
        </w:rPr>
        <w:t>hMSCs</w:t>
      </w:r>
      <w:proofErr w:type="spellEnd"/>
      <w:r w:rsidR="002C09F6" w:rsidRPr="00FD6DB8">
        <w:rPr>
          <w:lang w:val="en-US"/>
        </w:rPr>
        <w:t xml:space="preserve"> onto either tissue culture plastic (</w:t>
      </w:r>
      <w:proofErr w:type="spellStart"/>
      <w:r w:rsidR="002C09F6" w:rsidRPr="00FD6DB8">
        <w:rPr>
          <w:lang w:val="en-US"/>
        </w:rPr>
        <w:t>a,b,c,d</w:t>
      </w:r>
      <w:proofErr w:type="spellEnd"/>
      <w:r w:rsidR="002C09F6" w:rsidRPr="00FD6DB8">
        <w:rPr>
          <w:lang w:val="en-US"/>
        </w:rPr>
        <w:t xml:space="preserve">), dentine (e) or </w:t>
      </w:r>
      <w:r w:rsidR="002C09F6" w:rsidRPr="00FD6DB8">
        <w:rPr>
          <w:rFonts w:ascii="Symbol" w:hAnsi="Symbol"/>
          <w:lang w:val="en-US"/>
        </w:rPr>
        <w:t>b</w:t>
      </w:r>
      <w:r w:rsidR="002C09F6" w:rsidRPr="00FD6DB8">
        <w:rPr>
          <w:lang w:val="en-US"/>
        </w:rPr>
        <w:t>TCP (f), and cultured for 28 days in either expansion (</w:t>
      </w:r>
      <w:proofErr w:type="spellStart"/>
      <w:r w:rsidR="002C09F6" w:rsidRPr="00FD6DB8">
        <w:rPr>
          <w:lang w:val="en-US"/>
        </w:rPr>
        <w:t>a,c</w:t>
      </w:r>
      <w:proofErr w:type="spellEnd"/>
      <w:r w:rsidR="002C09F6" w:rsidRPr="00FD6DB8">
        <w:rPr>
          <w:lang w:val="en-US"/>
        </w:rPr>
        <w:t xml:space="preserve">) or </w:t>
      </w:r>
      <w:proofErr w:type="spellStart"/>
      <w:r w:rsidR="002C09F6" w:rsidRPr="00FD6DB8">
        <w:rPr>
          <w:lang w:val="en-US"/>
        </w:rPr>
        <w:t>osteoinductive</w:t>
      </w:r>
      <w:proofErr w:type="spellEnd"/>
      <w:r w:rsidR="002C09F6" w:rsidRPr="00FD6DB8">
        <w:rPr>
          <w:lang w:val="en-US"/>
        </w:rPr>
        <w:t xml:space="preserve"> media (</w:t>
      </w:r>
      <w:proofErr w:type="spellStart"/>
      <w:r w:rsidR="002C09F6" w:rsidRPr="00FD6DB8">
        <w:rPr>
          <w:lang w:val="en-US"/>
        </w:rPr>
        <w:t>b,d,e,f</w:t>
      </w:r>
      <w:proofErr w:type="spellEnd"/>
      <w:r w:rsidR="002C09F6" w:rsidRPr="00FD6DB8">
        <w:rPr>
          <w:lang w:val="en-US"/>
        </w:rPr>
        <w:t xml:space="preserve">). </w:t>
      </w:r>
      <w:r w:rsidRPr="00FD6DB8">
        <w:rPr>
          <w:lang w:val="en-US"/>
        </w:rPr>
        <w:t xml:space="preserve">Minimal positive staining was observed for the acellular controls and for cellular samples cultured in expansion media. However, a thick band of positive staining was observed at the gel-media interface (yellow arrows) for cellular samples cultured with </w:t>
      </w:r>
      <w:proofErr w:type="spellStart"/>
      <w:r w:rsidRPr="00FD6DB8">
        <w:rPr>
          <w:lang w:val="en-US"/>
        </w:rPr>
        <w:t>osteoinductive</w:t>
      </w:r>
      <w:proofErr w:type="spellEnd"/>
      <w:r w:rsidRPr="00FD6DB8">
        <w:rPr>
          <w:lang w:val="en-US"/>
        </w:rPr>
        <w:t xml:space="preserve"> media.</w:t>
      </w:r>
    </w:p>
    <w:p w14:paraId="3D92955F" w14:textId="77777777" w:rsidR="00FF21C9" w:rsidRPr="00FD6DB8" w:rsidRDefault="00FF21C9" w:rsidP="00BB03FD">
      <w:pPr>
        <w:spacing w:line="480" w:lineRule="auto"/>
        <w:jc w:val="both"/>
        <w:rPr>
          <w:lang w:val="en-US"/>
        </w:rPr>
      </w:pPr>
    </w:p>
    <w:p w14:paraId="3B79249F" w14:textId="77777777" w:rsidR="00FF21C9" w:rsidRPr="00FD6DB8" w:rsidRDefault="00FF21C9" w:rsidP="00BB03FD">
      <w:pPr>
        <w:spacing w:line="480" w:lineRule="auto"/>
        <w:jc w:val="both"/>
        <w:rPr>
          <w:lang w:val="en-US"/>
        </w:rPr>
      </w:pPr>
    </w:p>
    <w:p w14:paraId="51714DAA" w14:textId="77777777" w:rsidR="00FF21C9" w:rsidRPr="00FD6DB8" w:rsidRDefault="00FF21C9" w:rsidP="00BB03FD">
      <w:pPr>
        <w:spacing w:line="480" w:lineRule="auto"/>
        <w:jc w:val="both"/>
        <w:rPr>
          <w:lang w:val="en-US"/>
        </w:rPr>
      </w:pPr>
    </w:p>
    <w:p w14:paraId="3688F4B7" w14:textId="2862BF04" w:rsidR="00FF21C9" w:rsidRPr="00FD6DB8" w:rsidRDefault="00FF21C9" w:rsidP="00BB03FD">
      <w:pPr>
        <w:spacing w:line="480" w:lineRule="auto"/>
        <w:jc w:val="both"/>
        <w:rPr>
          <w:lang w:val="en-US"/>
        </w:rPr>
      </w:pPr>
    </w:p>
    <w:p w14:paraId="3F20E96C" w14:textId="77777777" w:rsidR="00FF21C9" w:rsidRPr="00FD6DB8" w:rsidRDefault="00FF21C9" w:rsidP="00BB03FD">
      <w:pPr>
        <w:spacing w:line="480" w:lineRule="auto"/>
        <w:jc w:val="both"/>
        <w:rPr>
          <w:i/>
          <w:iCs/>
          <w:lang w:val="en-US"/>
        </w:rPr>
      </w:pPr>
    </w:p>
    <w:p w14:paraId="6CA7B603" w14:textId="77777777" w:rsidR="00FF21C9" w:rsidRPr="00FD6DB8" w:rsidRDefault="00FF21C9" w:rsidP="00BB03FD">
      <w:pPr>
        <w:keepNext/>
        <w:spacing w:line="480" w:lineRule="auto"/>
        <w:jc w:val="both"/>
        <w:rPr>
          <w:lang w:val="en-US"/>
        </w:rPr>
      </w:pPr>
      <w:r w:rsidRPr="00FD6DB8">
        <w:rPr>
          <w:noProof/>
          <w:lang w:val="en-US"/>
        </w:rPr>
        <w:drawing>
          <wp:inline distT="0" distB="0" distL="0" distR="0" wp14:anchorId="13AB49F5" wp14:editId="2D4107C2">
            <wp:extent cx="5748655" cy="2138680"/>
            <wp:effectExtent l="0" t="0" r="0" b="0"/>
            <wp:docPr id="16" name="Picture 16"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creensho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8655" cy="2138680"/>
                    </a:xfrm>
                    <a:prstGeom prst="rect">
                      <a:avLst/>
                    </a:prstGeom>
                    <a:noFill/>
                    <a:ln>
                      <a:noFill/>
                    </a:ln>
                  </pic:spPr>
                </pic:pic>
              </a:graphicData>
            </a:graphic>
          </wp:inline>
        </w:drawing>
      </w:r>
    </w:p>
    <w:p w14:paraId="78FE92DD" w14:textId="22055CF3" w:rsidR="00FF21C9" w:rsidRPr="00FD6DB8" w:rsidRDefault="00FF21C9" w:rsidP="007A4D70">
      <w:pPr>
        <w:pStyle w:val="Caption"/>
        <w:spacing w:line="480" w:lineRule="auto"/>
        <w:jc w:val="both"/>
        <w:rPr>
          <w:lang w:val="en-US"/>
        </w:rPr>
      </w:pPr>
      <w:bookmarkStart w:id="8" w:name="_Ref108621286"/>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13</w:t>
      </w:r>
      <w:r w:rsidRPr="00FD6DB8">
        <w:rPr>
          <w:b/>
          <w:bCs/>
          <w:noProof/>
          <w:lang w:val="en-US"/>
        </w:rPr>
        <w:fldChar w:fldCharType="end"/>
      </w:r>
      <w:bookmarkEnd w:id="8"/>
      <w:r w:rsidR="007F2FFE" w:rsidRPr="00FD6DB8">
        <w:rPr>
          <w:b/>
          <w:bCs/>
          <w:lang w:val="en-US"/>
        </w:rPr>
        <w:t>.</w:t>
      </w:r>
      <w:r w:rsidRPr="00FD6DB8">
        <w:rPr>
          <w:lang w:val="en-US"/>
        </w:rPr>
        <w:t xml:space="preserve"> Representative FTIR spectra of </w:t>
      </w:r>
      <w:r w:rsidR="008119DE">
        <w:rPr>
          <w:lang w:val="en-US"/>
        </w:rPr>
        <w:t xml:space="preserve">cell laden </w:t>
      </w:r>
      <w:r w:rsidR="00ED5BB2">
        <w:rPr>
          <w:lang w:val="en-US"/>
        </w:rPr>
        <w:t xml:space="preserve">constructs </w:t>
      </w:r>
      <w:proofErr w:type="spellStart"/>
      <w:r w:rsidR="00935B71">
        <w:rPr>
          <w:lang w:val="en-US"/>
        </w:rPr>
        <w:t>bioprinted</w:t>
      </w:r>
      <w:proofErr w:type="spellEnd"/>
      <w:r w:rsidR="00935B71">
        <w:rPr>
          <w:lang w:val="en-US"/>
        </w:rPr>
        <w:t xml:space="preserve"> onto culture plastic and cultured for </w:t>
      </w:r>
      <w:r w:rsidRPr="00FD6DB8">
        <w:rPr>
          <w:lang w:val="en-US"/>
        </w:rPr>
        <w:t xml:space="preserve">28 days in either expansion (a) or </w:t>
      </w:r>
      <w:proofErr w:type="spellStart"/>
      <w:r w:rsidRPr="00FD6DB8">
        <w:rPr>
          <w:lang w:val="en-US"/>
        </w:rPr>
        <w:t>osteoinductive</w:t>
      </w:r>
      <w:proofErr w:type="spellEnd"/>
      <w:r w:rsidRPr="00FD6DB8">
        <w:rPr>
          <w:lang w:val="en-US"/>
        </w:rPr>
        <w:t xml:space="preserve"> media (b).</w:t>
      </w:r>
      <w:r w:rsidR="007A4D70">
        <w:rPr>
          <w:lang w:val="en-US"/>
        </w:rPr>
        <w:t xml:space="preserve"> </w:t>
      </w:r>
      <w:r w:rsidR="005F6413">
        <w:rPr>
          <w:lang w:val="en-US"/>
        </w:rPr>
        <w:t>C</w:t>
      </w:r>
      <w:r w:rsidR="007A4D70" w:rsidRPr="007A4D70">
        <w:rPr>
          <w:lang w:val="en-US"/>
        </w:rPr>
        <w:t xml:space="preserve">haracteristic peaks for hydroxyapatite (557, 600, 871, 961, 1012 </w:t>
      </w:r>
      <w:proofErr w:type="gramStart"/>
      <w:r w:rsidR="007A4D70" w:rsidRPr="007A4D70">
        <w:rPr>
          <w:lang w:val="en-US"/>
        </w:rPr>
        <w:t>cm-1</w:t>
      </w:r>
      <w:proofErr w:type="gramEnd"/>
      <w:r w:rsidR="007A4D70" w:rsidRPr="007A4D70">
        <w:rPr>
          <w:lang w:val="en-US"/>
        </w:rPr>
        <w:t xml:space="preserve">) in bone were all observed for the </w:t>
      </w:r>
      <w:proofErr w:type="spellStart"/>
      <w:r w:rsidR="007A4D70" w:rsidRPr="007A4D70">
        <w:rPr>
          <w:lang w:val="en-US"/>
        </w:rPr>
        <w:t>osteoinductive</w:t>
      </w:r>
      <w:proofErr w:type="spellEnd"/>
      <w:r w:rsidR="007A4D70" w:rsidRPr="007A4D70">
        <w:rPr>
          <w:lang w:val="en-US"/>
        </w:rPr>
        <w:t xml:space="preserve"> samples, but were absent for samples culture</w:t>
      </w:r>
      <w:r w:rsidR="00705BEA">
        <w:rPr>
          <w:lang w:val="en-US"/>
        </w:rPr>
        <w:t>d</w:t>
      </w:r>
      <w:r w:rsidR="007A4D70" w:rsidRPr="007A4D70">
        <w:rPr>
          <w:lang w:val="en-US"/>
        </w:rPr>
        <w:t xml:space="preserve"> in expansion media. </w:t>
      </w:r>
    </w:p>
    <w:p w14:paraId="0E404148" w14:textId="77777777" w:rsidR="00FF21C9" w:rsidRPr="00FD6DB8" w:rsidRDefault="00FF21C9" w:rsidP="00BB03FD">
      <w:pPr>
        <w:spacing w:line="480" w:lineRule="auto"/>
        <w:jc w:val="both"/>
        <w:rPr>
          <w:lang w:val="en-US"/>
        </w:rPr>
      </w:pPr>
    </w:p>
    <w:p w14:paraId="52152665" w14:textId="77777777" w:rsidR="00FF21C9" w:rsidRPr="00FD6DB8" w:rsidRDefault="00FF21C9" w:rsidP="00BB03FD">
      <w:pPr>
        <w:keepNext/>
        <w:spacing w:line="480" w:lineRule="auto"/>
        <w:jc w:val="both"/>
        <w:rPr>
          <w:lang w:val="en-US"/>
        </w:rPr>
      </w:pPr>
      <w:r w:rsidRPr="00FD6DB8">
        <w:rPr>
          <w:noProof/>
          <w:lang w:val="en-US"/>
        </w:rPr>
        <w:lastRenderedPageBreak/>
        <w:drawing>
          <wp:inline distT="0" distB="0" distL="0" distR="0" wp14:anchorId="32D36974" wp14:editId="73816805">
            <wp:extent cx="5486400" cy="3657600"/>
            <wp:effectExtent l="0" t="0" r="0" b="0"/>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lin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106ED639" w14:textId="6D01BDB1" w:rsidR="00FF21C9" w:rsidRPr="00FD6DB8" w:rsidRDefault="00FF21C9" w:rsidP="00BB03FD">
      <w:pPr>
        <w:pStyle w:val="Caption"/>
        <w:spacing w:line="480" w:lineRule="auto"/>
        <w:jc w:val="both"/>
        <w:rPr>
          <w:lang w:val="en-US"/>
        </w:rPr>
      </w:pPr>
      <w:bookmarkStart w:id="9" w:name="_Ref108621298"/>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14</w:t>
      </w:r>
      <w:r w:rsidRPr="00FD6DB8">
        <w:rPr>
          <w:b/>
          <w:bCs/>
          <w:noProof/>
          <w:lang w:val="en-US"/>
        </w:rPr>
        <w:fldChar w:fldCharType="end"/>
      </w:r>
      <w:bookmarkEnd w:id="9"/>
      <w:r w:rsidR="007F2FFE" w:rsidRPr="00FD6DB8">
        <w:rPr>
          <w:b/>
          <w:bCs/>
          <w:noProof/>
          <w:lang w:val="en-US"/>
        </w:rPr>
        <w:t>.</w:t>
      </w:r>
      <w:r w:rsidRPr="00FD6DB8">
        <w:rPr>
          <w:lang w:val="en-US"/>
        </w:rPr>
        <w:t xml:space="preserve"> Powder X-ray diffraction analysis of </w:t>
      </w:r>
      <w:r w:rsidR="008119DE">
        <w:rPr>
          <w:lang w:val="en-US"/>
        </w:rPr>
        <w:t xml:space="preserve">cell laded </w:t>
      </w:r>
      <w:proofErr w:type="spellStart"/>
      <w:r w:rsidRPr="00FD6DB8">
        <w:rPr>
          <w:lang w:val="en-US"/>
        </w:rPr>
        <w:t>bioprinted</w:t>
      </w:r>
      <w:proofErr w:type="spellEnd"/>
      <w:r w:rsidRPr="00FD6DB8">
        <w:rPr>
          <w:lang w:val="en-US"/>
        </w:rPr>
        <w:t xml:space="preserve"> samples after culture in either expansion (blue) or </w:t>
      </w:r>
      <w:proofErr w:type="spellStart"/>
      <w:r w:rsidRPr="00FD6DB8">
        <w:rPr>
          <w:lang w:val="en-US"/>
        </w:rPr>
        <w:t>osteoinductive</w:t>
      </w:r>
      <w:proofErr w:type="spellEnd"/>
      <w:r w:rsidRPr="00FD6DB8">
        <w:rPr>
          <w:lang w:val="en-US"/>
        </w:rPr>
        <w:t xml:space="preserve"> (red) media for 28 days. Sharp peaks at 31.8° and 45.5° 2</w:t>
      </w:r>
      <w:r w:rsidRPr="00FD6DB8">
        <w:rPr>
          <w:lang w:val="en-US"/>
        </w:rPr>
        <w:sym w:font="Symbol" w:char="F071"/>
      </w:r>
      <w:r w:rsidRPr="00FD6DB8">
        <w:rPr>
          <w:lang w:val="en-US"/>
        </w:rPr>
        <w:t xml:space="preserve"> correspond to residual NaCl from PBS wash steps. Broad peaks corresponding to hydroxyapatite (26°, 32° 2</w:t>
      </w:r>
      <w:r w:rsidRPr="00FD6DB8">
        <w:rPr>
          <w:lang w:val="en-US"/>
        </w:rPr>
        <w:sym w:font="Symbol" w:char="F071"/>
      </w:r>
      <w:r w:rsidRPr="00FD6DB8">
        <w:rPr>
          <w:lang w:val="en-US"/>
        </w:rPr>
        <w:t xml:space="preserve">) were only observed for sample in </w:t>
      </w:r>
      <w:proofErr w:type="spellStart"/>
      <w:r w:rsidRPr="00FD6DB8">
        <w:rPr>
          <w:lang w:val="en-US"/>
        </w:rPr>
        <w:t>osteoinductive</w:t>
      </w:r>
      <w:proofErr w:type="spellEnd"/>
      <w:r w:rsidRPr="00FD6DB8">
        <w:rPr>
          <w:lang w:val="en-US"/>
        </w:rPr>
        <w:t xml:space="preserve"> media.</w:t>
      </w:r>
    </w:p>
    <w:p w14:paraId="071D00E8" w14:textId="77777777" w:rsidR="00FF21C9" w:rsidRPr="00FD6DB8" w:rsidRDefault="00FF21C9" w:rsidP="00BB03FD">
      <w:pPr>
        <w:pStyle w:val="Caption"/>
        <w:spacing w:line="480" w:lineRule="auto"/>
        <w:jc w:val="both"/>
        <w:rPr>
          <w:lang w:val="en-US"/>
        </w:rPr>
      </w:pPr>
    </w:p>
    <w:p w14:paraId="7D479D4A" w14:textId="77777777" w:rsidR="00FF21C9" w:rsidRPr="00FD6DB8" w:rsidRDefault="00FF21C9" w:rsidP="00BB03FD">
      <w:pPr>
        <w:spacing w:line="480" w:lineRule="auto"/>
        <w:jc w:val="both"/>
        <w:rPr>
          <w:lang w:val="en-US"/>
        </w:rPr>
      </w:pPr>
    </w:p>
    <w:p w14:paraId="3F6A1A51" w14:textId="77777777" w:rsidR="00FF21C9" w:rsidRPr="00FD6DB8" w:rsidRDefault="00FF21C9" w:rsidP="00BB03FD">
      <w:pPr>
        <w:spacing w:line="480" w:lineRule="auto"/>
        <w:jc w:val="both"/>
        <w:rPr>
          <w:lang w:val="en-US"/>
        </w:rPr>
      </w:pPr>
    </w:p>
    <w:p w14:paraId="38E69F4B" w14:textId="77777777" w:rsidR="00946601" w:rsidRPr="00FD6DB8" w:rsidRDefault="00FF21C9" w:rsidP="00BB03FD">
      <w:pPr>
        <w:keepNext/>
        <w:spacing w:line="480" w:lineRule="auto"/>
        <w:jc w:val="both"/>
        <w:rPr>
          <w:lang w:val="en-US"/>
        </w:rPr>
      </w:pPr>
      <w:r w:rsidRPr="00FD6DB8">
        <w:rPr>
          <w:noProof/>
          <w:lang w:val="en-US"/>
        </w:rPr>
        <w:lastRenderedPageBreak/>
        <w:drawing>
          <wp:inline distT="0" distB="0" distL="0" distR="0" wp14:anchorId="468082B3" wp14:editId="4B22E2AC">
            <wp:extent cx="5760720" cy="6802120"/>
            <wp:effectExtent l="0" t="0" r="0" b="0"/>
            <wp:docPr id="21"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dia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802120"/>
                    </a:xfrm>
                    <a:prstGeom prst="rect">
                      <a:avLst/>
                    </a:prstGeom>
                    <a:noFill/>
                    <a:ln>
                      <a:noFill/>
                    </a:ln>
                  </pic:spPr>
                </pic:pic>
              </a:graphicData>
            </a:graphic>
          </wp:inline>
        </w:drawing>
      </w:r>
    </w:p>
    <w:p w14:paraId="2D19E24F" w14:textId="0D6593A6" w:rsidR="00FF21C9" w:rsidRDefault="00946601" w:rsidP="00BB03FD">
      <w:pPr>
        <w:pStyle w:val="Caption"/>
        <w:spacing w:line="480" w:lineRule="auto"/>
        <w:jc w:val="both"/>
        <w:rPr>
          <w:sz w:val="20"/>
          <w:szCs w:val="20"/>
          <w:lang w:val="en-US"/>
        </w:rPr>
      </w:pPr>
      <w:bookmarkStart w:id="10" w:name="_Ref108621305"/>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15</w:t>
      </w:r>
      <w:r w:rsidRPr="00FD6DB8">
        <w:rPr>
          <w:b/>
          <w:bCs/>
          <w:lang w:val="en-US"/>
        </w:rPr>
        <w:fldChar w:fldCharType="end"/>
      </w:r>
      <w:bookmarkEnd w:id="10"/>
      <w:r w:rsidRPr="00FD6DB8">
        <w:rPr>
          <w:b/>
          <w:bCs/>
          <w:lang w:val="en-US"/>
        </w:rPr>
        <w:t>.</w:t>
      </w:r>
      <w:r w:rsidRPr="00FD6DB8">
        <w:rPr>
          <w:lang w:val="en-US"/>
        </w:rPr>
        <w:t xml:space="preserve"> </w:t>
      </w:r>
      <w:r w:rsidR="00FF21C9" w:rsidRPr="00FD6DB8">
        <w:rPr>
          <w:sz w:val="20"/>
          <w:szCs w:val="20"/>
          <w:lang w:val="en-US"/>
        </w:rPr>
        <w:t xml:space="preserve">SEM and EDX analysis of a </w:t>
      </w:r>
      <w:r w:rsidR="00DF64C9">
        <w:rPr>
          <w:sz w:val="20"/>
          <w:szCs w:val="20"/>
          <w:lang w:val="en-US"/>
        </w:rPr>
        <w:t xml:space="preserve">cell laden </w:t>
      </w:r>
      <w:r w:rsidR="00FF21C9" w:rsidRPr="00FD6DB8">
        <w:rPr>
          <w:sz w:val="20"/>
          <w:szCs w:val="20"/>
          <w:lang w:val="en-US"/>
        </w:rPr>
        <w:t xml:space="preserve">sample </w:t>
      </w:r>
      <w:proofErr w:type="spellStart"/>
      <w:r w:rsidR="00FF21C9" w:rsidRPr="00FD6DB8">
        <w:rPr>
          <w:sz w:val="20"/>
          <w:szCs w:val="20"/>
          <w:lang w:val="en-US"/>
        </w:rPr>
        <w:t>bioprinted</w:t>
      </w:r>
      <w:proofErr w:type="spellEnd"/>
      <w:r w:rsidR="00FF21C9" w:rsidRPr="00FD6DB8">
        <w:rPr>
          <w:sz w:val="20"/>
          <w:szCs w:val="20"/>
          <w:lang w:val="en-US"/>
        </w:rPr>
        <w:t xml:space="preserve"> onto tissue culture plastic and cultured for 28 days in </w:t>
      </w:r>
      <w:proofErr w:type="spellStart"/>
      <w:r w:rsidR="00FF21C9" w:rsidRPr="00FD6DB8">
        <w:rPr>
          <w:sz w:val="20"/>
          <w:szCs w:val="20"/>
          <w:lang w:val="en-US"/>
        </w:rPr>
        <w:t>osteoinductive</w:t>
      </w:r>
      <w:proofErr w:type="spellEnd"/>
      <w:r w:rsidR="00FF21C9" w:rsidRPr="00FD6DB8">
        <w:rPr>
          <w:sz w:val="20"/>
          <w:szCs w:val="20"/>
          <w:lang w:val="en-US"/>
        </w:rPr>
        <w:t xml:space="preserve"> media. The sample was embedded in LRW, sectioned (1 </w:t>
      </w:r>
      <w:r w:rsidR="00FB1BA6">
        <w:rPr>
          <w:rFonts w:ascii="Symbol" w:hAnsi="Symbol"/>
          <w:lang w:val="en-US"/>
        </w:rPr>
        <w:t>m</w:t>
      </w:r>
      <w:r w:rsidR="00FB1BA6" w:rsidRPr="00FD6DB8">
        <w:rPr>
          <w:lang w:val="en-US"/>
        </w:rPr>
        <w:t>m</w:t>
      </w:r>
      <w:r w:rsidR="00FF21C9" w:rsidRPr="00FD6DB8">
        <w:rPr>
          <w:sz w:val="20"/>
          <w:szCs w:val="20"/>
          <w:lang w:val="en-US"/>
        </w:rPr>
        <w:t xml:space="preserve">) and coated with silver. a) Secondary electron detector with overlay of regions used for EDX spot spectra, corresponding to either high (b, d, e) or low intensity (c) regions. Calcium and </w:t>
      </w:r>
      <w:r w:rsidR="001F6A1D" w:rsidRPr="00FD6DB8">
        <w:rPr>
          <w:sz w:val="20"/>
          <w:szCs w:val="20"/>
          <w:lang w:val="en-US"/>
        </w:rPr>
        <w:t>phosphorus</w:t>
      </w:r>
      <w:r w:rsidR="00FF21C9" w:rsidRPr="00FD6DB8">
        <w:rPr>
          <w:sz w:val="20"/>
          <w:szCs w:val="20"/>
          <w:lang w:val="en-US"/>
        </w:rPr>
        <w:t xml:space="preserve"> peaks were observed in high density </w:t>
      </w:r>
      <w:proofErr w:type="gramStart"/>
      <w:r w:rsidR="00FF21C9" w:rsidRPr="00FD6DB8">
        <w:rPr>
          <w:sz w:val="20"/>
          <w:szCs w:val="20"/>
          <w:lang w:val="en-US"/>
        </w:rPr>
        <w:t>regions, and</w:t>
      </w:r>
      <w:proofErr w:type="gramEnd"/>
      <w:r w:rsidR="00FF21C9" w:rsidRPr="00FD6DB8">
        <w:rPr>
          <w:sz w:val="20"/>
          <w:szCs w:val="20"/>
          <w:lang w:val="en-US"/>
        </w:rPr>
        <w:t xml:space="preserve"> absent in the low density region. </w:t>
      </w:r>
    </w:p>
    <w:p w14:paraId="57F66BE0" w14:textId="77777777" w:rsidR="00BB03FD" w:rsidRPr="00FD6DB8" w:rsidRDefault="00BB03FD" w:rsidP="00BB03FD">
      <w:pPr>
        <w:pStyle w:val="Caption"/>
        <w:keepNext/>
        <w:spacing w:line="480" w:lineRule="auto"/>
        <w:jc w:val="both"/>
        <w:rPr>
          <w:lang w:val="en-US"/>
        </w:rPr>
      </w:pPr>
      <w:r w:rsidRPr="00FD6DB8">
        <w:rPr>
          <w:noProof/>
          <w:lang w:val="en-US"/>
        </w:rPr>
        <w:lastRenderedPageBreak/>
        <w:drawing>
          <wp:inline distT="0" distB="0" distL="0" distR="0" wp14:anchorId="34A86AFC" wp14:editId="3C1D1A5E">
            <wp:extent cx="5756910" cy="3816350"/>
            <wp:effectExtent l="0" t="0" r="0" b="0"/>
            <wp:docPr id="7" name="Picture 7" descr="A screenshot of a 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map&#10;&#10;Description automatically generated with low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6910" cy="3816350"/>
                    </a:xfrm>
                    <a:prstGeom prst="rect">
                      <a:avLst/>
                    </a:prstGeom>
                    <a:noFill/>
                    <a:ln>
                      <a:noFill/>
                    </a:ln>
                  </pic:spPr>
                </pic:pic>
              </a:graphicData>
            </a:graphic>
          </wp:inline>
        </w:drawing>
      </w:r>
    </w:p>
    <w:p w14:paraId="2395609F" w14:textId="2170FAB3" w:rsidR="00BB03FD" w:rsidRPr="00FD6DB8" w:rsidRDefault="00BB03FD" w:rsidP="00BB03FD">
      <w:pPr>
        <w:pStyle w:val="Caption"/>
        <w:spacing w:line="480" w:lineRule="auto"/>
        <w:jc w:val="both"/>
        <w:rPr>
          <w:lang w:val="en-US"/>
        </w:rPr>
      </w:pPr>
      <w:bookmarkStart w:id="11" w:name="_Ref108621313"/>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16</w:t>
      </w:r>
      <w:r w:rsidRPr="00FD6DB8">
        <w:rPr>
          <w:b/>
          <w:bCs/>
          <w:noProof/>
          <w:lang w:val="en-US"/>
        </w:rPr>
        <w:fldChar w:fldCharType="end"/>
      </w:r>
      <w:bookmarkEnd w:id="11"/>
      <w:r w:rsidRPr="00FD6DB8">
        <w:rPr>
          <w:b/>
          <w:bCs/>
          <w:lang w:val="en-US"/>
        </w:rPr>
        <w:t>.</w:t>
      </w:r>
      <w:r w:rsidRPr="00FD6DB8">
        <w:rPr>
          <w:lang w:val="en-US"/>
        </w:rPr>
        <w:t xml:space="preserve"> Representative </w:t>
      </w:r>
      <w:r w:rsidRPr="00FD6DB8">
        <w:rPr>
          <w:lang w:val="en-US"/>
        </w:rPr>
        <w:sym w:font="Symbol" w:char="F06D"/>
      </w:r>
      <w:r w:rsidRPr="00FD6DB8">
        <w:rPr>
          <w:lang w:val="en-US"/>
        </w:rPr>
        <w:t xml:space="preserve">CT images of constructs cultured for 28 days in either expansion (a, c, e) or </w:t>
      </w:r>
      <w:proofErr w:type="spellStart"/>
      <w:r w:rsidRPr="00FD6DB8">
        <w:rPr>
          <w:lang w:val="en-US"/>
        </w:rPr>
        <w:t>osteoinductive</w:t>
      </w:r>
      <w:proofErr w:type="spellEnd"/>
      <w:r w:rsidRPr="00FD6DB8">
        <w:rPr>
          <w:lang w:val="en-US"/>
        </w:rPr>
        <w:t xml:space="preserve"> media (b, d, f) and embedded in London Resin White. Acellular controls </w:t>
      </w:r>
      <w:r w:rsidR="00C53D1A">
        <w:rPr>
          <w:lang w:val="en-US"/>
        </w:rPr>
        <w:t xml:space="preserve">in tissue culture plastic </w:t>
      </w:r>
      <w:r w:rsidRPr="00FD6DB8">
        <w:rPr>
          <w:lang w:val="en-US"/>
        </w:rPr>
        <w:t>revealed minimal contrast to resin for expansion</w:t>
      </w:r>
      <w:r w:rsidR="003358A9">
        <w:rPr>
          <w:lang w:val="en-US"/>
        </w:rPr>
        <w:t xml:space="preserve"> media</w:t>
      </w:r>
      <w:r w:rsidRPr="00FD6DB8">
        <w:rPr>
          <w:lang w:val="en-US"/>
        </w:rPr>
        <w:t xml:space="preserve"> (a), whereas there was contrast at the gel-media interface for </w:t>
      </w:r>
      <w:proofErr w:type="spellStart"/>
      <w:r w:rsidRPr="00FD6DB8">
        <w:rPr>
          <w:lang w:val="en-US"/>
        </w:rPr>
        <w:t>osteoinductive</w:t>
      </w:r>
      <w:proofErr w:type="spellEnd"/>
      <w:r w:rsidRPr="00FD6DB8">
        <w:rPr>
          <w:lang w:val="en-US"/>
        </w:rPr>
        <w:t xml:space="preserve"> (b). Samples </w:t>
      </w:r>
      <w:proofErr w:type="spellStart"/>
      <w:r w:rsidRPr="00FD6DB8">
        <w:rPr>
          <w:lang w:val="en-US"/>
        </w:rPr>
        <w:t>bioprinted</w:t>
      </w:r>
      <w:proofErr w:type="spellEnd"/>
      <w:r w:rsidRPr="00FD6DB8">
        <w:rPr>
          <w:lang w:val="en-US"/>
        </w:rPr>
        <w:t xml:space="preserve"> onto tissue culture plastic yielded minimal contrast in expansion media (c) and regions of high contrast at the gel-media interface for </w:t>
      </w:r>
      <w:proofErr w:type="spellStart"/>
      <w:r w:rsidRPr="00FD6DB8">
        <w:rPr>
          <w:lang w:val="en-US"/>
        </w:rPr>
        <w:t>osteoinductive</w:t>
      </w:r>
      <w:proofErr w:type="spellEnd"/>
      <w:r w:rsidRPr="00FD6DB8">
        <w:rPr>
          <w:lang w:val="en-US"/>
        </w:rPr>
        <w:t xml:space="preserve"> (d). Samples </w:t>
      </w:r>
      <w:proofErr w:type="spellStart"/>
      <w:r w:rsidRPr="00FD6DB8">
        <w:rPr>
          <w:lang w:val="en-US"/>
        </w:rPr>
        <w:t>bioprinted</w:t>
      </w:r>
      <w:proofErr w:type="spellEnd"/>
      <w:r w:rsidRPr="00FD6DB8">
        <w:rPr>
          <w:lang w:val="en-US"/>
        </w:rPr>
        <w:t xml:space="preserve"> onto dentine both yielded regions of high contrast at the gel-media interface, but minimal contrast at the gel-dentine interface. Red arrows indicate the gel-media interface. N = 1</w:t>
      </w:r>
    </w:p>
    <w:p w14:paraId="3E5B847C" w14:textId="77777777" w:rsidR="00BB03FD" w:rsidRPr="00BB03FD" w:rsidRDefault="00BB03FD" w:rsidP="00BB03FD">
      <w:pPr>
        <w:rPr>
          <w:lang w:val="en-US"/>
        </w:rPr>
      </w:pPr>
    </w:p>
    <w:p w14:paraId="550BC032" w14:textId="77777777" w:rsidR="00FF21C9" w:rsidRPr="00FD6DB8" w:rsidRDefault="00FF21C9" w:rsidP="00BB03FD">
      <w:pPr>
        <w:pStyle w:val="Caption"/>
        <w:keepNext/>
        <w:spacing w:line="480" w:lineRule="auto"/>
        <w:jc w:val="both"/>
        <w:rPr>
          <w:lang w:val="en-US"/>
        </w:rPr>
      </w:pPr>
      <w:r w:rsidRPr="00FD6DB8">
        <w:rPr>
          <w:noProof/>
          <w:lang w:val="en-US"/>
        </w:rPr>
        <w:lastRenderedPageBreak/>
        <w:drawing>
          <wp:inline distT="0" distB="0" distL="0" distR="0" wp14:anchorId="145EAB91" wp14:editId="0EE88D4E">
            <wp:extent cx="5756910" cy="5709285"/>
            <wp:effectExtent l="0" t="0" r="0" b="5715"/>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6910" cy="5709285"/>
                    </a:xfrm>
                    <a:prstGeom prst="rect">
                      <a:avLst/>
                    </a:prstGeom>
                    <a:noFill/>
                    <a:ln>
                      <a:noFill/>
                    </a:ln>
                  </pic:spPr>
                </pic:pic>
              </a:graphicData>
            </a:graphic>
          </wp:inline>
        </w:drawing>
      </w:r>
    </w:p>
    <w:p w14:paraId="3ED933A7" w14:textId="689659BE" w:rsidR="00FF21C9" w:rsidRPr="00FD6DB8" w:rsidRDefault="00FF21C9" w:rsidP="00BB03FD">
      <w:pPr>
        <w:pStyle w:val="Caption"/>
        <w:spacing w:line="480" w:lineRule="auto"/>
        <w:jc w:val="both"/>
        <w:rPr>
          <w:lang w:val="en-US"/>
        </w:rPr>
      </w:pPr>
      <w:bookmarkStart w:id="12" w:name="_Ref108621370"/>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17</w:t>
      </w:r>
      <w:r w:rsidRPr="00FD6DB8">
        <w:rPr>
          <w:b/>
          <w:bCs/>
          <w:noProof/>
          <w:lang w:val="en-US"/>
        </w:rPr>
        <w:fldChar w:fldCharType="end"/>
      </w:r>
      <w:bookmarkEnd w:id="12"/>
      <w:r w:rsidR="007F2FFE" w:rsidRPr="00FD6DB8">
        <w:rPr>
          <w:b/>
          <w:bCs/>
          <w:lang w:val="en-US"/>
        </w:rPr>
        <w:t>.</w:t>
      </w:r>
      <w:r w:rsidRPr="00FD6DB8">
        <w:rPr>
          <w:lang w:val="en-US"/>
        </w:rPr>
        <w:t xml:space="preserve"> Confocal micrographs of total nucleic acid (green, Syto9) / dead (red, propidium iodide) staining of F. </w:t>
      </w:r>
      <w:proofErr w:type="spellStart"/>
      <w:r w:rsidRPr="00FD6DB8">
        <w:rPr>
          <w:lang w:val="en-US"/>
        </w:rPr>
        <w:t>periodonticum</w:t>
      </w:r>
      <w:proofErr w:type="spellEnd"/>
      <w:r w:rsidRPr="00FD6DB8">
        <w:rPr>
          <w:lang w:val="en-US"/>
        </w:rPr>
        <w:t xml:space="preserve"> after culture for 0 (a), 1 (b) or 7 (c) days. </w:t>
      </w:r>
      <w:proofErr w:type="spellStart"/>
      <w:r w:rsidRPr="00FD6DB8">
        <w:rPr>
          <w:lang w:val="en-US"/>
        </w:rPr>
        <w:t>Bioprinted</w:t>
      </w:r>
      <w:proofErr w:type="spellEnd"/>
      <w:r w:rsidRPr="00FD6DB8">
        <w:rPr>
          <w:lang w:val="en-US"/>
        </w:rPr>
        <w:t xml:space="preserve"> constructs were inoculated with F. </w:t>
      </w:r>
      <w:proofErr w:type="spellStart"/>
      <w:r w:rsidRPr="00FD6DB8">
        <w:rPr>
          <w:lang w:val="en-US"/>
        </w:rPr>
        <w:t>periodonticum</w:t>
      </w:r>
      <w:proofErr w:type="spellEnd"/>
      <w:r w:rsidRPr="00FD6DB8">
        <w:rPr>
          <w:lang w:val="en-US"/>
        </w:rPr>
        <w:t xml:space="preserve"> with an MOI of 10 by centrifugation using the DAC. Small clusters of staining were observed homogenously throughout the </w:t>
      </w:r>
      <w:proofErr w:type="spellStart"/>
      <w:r w:rsidRPr="00FD6DB8">
        <w:rPr>
          <w:lang w:val="en-US"/>
        </w:rPr>
        <w:t>bioprinted</w:t>
      </w:r>
      <w:proofErr w:type="spellEnd"/>
      <w:r w:rsidRPr="00FD6DB8">
        <w:rPr>
          <w:lang w:val="en-US"/>
        </w:rPr>
        <w:t xml:space="preserve"> constructs, with more dead cells observed at day 1 (b) than the other two timepoints.</w:t>
      </w:r>
    </w:p>
    <w:p w14:paraId="3B80BFF2" w14:textId="77777777" w:rsidR="00BB03FD" w:rsidRPr="00FD6DB8" w:rsidRDefault="00BB03FD" w:rsidP="00BB03FD">
      <w:pPr>
        <w:keepNext/>
        <w:spacing w:line="480" w:lineRule="auto"/>
        <w:jc w:val="both"/>
        <w:rPr>
          <w:lang w:val="en-US"/>
        </w:rPr>
      </w:pPr>
      <w:r w:rsidRPr="00FD6DB8">
        <w:rPr>
          <w:noProof/>
          <w:lang w:val="en-US"/>
        </w:rPr>
        <w:lastRenderedPageBreak/>
        <w:drawing>
          <wp:inline distT="0" distB="0" distL="0" distR="0" wp14:anchorId="0B292C25" wp14:editId="458F378C">
            <wp:extent cx="5762625" cy="2305050"/>
            <wp:effectExtent l="0" t="0" r="0" b="0"/>
            <wp:docPr id="28" name="Picture 28"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ligh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2625" cy="2305050"/>
                    </a:xfrm>
                    <a:prstGeom prst="rect">
                      <a:avLst/>
                    </a:prstGeom>
                    <a:noFill/>
                    <a:ln>
                      <a:noFill/>
                    </a:ln>
                  </pic:spPr>
                </pic:pic>
              </a:graphicData>
            </a:graphic>
          </wp:inline>
        </w:drawing>
      </w:r>
    </w:p>
    <w:p w14:paraId="670C5A68" w14:textId="3F6B510F" w:rsidR="00FF21C9" w:rsidRPr="00FD6DB8" w:rsidRDefault="00BB03FD" w:rsidP="009C0FE9">
      <w:pPr>
        <w:pStyle w:val="Caption"/>
        <w:spacing w:line="480" w:lineRule="auto"/>
        <w:jc w:val="both"/>
        <w:rPr>
          <w:lang w:val="en-US"/>
        </w:rPr>
      </w:pPr>
      <w:bookmarkStart w:id="13" w:name="_Ref108621392"/>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18</w:t>
      </w:r>
      <w:r w:rsidRPr="00FD6DB8">
        <w:rPr>
          <w:b/>
          <w:bCs/>
          <w:noProof/>
          <w:lang w:val="en-US"/>
        </w:rPr>
        <w:fldChar w:fldCharType="end"/>
      </w:r>
      <w:bookmarkEnd w:id="13"/>
      <w:r w:rsidRPr="00FD6DB8">
        <w:rPr>
          <w:b/>
          <w:bCs/>
          <w:noProof/>
          <w:lang w:val="en-US"/>
        </w:rPr>
        <w:t>.</w:t>
      </w:r>
      <w:r w:rsidRPr="00FD6DB8">
        <w:rPr>
          <w:lang w:val="en-US"/>
        </w:rPr>
        <w:t xml:space="preserve"> Pixel counts used for F. </w:t>
      </w:r>
      <w:proofErr w:type="spellStart"/>
      <w:r w:rsidRPr="00FD6DB8">
        <w:rPr>
          <w:lang w:val="en-US"/>
        </w:rPr>
        <w:t>periodonticum</w:t>
      </w:r>
      <w:proofErr w:type="spellEnd"/>
      <w:r w:rsidRPr="00FD6DB8">
        <w:rPr>
          <w:lang w:val="en-US"/>
        </w:rPr>
        <w:t xml:space="preserve"> viability analysis in either monoculture (a) or coculture with </w:t>
      </w:r>
      <w:proofErr w:type="spellStart"/>
      <w:r w:rsidRPr="00FD6DB8">
        <w:rPr>
          <w:lang w:val="en-US"/>
        </w:rPr>
        <w:t>hMSCs</w:t>
      </w:r>
      <w:proofErr w:type="spellEnd"/>
      <w:r w:rsidRPr="00FD6DB8">
        <w:rPr>
          <w:lang w:val="en-US"/>
        </w:rPr>
        <w:t xml:space="preserve"> (b). Bars represent the mean. A large decrease in the number of </w:t>
      </w:r>
      <w:r w:rsidR="0025568E">
        <w:rPr>
          <w:lang w:val="en-US"/>
        </w:rPr>
        <w:t>dead</w:t>
      </w:r>
      <w:r w:rsidRPr="00FD6DB8">
        <w:rPr>
          <w:lang w:val="en-US"/>
        </w:rPr>
        <w:t xml:space="preserve"> pixels was observed for both sample types between days 1 and 7, accompanied by an increase in live pixels.</w:t>
      </w:r>
    </w:p>
    <w:p w14:paraId="245A5A58" w14:textId="77777777" w:rsidR="00FF21C9" w:rsidRPr="00FD6DB8" w:rsidRDefault="00FF21C9" w:rsidP="00BB03FD">
      <w:pPr>
        <w:spacing w:line="480" w:lineRule="auto"/>
        <w:jc w:val="both"/>
        <w:rPr>
          <w:lang w:val="en-US"/>
        </w:rPr>
      </w:pPr>
    </w:p>
    <w:p w14:paraId="621D90D6" w14:textId="77777777" w:rsidR="00FF21C9" w:rsidRPr="00FD6DB8" w:rsidRDefault="00FF21C9" w:rsidP="00BB03FD">
      <w:pPr>
        <w:pStyle w:val="Caption"/>
        <w:keepNext/>
        <w:spacing w:line="480" w:lineRule="auto"/>
        <w:jc w:val="both"/>
        <w:rPr>
          <w:lang w:val="en-US"/>
        </w:rPr>
      </w:pPr>
      <w:r w:rsidRPr="00FD6DB8">
        <w:rPr>
          <w:noProof/>
          <w:lang w:val="en-US"/>
        </w:rPr>
        <w:drawing>
          <wp:inline distT="0" distB="0" distL="0" distR="0" wp14:anchorId="5A9DCBEC" wp14:editId="72A50CD3">
            <wp:extent cx="5756910" cy="2854325"/>
            <wp:effectExtent l="0" t="0" r="0" b="3175"/>
            <wp:docPr id="11" name="Picture 1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2854325"/>
                    </a:xfrm>
                    <a:prstGeom prst="rect">
                      <a:avLst/>
                    </a:prstGeom>
                    <a:noFill/>
                    <a:ln>
                      <a:noFill/>
                    </a:ln>
                  </pic:spPr>
                </pic:pic>
              </a:graphicData>
            </a:graphic>
          </wp:inline>
        </w:drawing>
      </w:r>
    </w:p>
    <w:p w14:paraId="234A4074" w14:textId="350D93A8" w:rsidR="00FF21C9" w:rsidRDefault="00FF21C9" w:rsidP="00BB03FD">
      <w:pPr>
        <w:pStyle w:val="Caption"/>
        <w:spacing w:line="480" w:lineRule="auto"/>
        <w:jc w:val="both"/>
        <w:rPr>
          <w:lang w:val="en-US"/>
        </w:rPr>
      </w:pPr>
      <w:bookmarkStart w:id="14" w:name="_Ref108621442"/>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19</w:t>
      </w:r>
      <w:r w:rsidRPr="00FD6DB8">
        <w:rPr>
          <w:b/>
          <w:bCs/>
          <w:noProof/>
          <w:lang w:val="en-US"/>
        </w:rPr>
        <w:fldChar w:fldCharType="end"/>
      </w:r>
      <w:bookmarkEnd w:id="14"/>
      <w:r w:rsidR="007F2FFE" w:rsidRPr="00FD6DB8">
        <w:rPr>
          <w:b/>
          <w:bCs/>
          <w:noProof/>
          <w:lang w:val="en-US"/>
        </w:rPr>
        <w:t>.</w:t>
      </w:r>
      <w:r w:rsidRPr="00FD6DB8">
        <w:rPr>
          <w:lang w:val="en-US"/>
        </w:rPr>
        <w:t xml:space="preserve"> </w:t>
      </w:r>
      <w:r w:rsidR="001F6A1D" w:rsidRPr="00FD6DB8">
        <w:rPr>
          <w:lang w:val="en-US"/>
        </w:rPr>
        <w:t>Characterization</w:t>
      </w:r>
      <w:r w:rsidRPr="00FD6DB8">
        <w:rPr>
          <w:lang w:val="en-US"/>
        </w:rPr>
        <w:t xml:space="preserve"> of F. </w:t>
      </w:r>
      <w:proofErr w:type="spellStart"/>
      <w:r w:rsidRPr="00FD6DB8">
        <w:rPr>
          <w:lang w:val="en-US"/>
        </w:rPr>
        <w:t>periodonticum</w:t>
      </w:r>
      <w:proofErr w:type="spellEnd"/>
      <w:r w:rsidRPr="00FD6DB8">
        <w:rPr>
          <w:lang w:val="en-US"/>
        </w:rPr>
        <w:t xml:space="preserve"> after 7 days coculture within the </w:t>
      </w:r>
      <w:proofErr w:type="spellStart"/>
      <w:r w:rsidRPr="00FD6DB8">
        <w:rPr>
          <w:lang w:val="en-US"/>
        </w:rPr>
        <w:t>bioprinted</w:t>
      </w:r>
      <w:proofErr w:type="spellEnd"/>
      <w:r w:rsidRPr="00FD6DB8">
        <w:rPr>
          <w:lang w:val="en-US"/>
        </w:rPr>
        <w:t xml:space="preserve"> constructs (MOI = 10). a) Confocal micrographs of live (green, Syto9) / dead (red, propidium iodide) staining revealed rod-like morphologies within the </w:t>
      </w:r>
      <w:proofErr w:type="spellStart"/>
      <w:r w:rsidRPr="00FD6DB8">
        <w:rPr>
          <w:lang w:val="en-US"/>
        </w:rPr>
        <w:t>bioprinted</w:t>
      </w:r>
      <w:proofErr w:type="spellEnd"/>
      <w:r w:rsidRPr="00FD6DB8">
        <w:rPr>
          <w:lang w:val="en-US"/>
        </w:rPr>
        <w:t xml:space="preserve"> constructs. b) Gram staining of the </w:t>
      </w:r>
      <w:proofErr w:type="spellStart"/>
      <w:r w:rsidRPr="00FD6DB8">
        <w:rPr>
          <w:lang w:val="en-US"/>
        </w:rPr>
        <w:t>bioprinted</w:t>
      </w:r>
      <w:proofErr w:type="spellEnd"/>
      <w:r w:rsidRPr="00FD6DB8">
        <w:rPr>
          <w:lang w:val="en-US"/>
        </w:rPr>
        <w:t xml:space="preserve"> construct yielded gram-negative rods. Image was taken through a 100x objective.</w:t>
      </w:r>
    </w:p>
    <w:p w14:paraId="6DD0E0F2" w14:textId="01528D0B" w:rsidR="00BB03FD" w:rsidRDefault="00BB03FD" w:rsidP="00BB03FD">
      <w:pPr>
        <w:rPr>
          <w:lang w:val="en-US"/>
        </w:rPr>
      </w:pPr>
    </w:p>
    <w:p w14:paraId="3E8F07FA" w14:textId="77777777" w:rsidR="00BB03FD" w:rsidRPr="00FD6DB8" w:rsidRDefault="00BB03FD" w:rsidP="00BB03FD">
      <w:pPr>
        <w:keepNext/>
        <w:spacing w:line="480" w:lineRule="auto"/>
        <w:jc w:val="both"/>
        <w:rPr>
          <w:lang w:val="en-US"/>
        </w:rPr>
      </w:pPr>
      <w:r w:rsidRPr="00FD6DB8">
        <w:rPr>
          <w:noProof/>
          <w:lang w:val="en-US"/>
        </w:rPr>
        <w:lastRenderedPageBreak/>
        <w:drawing>
          <wp:inline distT="0" distB="0" distL="0" distR="0" wp14:anchorId="63155BF4" wp14:editId="45758E3C">
            <wp:extent cx="5756910" cy="5669280"/>
            <wp:effectExtent l="0" t="0" r="0" b="7620"/>
            <wp:docPr id="12" name="Picture 12" descr="A picture containing light,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light, laser&#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910" cy="5669280"/>
                    </a:xfrm>
                    <a:prstGeom prst="rect">
                      <a:avLst/>
                    </a:prstGeom>
                    <a:noFill/>
                    <a:ln>
                      <a:noFill/>
                    </a:ln>
                  </pic:spPr>
                </pic:pic>
              </a:graphicData>
            </a:graphic>
          </wp:inline>
        </w:drawing>
      </w:r>
    </w:p>
    <w:p w14:paraId="1031D718" w14:textId="38043297" w:rsidR="00BB03FD" w:rsidRPr="00FD6DB8" w:rsidRDefault="00BB03FD" w:rsidP="00BB03FD">
      <w:pPr>
        <w:pStyle w:val="Caption"/>
        <w:spacing w:line="480" w:lineRule="auto"/>
        <w:jc w:val="both"/>
        <w:rPr>
          <w:lang w:val="en-US"/>
        </w:rPr>
      </w:pPr>
      <w:bookmarkStart w:id="15" w:name="_Ref108621538"/>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20</w:t>
      </w:r>
      <w:r w:rsidRPr="00FD6DB8">
        <w:rPr>
          <w:b/>
          <w:bCs/>
          <w:noProof/>
          <w:lang w:val="en-US"/>
        </w:rPr>
        <w:fldChar w:fldCharType="end"/>
      </w:r>
      <w:bookmarkEnd w:id="15"/>
      <w:r w:rsidRPr="00FD6DB8">
        <w:rPr>
          <w:b/>
          <w:bCs/>
          <w:noProof/>
          <w:lang w:val="en-US"/>
        </w:rPr>
        <w:t>.</w:t>
      </w:r>
      <w:r w:rsidRPr="00FD6DB8">
        <w:rPr>
          <w:lang w:val="en-US"/>
        </w:rPr>
        <w:t xml:space="preserve"> Representative confocal micrographs of total nucleic acid (green, Syto9) / dead (red, propidium iodide) staining of </w:t>
      </w:r>
      <w:proofErr w:type="spellStart"/>
      <w:r w:rsidRPr="00FD6DB8">
        <w:rPr>
          <w:lang w:val="en-US"/>
        </w:rPr>
        <w:t>hMSCs</w:t>
      </w:r>
      <w:proofErr w:type="spellEnd"/>
      <w:r w:rsidRPr="00FD6DB8">
        <w:rPr>
          <w:lang w:val="en-US"/>
        </w:rPr>
        <w:t xml:space="preserve"> after culture. </w:t>
      </w:r>
      <w:proofErr w:type="spellStart"/>
      <w:r w:rsidRPr="00FD6DB8">
        <w:rPr>
          <w:lang w:val="en-US"/>
        </w:rPr>
        <w:t>hMSCs</w:t>
      </w:r>
      <w:proofErr w:type="spellEnd"/>
      <w:r w:rsidRPr="00FD6DB8">
        <w:rPr>
          <w:lang w:val="en-US"/>
        </w:rPr>
        <w:t xml:space="preserve"> exhibited a predominantly spherical morphology in both monoculture (</w:t>
      </w:r>
      <w:proofErr w:type="spellStart"/>
      <w:proofErr w:type="gramStart"/>
      <w:r w:rsidRPr="00FD6DB8">
        <w:rPr>
          <w:lang w:val="en-US"/>
        </w:rPr>
        <w:t>a,c</w:t>
      </w:r>
      <w:proofErr w:type="spellEnd"/>
      <w:proofErr w:type="gramEnd"/>
      <w:r w:rsidRPr="00FD6DB8">
        <w:rPr>
          <w:lang w:val="en-US"/>
        </w:rPr>
        <w:t>) and coculture (</w:t>
      </w:r>
      <w:proofErr w:type="spellStart"/>
      <w:r w:rsidRPr="00FD6DB8">
        <w:rPr>
          <w:lang w:val="en-US"/>
        </w:rPr>
        <w:t>b,d</w:t>
      </w:r>
      <w:proofErr w:type="spellEnd"/>
      <w:r w:rsidRPr="00FD6DB8">
        <w:rPr>
          <w:lang w:val="en-US"/>
        </w:rPr>
        <w:t>) at days 0 (</w:t>
      </w:r>
      <w:proofErr w:type="spellStart"/>
      <w:r w:rsidRPr="00FD6DB8">
        <w:rPr>
          <w:lang w:val="en-US"/>
        </w:rPr>
        <w:t>a,b</w:t>
      </w:r>
      <w:proofErr w:type="spellEnd"/>
      <w:r w:rsidRPr="00FD6DB8">
        <w:rPr>
          <w:lang w:val="en-US"/>
        </w:rPr>
        <w:t>) and 1 (</w:t>
      </w:r>
      <w:proofErr w:type="spellStart"/>
      <w:r w:rsidRPr="00FD6DB8">
        <w:rPr>
          <w:lang w:val="en-US"/>
        </w:rPr>
        <w:t>c,d</w:t>
      </w:r>
      <w:proofErr w:type="spellEnd"/>
      <w:r w:rsidRPr="00FD6DB8">
        <w:rPr>
          <w:lang w:val="en-US"/>
        </w:rPr>
        <w:t>).</w:t>
      </w:r>
    </w:p>
    <w:p w14:paraId="56F98C7A" w14:textId="77777777" w:rsidR="00BB03FD" w:rsidRPr="00BB03FD" w:rsidRDefault="00BB03FD" w:rsidP="00BB03FD">
      <w:pPr>
        <w:rPr>
          <w:lang w:val="en-US"/>
        </w:rPr>
      </w:pPr>
    </w:p>
    <w:p w14:paraId="31A3D8CC" w14:textId="77777777" w:rsidR="00BB03FD" w:rsidRPr="00FD6DB8" w:rsidRDefault="00BB03FD" w:rsidP="00BB03FD">
      <w:pPr>
        <w:keepNext/>
        <w:spacing w:line="480" w:lineRule="auto"/>
        <w:jc w:val="both"/>
        <w:rPr>
          <w:lang w:val="en-US"/>
        </w:rPr>
      </w:pPr>
      <w:r w:rsidRPr="00FD6DB8">
        <w:rPr>
          <w:noProof/>
          <w:lang w:val="en-US"/>
        </w:rPr>
        <w:lastRenderedPageBreak/>
        <w:drawing>
          <wp:inline distT="0" distB="0" distL="0" distR="0" wp14:anchorId="7FCB50C0" wp14:editId="35E5D069">
            <wp:extent cx="5762625" cy="2541270"/>
            <wp:effectExtent l="0" t="0" r="9525"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2625" cy="2541270"/>
                    </a:xfrm>
                    <a:prstGeom prst="rect">
                      <a:avLst/>
                    </a:prstGeom>
                    <a:noFill/>
                    <a:ln>
                      <a:noFill/>
                    </a:ln>
                  </pic:spPr>
                </pic:pic>
              </a:graphicData>
            </a:graphic>
          </wp:inline>
        </w:drawing>
      </w:r>
    </w:p>
    <w:p w14:paraId="75C0C826" w14:textId="5ABA5521" w:rsidR="00BB03FD" w:rsidRPr="00FD6DB8" w:rsidRDefault="00BB03FD" w:rsidP="00BB03FD">
      <w:pPr>
        <w:pStyle w:val="Caption"/>
        <w:spacing w:line="480" w:lineRule="auto"/>
        <w:jc w:val="both"/>
        <w:rPr>
          <w:lang w:val="en-US"/>
        </w:rPr>
      </w:pPr>
      <w:bookmarkStart w:id="16" w:name="_Ref108620852"/>
      <w:bookmarkStart w:id="17" w:name="_Ref108620777"/>
      <w:r w:rsidRPr="00FD6DB8">
        <w:rPr>
          <w:b/>
          <w:bCs/>
          <w:lang w:val="en-US"/>
        </w:rPr>
        <w:t>Figure S</w:t>
      </w:r>
      <w:r w:rsidRPr="00FD6DB8">
        <w:rPr>
          <w:b/>
          <w:bCs/>
          <w:lang w:val="en-US"/>
        </w:rPr>
        <w:fldChar w:fldCharType="begin"/>
      </w:r>
      <w:r w:rsidRPr="00FD6DB8">
        <w:rPr>
          <w:b/>
          <w:bCs/>
          <w:lang w:val="en-US"/>
        </w:rPr>
        <w:instrText xml:space="preserve"> SEQ Figure_S \* ARABIC </w:instrText>
      </w:r>
      <w:r w:rsidRPr="00FD6DB8">
        <w:rPr>
          <w:b/>
          <w:bCs/>
          <w:lang w:val="en-US"/>
        </w:rPr>
        <w:fldChar w:fldCharType="separate"/>
      </w:r>
      <w:r w:rsidR="007C4B03">
        <w:rPr>
          <w:b/>
          <w:bCs/>
          <w:noProof/>
          <w:lang w:val="en-US"/>
        </w:rPr>
        <w:t>21</w:t>
      </w:r>
      <w:r w:rsidRPr="00FD6DB8">
        <w:rPr>
          <w:b/>
          <w:bCs/>
          <w:noProof/>
          <w:lang w:val="en-US"/>
        </w:rPr>
        <w:fldChar w:fldCharType="end"/>
      </w:r>
      <w:bookmarkEnd w:id="16"/>
      <w:r w:rsidRPr="00FD6DB8">
        <w:rPr>
          <w:b/>
          <w:bCs/>
          <w:lang w:val="en-US"/>
        </w:rPr>
        <w:t>.</w:t>
      </w:r>
      <w:r w:rsidRPr="00FD6DB8">
        <w:rPr>
          <w:lang w:val="en-US"/>
        </w:rPr>
        <w:t xml:space="preserve"> The insert used for anchoring dentine slices in the well plate during bioprinting. a) Schematic of the insert. A window in the center of the insert allows for the syringe to pass through and print directly onto the dentine surface. A small ridge was incorporated to aid in placement and removal of the insert. b) A picture of the insert, 3D printed with PLA.</w:t>
      </w:r>
      <w:bookmarkEnd w:id="17"/>
    </w:p>
    <w:p w14:paraId="72976C64" w14:textId="77777777" w:rsidR="00FF21C9" w:rsidRPr="00FD6DB8" w:rsidRDefault="00FF21C9" w:rsidP="00BB03FD">
      <w:pPr>
        <w:spacing w:line="480" w:lineRule="auto"/>
        <w:jc w:val="both"/>
        <w:rPr>
          <w:lang w:val="en-US"/>
        </w:rPr>
      </w:pPr>
    </w:p>
    <w:p w14:paraId="362638C2" w14:textId="77777777" w:rsidR="00FF21C9" w:rsidRPr="00FD6DB8" w:rsidRDefault="00FF21C9" w:rsidP="00BB03FD">
      <w:pPr>
        <w:spacing w:line="480" w:lineRule="auto"/>
        <w:jc w:val="both"/>
        <w:rPr>
          <w:lang w:val="en-US"/>
        </w:rPr>
      </w:pPr>
    </w:p>
    <w:p w14:paraId="735C2AD6" w14:textId="72F7B3D5" w:rsidR="00FF21C9" w:rsidRPr="00FD6DB8" w:rsidRDefault="00FF21C9" w:rsidP="00BB03FD">
      <w:pPr>
        <w:spacing w:line="480" w:lineRule="auto"/>
        <w:jc w:val="both"/>
        <w:rPr>
          <w:lang w:val="en-US"/>
        </w:rPr>
      </w:pPr>
    </w:p>
    <w:sectPr w:rsidR="00FF21C9" w:rsidRPr="00FD6DB8" w:rsidSect="00FF21C9">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EAE44" w14:textId="77777777" w:rsidR="00E244E2" w:rsidRDefault="00E244E2">
      <w:r>
        <w:separator/>
      </w:r>
    </w:p>
  </w:endnote>
  <w:endnote w:type="continuationSeparator" w:id="0">
    <w:p w14:paraId="1EC8C0D0" w14:textId="77777777" w:rsidR="00E244E2" w:rsidRDefault="00E244E2">
      <w:r>
        <w:continuationSeparator/>
      </w:r>
    </w:p>
  </w:endnote>
  <w:endnote w:type="continuationNotice" w:id="1">
    <w:p w14:paraId="1F238C8C" w14:textId="77777777" w:rsidR="00E244E2" w:rsidRDefault="00E24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4A0E" w14:textId="77777777" w:rsidR="002372A4" w:rsidRDefault="008711E6">
    <w:pPr>
      <w:pStyle w:val="Footer"/>
      <w:jc w:val="center"/>
    </w:pPr>
    <w:r>
      <w:fldChar w:fldCharType="begin"/>
    </w:r>
    <w:r>
      <w:instrText>PAGE   \* MERGEFORMAT</w:instrText>
    </w:r>
    <w:r>
      <w:fldChar w:fldCharType="separate"/>
    </w:r>
    <w:r>
      <w:rPr>
        <w:noProof/>
      </w:rPr>
      <w:t>2</w:t>
    </w:r>
    <w:r>
      <w:fldChar w:fldCharType="end"/>
    </w:r>
  </w:p>
  <w:p w14:paraId="54F8F4B2" w14:textId="77777777" w:rsidR="002372A4" w:rsidRDefault="002372A4" w:rsidP="0088145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9D91" w14:textId="77777777" w:rsidR="00E244E2" w:rsidRDefault="00E244E2">
      <w:r>
        <w:separator/>
      </w:r>
    </w:p>
  </w:footnote>
  <w:footnote w:type="continuationSeparator" w:id="0">
    <w:p w14:paraId="13B10744" w14:textId="77777777" w:rsidR="00E244E2" w:rsidRDefault="00E244E2">
      <w:r>
        <w:continuationSeparator/>
      </w:r>
    </w:p>
  </w:footnote>
  <w:footnote w:type="continuationNotice" w:id="1">
    <w:p w14:paraId="3D513C40" w14:textId="77777777" w:rsidR="00E244E2" w:rsidRDefault="00E24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37B2" w14:textId="40DE01AE" w:rsidR="002372A4" w:rsidRPr="009B44CC" w:rsidRDefault="008711E6" w:rsidP="009B44CC">
    <w:pPr>
      <w:pStyle w:val="Header"/>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501C7"/>
    <w:multiLevelType w:val="hybridMultilevel"/>
    <w:tmpl w:val="9D2AD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A54316"/>
    <w:multiLevelType w:val="hybridMultilevel"/>
    <w:tmpl w:val="D996E3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55DF0"/>
    <w:multiLevelType w:val="hybridMultilevel"/>
    <w:tmpl w:val="19CAC4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9256CE"/>
    <w:multiLevelType w:val="hybridMultilevel"/>
    <w:tmpl w:val="7A6A9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C14CF6"/>
    <w:multiLevelType w:val="hybridMultilevel"/>
    <w:tmpl w:val="92008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447DD"/>
    <w:multiLevelType w:val="hybridMultilevel"/>
    <w:tmpl w:val="4612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B6321E"/>
    <w:multiLevelType w:val="hybridMultilevel"/>
    <w:tmpl w:val="CA62C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6B4D9A"/>
    <w:multiLevelType w:val="hybridMultilevel"/>
    <w:tmpl w:val="FA005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7755960">
    <w:abstractNumId w:val="5"/>
  </w:num>
  <w:num w:numId="2" w16cid:durableId="1235050970">
    <w:abstractNumId w:val="4"/>
  </w:num>
  <w:num w:numId="3" w16cid:durableId="1095596426">
    <w:abstractNumId w:val="7"/>
  </w:num>
  <w:num w:numId="4" w16cid:durableId="1737315231">
    <w:abstractNumId w:val="1"/>
  </w:num>
  <w:num w:numId="5" w16cid:durableId="1139540523">
    <w:abstractNumId w:val="2"/>
  </w:num>
  <w:num w:numId="6" w16cid:durableId="1393114770">
    <w:abstractNumId w:val="0"/>
  </w:num>
  <w:num w:numId="7" w16cid:durableId="1974022589">
    <w:abstractNumId w:val="6"/>
  </w:num>
  <w:num w:numId="8" w16cid:durableId="1691492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1C9"/>
    <w:rsid w:val="000005D4"/>
    <w:rsid w:val="00012B13"/>
    <w:rsid w:val="00014C37"/>
    <w:rsid w:val="00014EE8"/>
    <w:rsid w:val="0001588D"/>
    <w:rsid w:val="0001622C"/>
    <w:rsid w:val="00023408"/>
    <w:rsid w:val="00027ED3"/>
    <w:rsid w:val="00030DEF"/>
    <w:rsid w:val="00030E43"/>
    <w:rsid w:val="0003306A"/>
    <w:rsid w:val="00034800"/>
    <w:rsid w:val="00034EE8"/>
    <w:rsid w:val="00036134"/>
    <w:rsid w:val="00042C4E"/>
    <w:rsid w:val="00044C6E"/>
    <w:rsid w:val="00045A5C"/>
    <w:rsid w:val="000462B1"/>
    <w:rsid w:val="00050FE8"/>
    <w:rsid w:val="00053A11"/>
    <w:rsid w:val="0005555E"/>
    <w:rsid w:val="00057903"/>
    <w:rsid w:val="00061C02"/>
    <w:rsid w:val="00064A8A"/>
    <w:rsid w:val="00072BB1"/>
    <w:rsid w:val="00076FEE"/>
    <w:rsid w:val="00084907"/>
    <w:rsid w:val="00086F5F"/>
    <w:rsid w:val="00090C72"/>
    <w:rsid w:val="00090E06"/>
    <w:rsid w:val="00096C45"/>
    <w:rsid w:val="00097FAC"/>
    <w:rsid w:val="000A230D"/>
    <w:rsid w:val="000B3990"/>
    <w:rsid w:val="000C0886"/>
    <w:rsid w:val="000C694D"/>
    <w:rsid w:val="000D3EFB"/>
    <w:rsid w:val="000D64C4"/>
    <w:rsid w:val="000D69CA"/>
    <w:rsid w:val="000E1694"/>
    <w:rsid w:val="000E453C"/>
    <w:rsid w:val="000F6CBF"/>
    <w:rsid w:val="000F73D0"/>
    <w:rsid w:val="00101212"/>
    <w:rsid w:val="00105B3B"/>
    <w:rsid w:val="00111334"/>
    <w:rsid w:val="00115DD3"/>
    <w:rsid w:val="001205D8"/>
    <w:rsid w:val="00121213"/>
    <w:rsid w:val="00123341"/>
    <w:rsid w:val="0012748C"/>
    <w:rsid w:val="001312F8"/>
    <w:rsid w:val="001313ED"/>
    <w:rsid w:val="001565FD"/>
    <w:rsid w:val="00161EC2"/>
    <w:rsid w:val="00163B00"/>
    <w:rsid w:val="00163BE9"/>
    <w:rsid w:val="001723A5"/>
    <w:rsid w:val="00172D65"/>
    <w:rsid w:val="001754C3"/>
    <w:rsid w:val="0017633A"/>
    <w:rsid w:val="00183057"/>
    <w:rsid w:val="0018453E"/>
    <w:rsid w:val="00185483"/>
    <w:rsid w:val="00186D60"/>
    <w:rsid w:val="00197516"/>
    <w:rsid w:val="001A5A39"/>
    <w:rsid w:val="001B0D2B"/>
    <w:rsid w:val="001B3FEB"/>
    <w:rsid w:val="001C089E"/>
    <w:rsid w:val="001C0E0E"/>
    <w:rsid w:val="001D2EB1"/>
    <w:rsid w:val="001D3A3B"/>
    <w:rsid w:val="001D69FB"/>
    <w:rsid w:val="001E03D0"/>
    <w:rsid w:val="001E1D81"/>
    <w:rsid w:val="001E2E39"/>
    <w:rsid w:val="001F6A1D"/>
    <w:rsid w:val="00230C2C"/>
    <w:rsid w:val="00233270"/>
    <w:rsid w:val="002372A4"/>
    <w:rsid w:val="0024438E"/>
    <w:rsid w:val="00253749"/>
    <w:rsid w:val="0025568E"/>
    <w:rsid w:val="00257FDC"/>
    <w:rsid w:val="0026014C"/>
    <w:rsid w:val="0026063A"/>
    <w:rsid w:val="00260DCF"/>
    <w:rsid w:val="00261742"/>
    <w:rsid w:val="002627E2"/>
    <w:rsid w:val="00263D8E"/>
    <w:rsid w:val="00270139"/>
    <w:rsid w:val="002939D9"/>
    <w:rsid w:val="002953A1"/>
    <w:rsid w:val="0029714C"/>
    <w:rsid w:val="002A0B83"/>
    <w:rsid w:val="002A216F"/>
    <w:rsid w:val="002A74EF"/>
    <w:rsid w:val="002B2662"/>
    <w:rsid w:val="002C09F6"/>
    <w:rsid w:val="002C3B10"/>
    <w:rsid w:val="002D226F"/>
    <w:rsid w:val="002D4D89"/>
    <w:rsid w:val="002D62C1"/>
    <w:rsid w:val="002E54EE"/>
    <w:rsid w:val="002F1B90"/>
    <w:rsid w:val="002F2CD0"/>
    <w:rsid w:val="002F41AF"/>
    <w:rsid w:val="002F46B2"/>
    <w:rsid w:val="00301CD3"/>
    <w:rsid w:val="00311AA3"/>
    <w:rsid w:val="0031231B"/>
    <w:rsid w:val="00331D84"/>
    <w:rsid w:val="00333E35"/>
    <w:rsid w:val="00334A84"/>
    <w:rsid w:val="003358A9"/>
    <w:rsid w:val="003646C5"/>
    <w:rsid w:val="00366F1E"/>
    <w:rsid w:val="003678F0"/>
    <w:rsid w:val="00373657"/>
    <w:rsid w:val="00376057"/>
    <w:rsid w:val="003858EE"/>
    <w:rsid w:val="003858F3"/>
    <w:rsid w:val="00387ECB"/>
    <w:rsid w:val="00387F38"/>
    <w:rsid w:val="00395A96"/>
    <w:rsid w:val="003A02D5"/>
    <w:rsid w:val="003A3147"/>
    <w:rsid w:val="003A51A5"/>
    <w:rsid w:val="003C2E06"/>
    <w:rsid w:val="003D7EDE"/>
    <w:rsid w:val="003F1A32"/>
    <w:rsid w:val="003F3F02"/>
    <w:rsid w:val="003F4C94"/>
    <w:rsid w:val="00400AC9"/>
    <w:rsid w:val="00406845"/>
    <w:rsid w:val="00406CD6"/>
    <w:rsid w:val="00410B5E"/>
    <w:rsid w:val="00411134"/>
    <w:rsid w:val="004131B6"/>
    <w:rsid w:val="00417FF9"/>
    <w:rsid w:val="004225CB"/>
    <w:rsid w:val="00426A9F"/>
    <w:rsid w:val="00426AE0"/>
    <w:rsid w:val="00430970"/>
    <w:rsid w:val="00430A08"/>
    <w:rsid w:val="00435C41"/>
    <w:rsid w:val="0043724F"/>
    <w:rsid w:val="00443D3C"/>
    <w:rsid w:val="00451A87"/>
    <w:rsid w:val="00456E25"/>
    <w:rsid w:val="00460D86"/>
    <w:rsid w:val="004649B5"/>
    <w:rsid w:val="004806F1"/>
    <w:rsid w:val="00487446"/>
    <w:rsid w:val="004A7541"/>
    <w:rsid w:val="004B0D4A"/>
    <w:rsid w:val="004B2475"/>
    <w:rsid w:val="004B515F"/>
    <w:rsid w:val="004B64B9"/>
    <w:rsid w:val="004B6A4C"/>
    <w:rsid w:val="004C1DCF"/>
    <w:rsid w:val="004C27FD"/>
    <w:rsid w:val="004C2EDC"/>
    <w:rsid w:val="004C4A14"/>
    <w:rsid w:val="004D285E"/>
    <w:rsid w:val="004D6791"/>
    <w:rsid w:val="004E25A2"/>
    <w:rsid w:val="004E2E26"/>
    <w:rsid w:val="004F3B55"/>
    <w:rsid w:val="00502678"/>
    <w:rsid w:val="00503406"/>
    <w:rsid w:val="005106A7"/>
    <w:rsid w:val="005106D9"/>
    <w:rsid w:val="00511088"/>
    <w:rsid w:val="00511A7A"/>
    <w:rsid w:val="00516BB8"/>
    <w:rsid w:val="005263C7"/>
    <w:rsid w:val="00532956"/>
    <w:rsid w:val="0053360A"/>
    <w:rsid w:val="005357FF"/>
    <w:rsid w:val="00551806"/>
    <w:rsid w:val="00552D50"/>
    <w:rsid w:val="005543B7"/>
    <w:rsid w:val="00556F29"/>
    <w:rsid w:val="00562B24"/>
    <w:rsid w:val="00565C9F"/>
    <w:rsid w:val="00566903"/>
    <w:rsid w:val="00566F24"/>
    <w:rsid w:val="00567590"/>
    <w:rsid w:val="00567FC1"/>
    <w:rsid w:val="00570C28"/>
    <w:rsid w:val="005717FF"/>
    <w:rsid w:val="00571857"/>
    <w:rsid w:val="00571CB0"/>
    <w:rsid w:val="00571E8E"/>
    <w:rsid w:val="00583BE5"/>
    <w:rsid w:val="005A3FD8"/>
    <w:rsid w:val="005B1C1A"/>
    <w:rsid w:val="005B3AC6"/>
    <w:rsid w:val="005B3DD0"/>
    <w:rsid w:val="005B50A0"/>
    <w:rsid w:val="005C21EB"/>
    <w:rsid w:val="005C4276"/>
    <w:rsid w:val="005C7038"/>
    <w:rsid w:val="005D2977"/>
    <w:rsid w:val="005E1CD5"/>
    <w:rsid w:val="005F2796"/>
    <w:rsid w:val="005F6413"/>
    <w:rsid w:val="005F70FB"/>
    <w:rsid w:val="00606351"/>
    <w:rsid w:val="00613C3A"/>
    <w:rsid w:val="00614013"/>
    <w:rsid w:val="00615775"/>
    <w:rsid w:val="00616968"/>
    <w:rsid w:val="006325F9"/>
    <w:rsid w:val="00641782"/>
    <w:rsid w:val="00643E5F"/>
    <w:rsid w:val="0064558A"/>
    <w:rsid w:val="00645F60"/>
    <w:rsid w:val="006473D2"/>
    <w:rsid w:val="00654B21"/>
    <w:rsid w:val="006555F7"/>
    <w:rsid w:val="006639C6"/>
    <w:rsid w:val="00664BC4"/>
    <w:rsid w:val="00675CA9"/>
    <w:rsid w:val="0067762D"/>
    <w:rsid w:val="00682B93"/>
    <w:rsid w:val="00692DBE"/>
    <w:rsid w:val="00696CE8"/>
    <w:rsid w:val="006B2749"/>
    <w:rsid w:val="006C02ED"/>
    <w:rsid w:val="006D7949"/>
    <w:rsid w:val="006E1FA8"/>
    <w:rsid w:val="006F0035"/>
    <w:rsid w:val="006F28F5"/>
    <w:rsid w:val="006F3F72"/>
    <w:rsid w:val="006F6EE4"/>
    <w:rsid w:val="00703821"/>
    <w:rsid w:val="00705BEA"/>
    <w:rsid w:val="00705EDF"/>
    <w:rsid w:val="00716638"/>
    <w:rsid w:val="007305EB"/>
    <w:rsid w:val="0073101B"/>
    <w:rsid w:val="007353E3"/>
    <w:rsid w:val="00736FAE"/>
    <w:rsid w:val="0075341B"/>
    <w:rsid w:val="007534E7"/>
    <w:rsid w:val="007730FB"/>
    <w:rsid w:val="00773596"/>
    <w:rsid w:val="007746DC"/>
    <w:rsid w:val="0077503C"/>
    <w:rsid w:val="00776C64"/>
    <w:rsid w:val="00782D01"/>
    <w:rsid w:val="0078466E"/>
    <w:rsid w:val="00785857"/>
    <w:rsid w:val="00785B6B"/>
    <w:rsid w:val="00793494"/>
    <w:rsid w:val="00795376"/>
    <w:rsid w:val="007A0791"/>
    <w:rsid w:val="007A4D70"/>
    <w:rsid w:val="007A6D1C"/>
    <w:rsid w:val="007B014A"/>
    <w:rsid w:val="007B10D9"/>
    <w:rsid w:val="007C2EDE"/>
    <w:rsid w:val="007C3AE7"/>
    <w:rsid w:val="007C423A"/>
    <w:rsid w:val="007C45AB"/>
    <w:rsid w:val="007C4B03"/>
    <w:rsid w:val="007D2546"/>
    <w:rsid w:val="007D2CF2"/>
    <w:rsid w:val="007D46CD"/>
    <w:rsid w:val="007E264D"/>
    <w:rsid w:val="007E4260"/>
    <w:rsid w:val="007F1B95"/>
    <w:rsid w:val="007F2FFE"/>
    <w:rsid w:val="007F3194"/>
    <w:rsid w:val="00800C14"/>
    <w:rsid w:val="00801264"/>
    <w:rsid w:val="00801907"/>
    <w:rsid w:val="008119DE"/>
    <w:rsid w:val="00812C69"/>
    <w:rsid w:val="008150A5"/>
    <w:rsid w:val="00830469"/>
    <w:rsid w:val="00842A86"/>
    <w:rsid w:val="008434C3"/>
    <w:rsid w:val="008439F4"/>
    <w:rsid w:val="008450B0"/>
    <w:rsid w:val="00851228"/>
    <w:rsid w:val="00854694"/>
    <w:rsid w:val="00854AC1"/>
    <w:rsid w:val="008555B8"/>
    <w:rsid w:val="008636CE"/>
    <w:rsid w:val="008711E6"/>
    <w:rsid w:val="0088453E"/>
    <w:rsid w:val="008857CB"/>
    <w:rsid w:val="008A0616"/>
    <w:rsid w:val="008A1F3D"/>
    <w:rsid w:val="008B6C64"/>
    <w:rsid w:val="008B6C9D"/>
    <w:rsid w:val="008C00F8"/>
    <w:rsid w:val="008C29EB"/>
    <w:rsid w:val="008C3157"/>
    <w:rsid w:val="008C559D"/>
    <w:rsid w:val="008D1082"/>
    <w:rsid w:val="008D62D5"/>
    <w:rsid w:val="008D7722"/>
    <w:rsid w:val="008E00AA"/>
    <w:rsid w:val="008E10A7"/>
    <w:rsid w:val="008E25D7"/>
    <w:rsid w:val="008E54E2"/>
    <w:rsid w:val="008E6BFA"/>
    <w:rsid w:val="008F237C"/>
    <w:rsid w:val="008F6E15"/>
    <w:rsid w:val="009053A1"/>
    <w:rsid w:val="009060AB"/>
    <w:rsid w:val="00911E51"/>
    <w:rsid w:val="0091595A"/>
    <w:rsid w:val="0092010A"/>
    <w:rsid w:val="009214D8"/>
    <w:rsid w:val="0092328C"/>
    <w:rsid w:val="00926B87"/>
    <w:rsid w:val="00926FFE"/>
    <w:rsid w:val="00935B71"/>
    <w:rsid w:val="00936F5D"/>
    <w:rsid w:val="00943433"/>
    <w:rsid w:val="00946601"/>
    <w:rsid w:val="00947943"/>
    <w:rsid w:val="00952B8D"/>
    <w:rsid w:val="00952DF8"/>
    <w:rsid w:val="009538E4"/>
    <w:rsid w:val="0095760D"/>
    <w:rsid w:val="00960AB2"/>
    <w:rsid w:val="009701B5"/>
    <w:rsid w:val="009708C7"/>
    <w:rsid w:val="00970BC8"/>
    <w:rsid w:val="00985F34"/>
    <w:rsid w:val="00987D70"/>
    <w:rsid w:val="009968F0"/>
    <w:rsid w:val="00997A9B"/>
    <w:rsid w:val="009A1ED6"/>
    <w:rsid w:val="009B0B32"/>
    <w:rsid w:val="009B69F3"/>
    <w:rsid w:val="009C0FE9"/>
    <w:rsid w:val="009C32C6"/>
    <w:rsid w:val="009C56FD"/>
    <w:rsid w:val="009C6443"/>
    <w:rsid w:val="009C7CDD"/>
    <w:rsid w:val="009D43B0"/>
    <w:rsid w:val="009D6D2B"/>
    <w:rsid w:val="00A019C5"/>
    <w:rsid w:val="00A03808"/>
    <w:rsid w:val="00A05569"/>
    <w:rsid w:val="00A15F7F"/>
    <w:rsid w:val="00A15F8B"/>
    <w:rsid w:val="00A172CB"/>
    <w:rsid w:val="00A20924"/>
    <w:rsid w:val="00A3787C"/>
    <w:rsid w:val="00A37F84"/>
    <w:rsid w:val="00A40123"/>
    <w:rsid w:val="00A401C5"/>
    <w:rsid w:val="00A71CAC"/>
    <w:rsid w:val="00A73F5D"/>
    <w:rsid w:val="00A80421"/>
    <w:rsid w:val="00A8462C"/>
    <w:rsid w:val="00A90913"/>
    <w:rsid w:val="00A90F95"/>
    <w:rsid w:val="00A965D0"/>
    <w:rsid w:val="00A96864"/>
    <w:rsid w:val="00A97674"/>
    <w:rsid w:val="00AA3233"/>
    <w:rsid w:val="00AB476D"/>
    <w:rsid w:val="00AC2F7B"/>
    <w:rsid w:val="00AC58FE"/>
    <w:rsid w:val="00AC68C4"/>
    <w:rsid w:val="00AC7BFA"/>
    <w:rsid w:val="00AD28F6"/>
    <w:rsid w:val="00AD7A7E"/>
    <w:rsid w:val="00AE21E2"/>
    <w:rsid w:val="00AE68E5"/>
    <w:rsid w:val="00AF1B8D"/>
    <w:rsid w:val="00AF1EEB"/>
    <w:rsid w:val="00AF522D"/>
    <w:rsid w:val="00AF5B07"/>
    <w:rsid w:val="00B01BD5"/>
    <w:rsid w:val="00B21649"/>
    <w:rsid w:val="00B247F7"/>
    <w:rsid w:val="00B30180"/>
    <w:rsid w:val="00B3043B"/>
    <w:rsid w:val="00B345EA"/>
    <w:rsid w:val="00B35B97"/>
    <w:rsid w:val="00B423FA"/>
    <w:rsid w:val="00B42501"/>
    <w:rsid w:val="00B44907"/>
    <w:rsid w:val="00B45EA7"/>
    <w:rsid w:val="00B4621B"/>
    <w:rsid w:val="00B53337"/>
    <w:rsid w:val="00B60A79"/>
    <w:rsid w:val="00B62276"/>
    <w:rsid w:val="00B623B7"/>
    <w:rsid w:val="00B64A0C"/>
    <w:rsid w:val="00B67CB2"/>
    <w:rsid w:val="00B67EE9"/>
    <w:rsid w:val="00B74AA4"/>
    <w:rsid w:val="00B81375"/>
    <w:rsid w:val="00B81496"/>
    <w:rsid w:val="00B81EC9"/>
    <w:rsid w:val="00B825AC"/>
    <w:rsid w:val="00B84A2F"/>
    <w:rsid w:val="00B97EE9"/>
    <w:rsid w:val="00BA3418"/>
    <w:rsid w:val="00BA508E"/>
    <w:rsid w:val="00BB0222"/>
    <w:rsid w:val="00BB03FD"/>
    <w:rsid w:val="00BB0CD9"/>
    <w:rsid w:val="00BB2C3F"/>
    <w:rsid w:val="00BC4EF6"/>
    <w:rsid w:val="00BC6269"/>
    <w:rsid w:val="00BC6360"/>
    <w:rsid w:val="00BD29F2"/>
    <w:rsid w:val="00BD562C"/>
    <w:rsid w:val="00BD6B1C"/>
    <w:rsid w:val="00BD7EE3"/>
    <w:rsid w:val="00BE175E"/>
    <w:rsid w:val="00BF2B1F"/>
    <w:rsid w:val="00BF4F2B"/>
    <w:rsid w:val="00C0334E"/>
    <w:rsid w:val="00C109A4"/>
    <w:rsid w:val="00C11879"/>
    <w:rsid w:val="00C23BB0"/>
    <w:rsid w:val="00C24788"/>
    <w:rsid w:val="00C27D2A"/>
    <w:rsid w:val="00C3615A"/>
    <w:rsid w:val="00C408D9"/>
    <w:rsid w:val="00C4164D"/>
    <w:rsid w:val="00C505AD"/>
    <w:rsid w:val="00C50AE9"/>
    <w:rsid w:val="00C52E4D"/>
    <w:rsid w:val="00C532F9"/>
    <w:rsid w:val="00C53D1A"/>
    <w:rsid w:val="00C53E56"/>
    <w:rsid w:val="00C55513"/>
    <w:rsid w:val="00C60170"/>
    <w:rsid w:val="00C61D7B"/>
    <w:rsid w:val="00C62646"/>
    <w:rsid w:val="00C71998"/>
    <w:rsid w:val="00C724BD"/>
    <w:rsid w:val="00C728B6"/>
    <w:rsid w:val="00C736B1"/>
    <w:rsid w:val="00C80911"/>
    <w:rsid w:val="00C84332"/>
    <w:rsid w:val="00C854FE"/>
    <w:rsid w:val="00C97988"/>
    <w:rsid w:val="00CA09CF"/>
    <w:rsid w:val="00CA441C"/>
    <w:rsid w:val="00CA561C"/>
    <w:rsid w:val="00CA77F0"/>
    <w:rsid w:val="00CB3516"/>
    <w:rsid w:val="00CC2BFD"/>
    <w:rsid w:val="00CC79D2"/>
    <w:rsid w:val="00CD30CA"/>
    <w:rsid w:val="00CD3B8F"/>
    <w:rsid w:val="00CD710C"/>
    <w:rsid w:val="00CE3F30"/>
    <w:rsid w:val="00CE40D1"/>
    <w:rsid w:val="00CE6684"/>
    <w:rsid w:val="00CF45A8"/>
    <w:rsid w:val="00CF56FE"/>
    <w:rsid w:val="00D050D0"/>
    <w:rsid w:val="00D05411"/>
    <w:rsid w:val="00D17196"/>
    <w:rsid w:val="00D217F3"/>
    <w:rsid w:val="00D223D1"/>
    <w:rsid w:val="00D233DE"/>
    <w:rsid w:val="00D24D20"/>
    <w:rsid w:val="00D30669"/>
    <w:rsid w:val="00D322BA"/>
    <w:rsid w:val="00D375DC"/>
    <w:rsid w:val="00D5379F"/>
    <w:rsid w:val="00D73435"/>
    <w:rsid w:val="00D73E0A"/>
    <w:rsid w:val="00D76881"/>
    <w:rsid w:val="00D76C25"/>
    <w:rsid w:val="00D81BE1"/>
    <w:rsid w:val="00D821AB"/>
    <w:rsid w:val="00D84651"/>
    <w:rsid w:val="00D84C4E"/>
    <w:rsid w:val="00D862D2"/>
    <w:rsid w:val="00D91C63"/>
    <w:rsid w:val="00D93042"/>
    <w:rsid w:val="00D95610"/>
    <w:rsid w:val="00DA0FA9"/>
    <w:rsid w:val="00DA1F51"/>
    <w:rsid w:val="00DA6036"/>
    <w:rsid w:val="00DA6BFD"/>
    <w:rsid w:val="00DB0C0F"/>
    <w:rsid w:val="00DB15E0"/>
    <w:rsid w:val="00DC1CF5"/>
    <w:rsid w:val="00DC2EB6"/>
    <w:rsid w:val="00DC5DF4"/>
    <w:rsid w:val="00DD67B8"/>
    <w:rsid w:val="00DE32A3"/>
    <w:rsid w:val="00DF64C9"/>
    <w:rsid w:val="00DF6EE4"/>
    <w:rsid w:val="00E010A1"/>
    <w:rsid w:val="00E130B7"/>
    <w:rsid w:val="00E13EA2"/>
    <w:rsid w:val="00E244E2"/>
    <w:rsid w:val="00E27579"/>
    <w:rsid w:val="00E300CD"/>
    <w:rsid w:val="00E31A57"/>
    <w:rsid w:val="00E32FC7"/>
    <w:rsid w:val="00E34F37"/>
    <w:rsid w:val="00E351D6"/>
    <w:rsid w:val="00E440B0"/>
    <w:rsid w:val="00E5404C"/>
    <w:rsid w:val="00E574B3"/>
    <w:rsid w:val="00E821EC"/>
    <w:rsid w:val="00E91A0C"/>
    <w:rsid w:val="00E97943"/>
    <w:rsid w:val="00E97D4D"/>
    <w:rsid w:val="00EA61B9"/>
    <w:rsid w:val="00EB26AF"/>
    <w:rsid w:val="00EB3971"/>
    <w:rsid w:val="00EB6D65"/>
    <w:rsid w:val="00EC29B5"/>
    <w:rsid w:val="00EC34A1"/>
    <w:rsid w:val="00EC47E1"/>
    <w:rsid w:val="00ED5738"/>
    <w:rsid w:val="00ED5970"/>
    <w:rsid w:val="00ED5BB2"/>
    <w:rsid w:val="00EE16DA"/>
    <w:rsid w:val="00EE535A"/>
    <w:rsid w:val="00EF3625"/>
    <w:rsid w:val="00F03250"/>
    <w:rsid w:val="00F05D97"/>
    <w:rsid w:val="00F17DEF"/>
    <w:rsid w:val="00F20597"/>
    <w:rsid w:val="00F23B3E"/>
    <w:rsid w:val="00F25D06"/>
    <w:rsid w:val="00F30E1B"/>
    <w:rsid w:val="00F34C45"/>
    <w:rsid w:val="00F41B94"/>
    <w:rsid w:val="00F41CD3"/>
    <w:rsid w:val="00F44160"/>
    <w:rsid w:val="00F536EF"/>
    <w:rsid w:val="00F55B57"/>
    <w:rsid w:val="00F563F7"/>
    <w:rsid w:val="00F62645"/>
    <w:rsid w:val="00F64044"/>
    <w:rsid w:val="00F6761B"/>
    <w:rsid w:val="00F733AA"/>
    <w:rsid w:val="00F749F7"/>
    <w:rsid w:val="00F7663B"/>
    <w:rsid w:val="00F87CAF"/>
    <w:rsid w:val="00F91A28"/>
    <w:rsid w:val="00F9459E"/>
    <w:rsid w:val="00F97100"/>
    <w:rsid w:val="00FA3BD5"/>
    <w:rsid w:val="00FA46D4"/>
    <w:rsid w:val="00FA74AF"/>
    <w:rsid w:val="00FB1BA6"/>
    <w:rsid w:val="00FB2574"/>
    <w:rsid w:val="00FB3574"/>
    <w:rsid w:val="00FB60F6"/>
    <w:rsid w:val="00FB67E0"/>
    <w:rsid w:val="00FB6C0C"/>
    <w:rsid w:val="00FB7DF2"/>
    <w:rsid w:val="00FC27B8"/>
    <w:rsid w:val="00FC5D5A"/>
    <w:rsid w:val="00FD4E26"/>
    <w:rsid w:val="00FD5A45"/>
    <w:rsid w:val="00FD6DB8"/>
    <w:rsid w:val="00FF2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0710E"/>
  <w15:chartTrackingRefBased/>
  <w15:docId w15:val="{175CB621-2751-4408-9A8C-2D91F3B6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1C9"/>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
    <w:qFormat/>
    <w:rsid w:val="00FF21C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1C9"/>
    <w:rPr>
      <w:rFonts w:asciiTheme="majorHAnsi" w:eastAsiaTheme="majorEastAsia" w:hAnsiTheme="majorHAnsi" w:cstheme="majorBidi"/>
      <w:color w:val="2F5496" w:themeColor="accent1" w:themeShade="BF"/>
      <w:sz w:val="32"/>
      <w:szCs w:val="32"/>
      <w:lang w:eastAsia="ja-JP"/>
    </w:rPr>
  </w:style>
  <w:style w:type="paragraph" w:customStyle="1" w:styleId="History">
    <w:name w:val="History"/>
    <w:basedOn w:val="Normal"/>
    <w:rsid w:val="00FF21C9"/>
    <w:pPr>
      <w:spacing w:before="230" w:after="460" w:line="180" w:lineRule="exact"/>
      <w:jc w:val="right"/>
    </w:pPr>
    <w:rPr>
      <w:rFonts w:ascii="Arial" w:hAnsi="Arial"/>
      <w:sz w:val="14"/>
      <w:szCs w:val="16"/>
    </w:rPr>
  </w:style>
  <w:style w:type="paragraph" w:customStyle="1" w:styleId="References">
    <w:name w:val="References"/>
    <w:basedOn w:val="Normal"/>
    <w:rsid w:val="00FF21C9"/>
    <w:pPr>
      <w:spacing w:line="200" w:lineRule="exact"/>
      <w:ind w:left="425" w:hanging="425"/>
      <w:jc w:val="both"/>
    </w:pPr>
    <w:rPr>
      <w:sz w:val="15"/>
      <w:szCs w:val="14"/>
    </w:rPr>
  </w:style>
  <w:style w:type="paragraph" w:customStyle="1" w:styleId="HExperimentalSection">
    <w:name w:val="HExperimental_Section"/>
    <w:basedOn w:val="Normal"/>
    <w:rsid w:val="00FF21C9"/>
    <w:pPr>
      <w:spacing w:before="460" w:after="230" w:line="230" w:lineRule="atLeast"/>
    </w:pPr>
    <w:rPr>
      <w:i/>
      <w:szCs w:val="20"/>
    </w:rPr>
  </w:style>
  <w:style w:type="paragraph" w:customStyle="1" w:styleId="ExperimentalSection">
    <w:name w:val="ExperimentalSection"/>
    <w:basedOn w:val="Normal"/>
    <w:rsid w:val="00FF21C9"/>
    <w:pPr>
      <w:spacing w:after="240" w:line="200" w:lineRule="exact"/>
      <w:ind w:firstLine="170"/>
      <w:jc w:val="both"/>
    </w:pPr>
    <w:rPr>
      <w:sz w:val="16"/>
      <w:szCs w:val="14"/>
    </w:rPr>
  </w:style>
  <w:style w:type="paragraph" w:customStyle="1" w:styleId="FNB">
    <w:name w:val="FNB"/>
    <w:basedOn w:val="Normal"/>
    <w:link w:val="FNBChar"/>
    <w:rsid w:val="00FF21C9"/>
    <w:pPr>
      <w:widowControl w:val="0"/>
      <w:spacing w:after="40" w:line="160" w:lineRule="exact"/>
      <w:ind w:left="567" w:right="4434" w:hanging="567"/>
      <w:jc w:val="both"/>
    </w:pPr>
    <w:rPr>
      <w:rFonts w:ascii="Times" w:hAnsi="Times"/>
      <w:sz w:val="14"/>
      <w:szCs w:val="3276"/>
      <w:lang w:eastAsia="de-DE"/>
    </w:rPr>
  </w:style>
  <w:style w:type="character" w:customStyle="1" w:styleId="FNBChar">
    <w:name w:val="FNB Char"/>
    <w:link w:val="FNB"/>
    <w:rsid w:val="00FF21C9"/>
    <w:rPr>
      <w:rFonts w:ascii="Times" w:eastAsia="MS Mincho" w:hAnsi="Times" w:cs="Times New Roman"/>
      <w:sz w:val="14"/>
      <w:szCs w:val="3276"/>
      <w:lang w:eastAsia="de-DE"/>
    </w:rPr>
  </w:style>
  <w:style w:type="paragraph" w:customStyle="1" w:styleId="Ack">
    <w:name w:val="Ack"/>
    <w:basedOn w:val="Normal"/>
    <w:rsid w:val="00FF21C9"/>
  </w:style>
  <w:style w:type="paragraph" w:customStyle="1" w:styleId="TableCaption">
    <w:name w:val="TableCaption"/>
    <w:basedOn w:val="Normal"/>
    <w:rsid w:val="00FF21C9"/>
    <w:pPr>
      <w:spacing w:after="120" w:line="190" w:lineRule="exact"/>
      <w:jc w:val="both"/>
    </w:pPr>
    <w:rPr>
      <w:rFonts w:ascii="Arial" w:hAnsi="Arial"/>
      <w:sz w:val="16"/>
      <w:szCs w:val="14"/>
    </w:rPr>
  </w:style>
  <w:style w:type="paragraph" w:customStyle="1" w:styleId="TableHead">
    <w:name w:val="TableHead"/>
    <w:basedOn w:val="TableCaption"/>
    <w:rsid w:val="00FF21C9"/>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FF21C9"/>
  </w:style>
  <w:style w:type="paragraph" w:customStyle="1" w:styleId="TableFoot">
    <w:name w:val="TableFoot"/>
    <w:basedOn w:val="TableBody"/>
    <w:rsid w:val="00FF21C9"/>
    <w:pPr>
      <w:spacing w:before="60" w:after="60"/>
    </w:pPr>
  </w:style>
  <w:style w:type="paragraph" w:customStyle="1" w:styleId="SchemeCaption">
    <w:name w:val="SchemeCaption"/>
    <w:basedOn w:val="Normal"/>
    <w:rsid w:val="00FF21C9"/>
    <w:pPr>
      <w:spacing w:before="230" w:after="460" w:line="190" w:lineRule="exact"/>
      <w:jc w:val="both"/>
    </w:pPr>
    <w:rPr>
      <w:rFonts w:ascii="Arial" w:hAnsi="Arial"/>
      <w:sz w:val="16"/>
      <w:szCs w:val="14"/>
    </w:rPr>
  </w:style>
  <w:style w:type="paragraph" w:styleId="FootnoteText">
    <w:name w:val="footnote text"/>
    <w:basedOn w:val="Normal"/>
    <w:link w:val="FootnoteTextChar"/>
    <w:semiHidden/>
    <w:rsid w:val="00FF21C9"/>
    <w:pPr>
      <w:keepLines/>
      <w:widowControl w:val="0"/>
      <w:jc w:val="both"/>
    </w:pPr>
    <w:rPr>
      <w:rFonts w:eastAsia="Times New Roman"/>
      <w:sz w:val="20"/>
      <w:szCs w:val="20"/>
      <w:lang w:eastAsia="ro-RO"/>
    </w:rPr>
  </w:style>
  <w:style w:type="character" w:customStyle="1" w:styleId="FootnoteTextChar">
    <w:name w:val="Footnote Text Char"/>
    <w:basedOn w:val="DefaultParagraphFont"/>
    <w:link w:val="FootnoteText"/>
    <w:semiHidden/>
    <w:rsid w:val="00FF21C9"/>
    <w:rPr>
      <w:rFonts w:ascii="Times New Roman" w:eastAsia="Times New Roman" w:hAnsi="Times New Roman" w:cs="Times New Roman"/>
      <w:sz w:val="20"/>
      <w:szCs w:val="20"/>
      <w:lang w:eastAsia="ro-RO"/>
    </w:rPr>
  </w:style>
  <w:style w:type="paragraph" w:customStyle="1" w:styleId="STOE">
    <w:name w:val="STOE"/>
    <w:basedOn w:val="Normal"/>
    <w:link w:val="STOEChar1"/>
    <w:rsid w:val="00FF21C9"/>
    <w:pPr>
      <w:widowControl w:val="0"/>
      <w:spacing w:line="236" w:lineRule="exact"/>
      <w:ind w:right="4434"/>
      <w:jc w:val="both"/>
    </w:pPr>
    <w:rPr>
      <w:rFonts w:ascii="Times" w:hAnsi="Times"/>
      <w:sz w:val="18"/>
      <w:szCs w:val="3276"/>
      <w:lang w:eastAsia="de-DE"/>
    </w:rPr>
  </w:style>
  <w:style w:type="character" w:customStyle="1" w:styleId="STOEChar1">
    <w:name w:val="STOE Char1"/>
    <w:link w:val="STOE"/>
    <w:rsid w:val="00FF21C9"/>
    <w:rPr>
      <w:rFonts w:ascii="Times" w:eastAsia="MS Mincho" w:hAnsi="Times" w:cs="Times New Roman"/>
      <w:sz w:val="18"/>
      <w:szCs w:val="3276"/>
      <w:lang w:eastAsia="de-DE"/>
    </w:rPr>
  </w:style>
  <w:style w:type="paragraph" w:styleId="BalloonText">
    <w:name w:val="Balloon Text"/>
    <w:basedOn w:val="Normal"/>
    <w:link w:val="BalloonTextChar"/>
    <w:semiHidden/>
    <w:rsid w:val="00FF21C9"/>
    <w:rPr>
      <w:rFonts w:ascii="Tahoma" w:hAnsi="Tahoma" w:cs="Tahoma"/>
      <w:sz w:val="16"/>
      <w:szCs w:val="16"/>
    </w:rPr>
  </w:style>
  <w:style w:type="character" w:customStyle="1" w:styleId="BalloonTextChar">
    <w:name w:val="Balloon Text Char"/>
    <w:basedOn w:val="DefaultParagraphFont"/>
    <w:link w:val="BalloonText"/>
    <w:semiHidden/>
    <w:rsid w:val="00FF21C9"/>
    <w:rPr>
      <w:rFonts w:ascii="Tahoma" w:eastAsia="MS Mincho" w:hAnsi="Tahoma" w:cs="Tahoma"/>
      <w:sz w:val="16"/>
      <w:szCs w:val="16"/>
      <w:lang w:eastAsia="ja-JP"/>
    </w:rPr>
  </w:style>
  <w:style w:type="paragraph" w:styleId="Header">
    <w:name w:val="header"/>
    <w:basedOn w:val="Normal"/>
    <w:link w:val="HeaderChar"/>
    <w:rsid w:val="00FF21C9"/>
    <w:pPr>
      <w:tabs>
        <w:tab w:val="center" w:pos="4536"/>
        <w:tab w:val="right" w:pos="9072"/>
      </w:tabs>
    </w:pPr>
    <w:rPr>
      <w:lang w:val="x-none"/>
    </w:rPr>
  </w:style>
  <w:style w:type="character" w:customStyle="1" w:styleId="HeaderChar">
    <w:name w:val="Header Char"/>
    <w:basedOn w:val="DefaultParagraphFont"/>
    <w:link w:val="Header"/>
    <w:rsid w:val="00FF21C9"/>
    <w:rPr>
      <w:rFonts w:ascii="Times New Roman" w:eastAsia="MS Mincho" w:hAnsi="Times New Roman" w:cs="Times New Roman"/>
      <w:sz w:val="24"/>
      <w:szCs w:val="24"/>
      <w:lang w:val="x-none" w:eastAsia="ja-JP"/>
    </w:rPr>
  </w:style>
  <w:style w:type="paragraph" w:styleId="Footer">
    <w:name w:val="footer"/>
    <w:basedOn w:val="Normal"/>
    <w:link w:val="FooterChar"/>
    <w:uiPriority w:val="99"/>
    <w:rsid w:val="00FF21C9"/>
    <w:pPr>
      <w:tabs>
        <w:tab w:val="center" w:pos="4536"/>
        <w:tab w:val="right" w:pos="9072"/>
      </w:tabs>
    </w:pPr>
  </w:style>
  <w:style w:type="character" w:customStyle="1" w:styleId="FooterChar">
    <w:name w:val="Footer Char"/>
    <w:basedOn w:val="DefaultParagraphFont"/>
    <w:link w:val="Footer"/>
    <w:uiPriority w:val="99"/>
    <w:rsid w:val="00FF21C9"/>
    <w:rPr>
      <w:rFonts w:ascii="Times New Roman" w:eastAsia="MS Mincho" w:hAnsi="Times New Roman" w:cs="Times New Roman"/>
      <w:sz w:val="24"/>
      <w:szCs w:val="24"/>
      <w:lang w:eastAsia="ja-JP"/>
    </w:rPr>
  </w:style>
  <w:style w:type="paragraph" w:customStyle="1" w:styleId="Title1">
    <w:name w:val="Title1"/>
    <w:basedOn w:val="Normal"/>
    <w:rsid w:val="00FF21C9"/>
    <w:rPr>
      <w:b/>
      <w:lang w:val="en-US"/>
    </w:rPr>
  </w:style>
  <w:style w:type="paragraph" w:customStyle="1" w:styleId="AuthorsFull">
    <w:name w:val="Authors Full"/>
    <w:basedOn w:val="Normal"/>
    <w:rsid w:val="00FF21C9"/>
    <w:rPr>
      <w:i/>
      <w:lang w:val="en-US"/>
    </w:rPr>
  </w:style>
  <w:style w:type="paragraph" w:customStyle="1" w:styleId="dedication">
    <w:name w:val="dedication"/>
    <w:basedOn w:val="Normal"/>
    <w:rsid w:val="00FF21C9"/>
    <w:rPr>
      <w:i/>
      <w:lang w:val="en-US"/>
    </w:rPr>
  </w:style>
  <w:style w:type="paragraph" w:customStyle="1" w:styleId="Addresses">
    <w:name w:val="Addresses"/>
    <w:basedOn w:val="Normal"/>
    <w:rsid w:val="00FF21C9"/>
    <w:rPr>
      <w:lang w:val="en-US"/>
    </w:rPr>
  </w:style>
  <w:style w:type="paragraph" w:customStyle="1" w:styleId="Acknowledgements">
    <w:name w:val="Acknowledgements"/>
    <w:basedOn w:val="Normal"/>
    <w:rsid w:val="00FF21C9"/>
    <w:rPr>
      <w:lang w:val="en-US"/>
    </w:rPr>
  </w:style>
  <w:style w:type="paragraph" w:customStyle="1" w:styleId="Abstract">
    <w:name w:val="Abstract"/>
    <w:basedOn w:val="Normal"/>
    <w:autoRedefine/>
    <w:rsid w:val="00616968"/>
    <w:pPr>
      <w:spacing w:line="480" w:lineRule="auto"/>
      <w:jc w:val="both"/>
    </w:pPr>
    <w:rPr>
      <w:color w:val="000000" w:themeColor="text1"/>
      <w:lang w:val="en-US"/>
    </w:rPr>
  </w:style>
  <w:style w:type="paragraph" w:customStyle="1" w:styleId="Head1">
    <w:name w:val="Head 1"/>
    <w:basedOn w:val="Normal"/>
    <w:autoRedefine/>
    <w:rsid w:val="00FF21C9"/>
    <w:pPr>
      <w:spacing w:line="360" w:lineRule="auto"/>
      <w:jc w:val="both"/>
    </w:pPr>
    <w:rPr>
      <w:b/>
      <w:lang w:val="en-US"/>
    </w:rPr>
  </w:style>
  <w:style w:type="paragraph" w:customStyle="1" w:styleId="Head2">
    <w:name w:val="Head 2"/>
    <w:basedOn w:val="Normal"/>
    <w:autoRedefine/>
    <w:rsid w:val="00FF21C9"/>
    <w:pPr>
      <w:spacing w:line="360" w:lineRule="auto"/>
    </w:pPr>
    <w:rPr>
      <w:i/>
      <w:lang w:val="en-US"/>
    </w:rPr>
  </w:style>
  <w:style w:type="paragraph" w:customStyle="1" w:styleId="dates">
    <w:name w:val="dates"/>
    <w:basedOn w:val="Normal"/>
    <w:rsid w:val="00FF21C9"/>
    <w:pPr>
      <w:jc w:val="right"/>
    </w:pPr>
    <w:rPr>
      <w:lang w:val="en-US"/>
    </w:rPr>
  </w:style>
  <w:style w:type="paragraph" w:customStyle="1" w:styleId="Literature">
    <w:name w:val="Literature"/>
    <w:basedOn w:val="Normal"/>
    <w:rsid w:val="00FF21C9"/>
    <w:pPr>
      <w:spacing w:line="480" w:lineRule="auto"/>
    </w:pPr>
  </w:style>
  <w:style w:type="paragraph" w:customStyle="1" w:styleId="Legend">
    <w:name w:val="Legend"/>
    <w:basedOn w:val="Normal"/>
    <w:rsid w:val="00FF21C9"/>
    <w:rPr>
      <w:lang w:val="en-US"/>
    </w:rPr>
  </w:style>
  <w:style w:type="paragraph" w:customStyle="1" w:styleId="MainText">
    <w:name w:val="Main Text"/>
    <w:basedOn w:val="Normal"/>
    <w:link w:val="MainTextChar"/>
    <w:rsid w:val="00FF21C9"/>
    <w:pPr>
      <w:spacing w:line="480" w:lineRule="auto"/>
    </w:pPr>
    <w:rPr>
      <w:lang w:val="en-US"/>
    </w:rPr>
  </w:style>
  <w:style w:type="paragraph" w:customStyle="1" w:styleId="Tableofcontents">
    <w:name w:val="Table of contents"/>
    <w:basedOn w:val="Normal"/>
    <w:autoRedefine/>
    <w:rsid w:val="00F7663B"/>
    <w:pPr>
      <w:tabs>
        <w:tab w:val="left" w:pos="3300"/>
      </w:tabs>
      <w:spacing w:line="360" w:lineRule="auto"/>
    </w:pPr>
    <w:rPr>
      <w:lang w:val="en-US"/>
    </w:rPr>
  </w:style>
  <w:style w:type="paragraph" w:customStyle="1" w:styleId="ExperimentalText">
    <w:name w:val="Experimental Text"/>
    <w:basedOn w:val="Normal"/>
    <w:link w:val="ExperimentalTextChar"/>
    <w:rsid w:val="00FF21C9"/>
    <w:pPr>
      <w:spacing w:line="480" w:lineRule="auto"/>
    </w:pPr>
    <w:rPr>
      <w:lang w:val="en-US"/>
    </w:rPr>
  </w:style>
  <w:style w:type="character" w:customStyle="1" w:styleId="ExperimentalTextChar">
    <w:name w:val="Experimental Text Char"/>
    <w:link w:val="ExperimentalText"/>
    <w:rsid w:val="00FF21C9"/>
    <w:rPr>
      <w:rFonts w:ascii="Times New Roman" w:eastAsia="MS Mincho" w:hAnsi="Times New Roman" w:cs="Times New Roman"/>
      <w:sz w:val="24"/>
      <w:szCs w:val="24"/>
      <w:lang w:val="en-US" w:eastAsia="ja-JP"/>
    </w:rPr>
  </w:style>
  <w:style w:type="character" w:customStyle="1" w:styleId="MainTextChar">
    <w:name w:val="Main Text Char"/>
    <w:link w:val="MainText"/>
    <w:rsid w:val="00FF21C9"/>
    <w:rPr>
      <w:rFonts w:ascii="Times New Roman" w:eastAsia="MS Mincho" w:hAnsi="Times New Roman" w:cs="Times New Roman"/>
      <w:sz w:val="24"/>
      <w:szCs w:val="24"/>
      <w:lang w:val="en-US" w:eastAsia="ja-JP"/>
    </w:rPr>
  </w:style>
  <w:style w:type="paragraph" w:customStyle="1" w:styleId="Title2">
    <w:name w:val="Title2"/>
    <w:basedOn w:val="Normal"/>
    <w:rsid w:val="00FF21C9"/>
    <w:rPr>
      <w:b/>
      <w:lang w:val="en-US"/>
    </w:rPr>
  </w:style>
  <w:style w:type="paragraph" w:customStyle="1" w:styleId="Dedication0">
    <w:name w:val="Dedication"/>
    <w:basedOn w:val="Normal"/>
    <w:autoRedefine/>
    <w:rsid w:val="00FF21C9"/>
    <w:rPr>
      <w:lang w:val="en-US"/>
    </w:rPr>
  </w:style>
  <w:style w:type="paragraph" w:customStyle="1" w:styleId="Maintext0">
    <w:name w:val="Main text"/>
    <w:basedOn w:val="Normal"/>
    <w:link w:val="MaintextChar0"/>
    <w:autoRedefine/>
    <w:rsid w:val="00FF21C9"/>
    <w:pPr>
      <w:spacing w:line="480" w:lineRule="auto"/>
    </w:pPr>
    <w:rPr>
      <w:lang w:val="en-US"/>
    </w:rPr>
  </w:style>
  <w:style w:type="character" w:customStyle="1" w:styleId="MaintextChar0">
    <w:name w:val="Main text Char"/>
    <w:link w:val="Maintext0"/>
    <w:rsid w:val="00FF21C9"/>
    <w:rPr>
      <w:rFonts w:ascii="Times New Roman" w:eastAsia="MS Mincho" w:hAnsi="Times New Roman" w:cs="Times New Roman"/>
      <w:sz w:val="24"/>
      <w:szCs w:val="24"/>
      <w:lang w:val="en-US" w:eastAsia="ja-JP"/>
    </w:rPr>
  </w:style>
  <w:style w:type="paragraph" w:customStyle="1" w:styleId="Biography">
    <w:name w:val="Biography"/>
    <w:basedOn w:val="Normal"/>
    <w:autoRedefine/>
    <w:rsid w:val="00FF21C9"/>
    <w:rPr>
      <w:i/>
      <w:lang w:val="en-US"/>
    </w:rPr>
  </w:style>
  <w:style w:type="character" w:styleId="CommentReference">
    <w:name w:val="annotation reference"/>
    <w:uiPriority w:val="99"/>
    <w:semiHidden/>
    <w:unhideWhenUsed/>
    <w:rsid w:val="00FF21C9"/>
    <w:rPr>
      <w:sz w:val="16"/>
      <w:szCs w:val="16"/>
    </w:rPr>
  </w:style>
  <w:style w:type="paragraph" w:styleId="CommentText">
    <w:name w:val="annotation text"/>
    <w:basedOn w:val="Normal"/>
    <w:link w:val="CommentTextChar"/>
    <w:uiPriority w:val="99"/>
    <w:unhideWhenUsed/>
    <w:rsid w:val="00FF21C9"/>
    <w:rPr>
      <w:sz w:val="20"/>
      <w:szCs w:val="20"/>
      <w:lang w:val="x-none"/>
    </w:rPr>
  </w:style>
  <w:style w:type="character" w:customStyle="1" w:styleId="CommentTextChar">
    <w:name w:val="Comment Text Char"/>
    <w:basedOn w:val="DefaultParagraphFont"/>
    <w:link w:val="CommentText"/>
    <w:uiPriority w:val="99"/>
    <w:rsid w:val="00FF21C9"/>
    <w:rPr>
      <w:rFonts w:ascii="Times New Roman" w:eastAsia="MS Mincho" w:hAnsi="Times New Roman" w:cs="Times New Roman"/>
      <w:sz w:val="20"/>
      <w:szCs w:val="20"/>
      <w:lang w:val="x-none" w:eastAsia="ja-JP"/>
    </w:rPr>
  </w:style>
  <w:style w:type="paragraph" w:styleId="CommentSubject">
    <w:name w:val="annotation subject"/>
    <w:basedOn w:val="CommentText"/>
    <w:next w:val="CommentText"/>
    <w:link w:val="CommentSubjectChar"/>
    <w:uiPriority w:val="99"/>
    <w:semiHidden/>
    <w:unhideWhenUsed/>
    <w:rsid w:val="00FF21C9"/>
    <w:rPr>
      <w:b/>
      <w:bCs/>
    </w:rPr>
  </w:style>
  <w:style w:type="character" w:customStyle="1" w:styleId="CommentSubjectChar">
    <w:name w:val="Comment Subject Char"/>
    <w:basedOn w:val="CommentTextChar"/>
    <w:link w:val="CommentSubject"/>
    <w:uiPriority w:val="99"/>
    <w:semiHidden/>
    <w:rsid w:val="00FF21C9"/>
    <w:rPr>
      <w:rFonts w:ascii="Times New Roman" w:eastAsia="MS Mincho" w:hAnsi="Times New Roman" w:cs="Times New Roman"/>
      <w:b/>
      <w:bCs/>
      <w:sz w:val="20"/>
      <w:szCs w:val="20"/>
      <w:lang w:val="x-none" w:eastAsia="ja-JP"/>
    </w:rPr>
  </w:style>
  <w:style w:type="paragraph" w:styleId="ListParagraph">
    <w:name w:val="List Paragraph"/>
    <w:basedOn w:val="Normal"/>
    <w:uiPriority w:val="34"/>
    <w:qFormat/>
    <w:rsid w:val="00FF21C9"/>
    <w:pPr>
      <w:ind w:left="720"/>
      <w:contextualSpacing/>
    </w:pPr>
  </w:style>
  <w:style w:type="paragraph" w:styleId="Caption">
    <w:name w:val="caption"/>
    <w:basedOn w:val="Normal"/>
    <w:next w:val="Normal"/>
    <w:uiPriority w:val="35"/>
    <w:unhideWhenUsed/>
    <w:qFormat/>
    <w:rsid w:val="00FF21C9"/>
    <w:pPr>
      <w:spacing w:after="200"/>
    </w:pPr>
    <w:rPr>
      <w:i/>
      <w:iCs/>
      <w:color w:val="44546A" w:themeColor="text2"/>
      <w:sz w:val="18"/>
      <w:szCs w:val="18"/>
    </w:rPr>
  </w:style>
  <w:style w:type="character" w:styleId="Emphasis">
    <w:name w:val="Emphasis"/>
    <w:basedOn w:val="DefaultParagraphFont"/>
    <w:uiPriority w:val="20"/>
    <w:qFormat/>
    <w:rsid w:val="00FF21C9"/>
    <w:rPr>
      <w:i/>
      <w:iCs/>
    </w:rPr>
  </w:style>
  <w:style w:type="character" w:styleId="Hyperlink">
    <w:name w:val="Hyperlink"/>
    <w:basedOn w:val="DefaultParagraphFont"/>
    <w:uiPriority w:val="99"/>
    <w:unhideWhenUsed/>
    <w:rsid w:val="00FF21C9"/>
    <w:rPr>
      <w:color w:val="0563C1" w:themeColor="hyperlink"/>
      <w:u w:val="single"/>
    </w:rPr>
  </w:style>
  <w:style w:type="character" w:styleId="UnresolvedMention">
    <w:name w:val="Unresolved Mention"/>
    <w:basedOn w:val="DefaultParagraphFont"/>
    <w:uiPriority w:val="99"/>
    <w:semiHidden/>
    <w:unhideWhenUsed/>
    <w:rsid w:val="00FF21C9"/>
    <w:rPr>
      <w:color w:val="605E5C"/>
      <w:shd w:val="clear" w:color="auto" w:fill="E1DFDD"/>
    </w:rPr>
  </w:style>
  <w:style w:type="character" w:styleId="FollowedHyperlink">
    <w:name w:val="FollowedHyperlink"/>
    <w:basedOn w:val="DefaultParagraphFont"/>
    <w:uiPriority w:val="99"/>
    <w:semiHidden/>
    <w:unhideWhenUsed/>
    <w:rsid w:val="00FF21C9"/>
    <w:rPr>
      <w:color w:val="954F72" w:themeColor="followedHyperlink"/>
      <w:u w:val="single"/>
    </w:rPr>
  </w:style>
  <w:style w:type="paragraph" w:styleId="Revision">
    <w:name w:val="Revision"/>
    <w:hidden/>
    <w:uiPriority w:val="99"/>
    <w:semiHidden/>
    <w:rsid w:val="00FF21C9"/>
    <w:pPr>
      <w:spacing w:after="0" w:line="240" w:lineRule="auto"/>
    </w:pPr>
    <w:rPr>
      <w:rFonts w:ascii="Times New Roman" w:eastAsia="MS Mincho" w:hAnsi="Times New Roman" w:cs="Times New Roman"/>
      <w:sz w:val="24"/>
      <w:szCs w:val="24"/>
      <w:lang w:val="de-DE" w:eastAsia="ja-JP"/>
    </w:rPr>
  </w:style>
  <w:style w:type="character" w:styleId="PlaceholderText">
    <w:name w:val="Placeholder Text"/>
    <w:basedOn w:val="DefaultParagraphFont"/>
    <w:uiPriority w:val="99"/>
    <w:semiHidden/>
    <w:rsid w:val="002A216F"/>
    <w:rPr>
      <w:color w:val="808080"/>
    </w:rPr>
  </w:style>
  <w:style w:type="paragraph" w:styleId="NormalWeb">
    <w:name w:val="Normal (Web)"/>
    <w:basedOn w:val="Normal"/>
    <w:uiPriority w:val="99"/>
    <w:semiHidden/>
    <w:unhideWhenUsed/>
    <w:rsid w:val="00ED5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58389">
      <w:bodyDiv w:val="1"/>
      <w:marLeft w:val="0"/>
      <w:marRight w:val="0"/>
      <w:marTop w:val="0"/>
      <w:marBottom w:val="0"/>
      <w:divBdr>
        <w:top w:val="none" w:sz="0" w:space="0" w:color="auto"/>
        <w:left w:val="none" w:sz="0" w:space="0" w:color="auto"/>
        <w:bottom w:val="none" w:sz="0" w:space="0" w:color="auto"/>
        <w:right w:val="none" w:sz="0" w:space="0" w:color="auto"/>
      </w:divBdr>
      <w:divsChild>
        <w:div w:id="2097356797">
          <w:marLeft w:val="0"/>
          <w:marRight w:val="0"/>
          <w:marTop w:val="0"/>
          <w:marBottom w:val="0"/>
          <w:divBdr>
            <w:top w:val="none" w:sz="0" w:space="0" w:color="auto"/>
            <w:left w:val="none" w:sz="0" w:space="0" w:color="auto"/>
            <w:bottom w:val="none" w:sz="0" w:space="0" w:color="auto"/>
            <w:right w:val="none" w:sz="0" w:space="0" w:color="auto"/>
          </w:divBdr>
          <w:divsChild>
            <w:div w:id="302539829">
              <w:marLeft w:val="0"/>
              <w:marRight w:val="0"/>
              <w:marTop w:val="0"/>
              <w:marBottom w:val="0"/>
              <w:divBdr>
                <w:top w:val="none" w:sz="0" w:space="0" w:color="auto"/>
                <w:left w:val="none" w:sz="0" w:space="0" w:color="auto"/>
                <w:bottom w:val="none" w:sz="0" w:space="0" w:color="auto"/>
                <w:right w:val="none" w:sz="0" w:space="0" w:color="auto"/>
              </w:divBdr>
              <w:divsChild>
                <w:div w:id="7049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78E7A-1798-48BD-B7DE-D2AEBDE9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2973</Words>
  <Characters>16949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Macalester</dc:creator>
  <cp:keywords/>
  <dc:description/>
  <cp:lastModifiedBy>Asme Boussahel</cp:lastModifiedBy>
  <cp:revision>2</cp:revision>
  <cp:lastPrinted>2023-07-12T18:08:00Z</cp:lastPrinted>
  <dcterms:created xsi:type="dcterms:W3CDTF">2023-10-12T09:23:00Z</dcterms:created>
  <dcterms:modified xsi:type="dcterms:W3CDTF">2023-10-12T09:23:00Z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ee4e259c-6132-3452-8603-a5df00f9a901</vt:lpwstr>
  </property>
  <property fmtid="{D5CDD505-2E9C-101B-9397-08002B2CF9AE}" pid="4" name="Mendeley Citation Style_1">
    <vt:lpwstr>http://www.zotero.org/styles/advanced-healthcare-materials</vt:lpwstr>
  </property>
  <property fmtid="{D5CDD505-2E9C-101B-9397-08002B2CF9AE}" pid="5" name="Mendeley Recent Style Id 0_1">
    <vt:lpwstr>http://www.zotero.org/styles/advanced-healthcare-materials</vt:lpwstr>
  </property>
  <property fmtid="{D5CDD505-2E9C-101B-9397-08002B2CF9AE}" pid="6" name="Mendeley Recent Style Name 0_1">
    <vt:lpwstr>Advanced Healthcare Materials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