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24" w:tblpY="2518"/>
        <w:tblOverlap w:val="never"/>
        <w:tblW w:w="9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32"/>
        <w:gridCol w:w="1536"/>
        <w:gridCol w:w="1584"/>
        <w:gridCol w:w="1608"/>
        <w:gridCol w:w="1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rtl w:val="0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he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eventh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ational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ensus (2020 years)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25-34 years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(row, %)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35-44 years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(row, %)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45-54 years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(row, %)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55-64 years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(row, %)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(col, 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18714707 (24.72%)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18149398 (23.97%)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20819304 (27.50%)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18034343 (23.82%)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75717752 (18.48%)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18107965 (31.71%)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15285972 (26.77%)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14377131 (25.17%)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9339728 (16.35%)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57110796 (13.94%)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23827761 (26.76%)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20035144 (22.50%)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27553238 (30.94%)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17630424 (19.80%)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89046567 (21.73%)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33722065 (26.71%)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29730116 (23.55%)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35966024 (28.48%)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26846201 (21.26%)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126264406 (30.81%)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16013902 (25.96%)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13608390 (22.06%)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18225162 (29.54%)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13842601 (22.44%)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61690055 (15.05%)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Sub-total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409829576 (51.06%)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17787663 (24.19%)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17287127 (23.51%)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20287165 (27.59%)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18171622 (24.71%)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73533577 (18.72%)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15302590 (30.01%)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13467005 (26.41%)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13251034 (25.99%)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8967175 (17.59%)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50987804 (12.98%)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22355296 (26.29%)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18833672 (22.14%)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26633688 (31.32%)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17225767 (20.25%)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85048423 (21.65%)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31185538 (25.61%)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28595227 (23.49%)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35300622 (28.99%)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26667102 (21.90%)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121748489 (30.99%)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15730801 (25.55%)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13525868 (21.97%)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18286912 (29.70%)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14019325 (22.77%)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61562906 (15.67%)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Sub-total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392881199 (48.94%)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802710775 (100.00%)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rtl w:val="0"/>
                <w:lang w:val="en-US" w:eastAsia="zh-CN"/>
              </w:rPr>
              <w:t>Our study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749 (24.18%)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713 (23.02%)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859 (27.74%)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776 (25.06%)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3097 (18.60%)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710 (29.58%)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686 (28.58%)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577 (24.04%)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427 (17.79%)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2400 (14.41%)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934 (26.53%)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812 (23.06%)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1081 (30.70%)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694 (19.71%)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3521 (21.14%)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1337 (26.27%)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1174 (23.07%)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1466 (28.81%)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1112 (21.85%)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5089 (30.56%)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638 (25.07%)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593 (23.30%)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716 (28.13%)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598 (23.50%)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2545 (15.28%)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Sub-total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16652 (51.19%)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754 (25.31%)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709 (23.80%)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829 (27.83%)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687 (23.06%)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2979 (18.76%)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622 (29.89%)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546 (26.24%)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538 (25.85%)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375 (18.02%)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2081 (13.11%)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909 (26.50%)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767 (22.36%)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1078 (31.43%)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676 (19.71%)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3430 (21.60%)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East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1269 (25.87%)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1146 (23.36%)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1413 (28.80%)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1078 (21.97%)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4906 (30.90%)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China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637 (25.69%)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541 (21.81%)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736 (29.68%)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566 (22.82%)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2480 (15.62%)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Sub-total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15876 (48.81%)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Total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32528 (100.00%)</w:t>
            </w:r>
          </w:p>
        </w:tc>
      </w:tr>
    </w:tbl>
    <w:p/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rtl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rtl w:val="0"/>
          <w:lang w:val="en-US" w:eastAsia="zh-CN"/>
        </w:rPr>
        <w:t xml:space="preserve">Table S1. The ratios and numbers by ages and genders in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eventh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ational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ensus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and our study</w:t>
      </w: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rtl w:val="0"/>
          <w:lang w:val="en-US" w:eastAsia="zh-CN"/>
        </w:rPr>
        <w:t xml:space="preserve">Table S2. Prevalence of current smoking in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China Health Literacy Survey and our study</w:t>
      </w:r>
    </w:p>
    <w:tbl>
      <w:tblPr>
        <w:tblStyle w:val="2"/>
        <w:tblpPr w:leftFromText="180" w:rightFromText="180" w:vertAnchor="text" w:horzAnchor="page" w:tblpX="2418" w:tblpY="304"/>
        <w:tblOverlap w:val="never"/>
        <w:tblW w:w="68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752"/>
        <w:gridCol w:w="168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China Health Literacy Survey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Our study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Age group, years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Prevalence (%)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Age group, years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Prevalence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20-29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21.9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25-29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30-39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40-49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40-49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50-59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50-59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60-69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60-65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Total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24.3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26.77</w:t>
            </w:r>
          </w:p>
        </w:tc>
      </w:tr>
    </w:tbl>
    <w:p>
      <w:pP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Sz512623@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ZWIwNmUwZDA1MDc4ZjQwYjNlZTk5M2EwMzA2MzEifQ=="/>
  </w:docVars>
  <w:rsids>
    <w:rsidRoot w:val="77837B62"/>
    <w:rsid w:val="3DBF4957"/>
    <w:rsid w:val="595A33FB"/>
    <w:rsid w:val="77837B62"/>
    <w:rsid w:val="77B62A5D"/>
    <w:rsid w:val="7EAB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365</Words>
  <Characters>2197</Characters>
  <Lines>0</Lines>
  <Paragraphs>0</Paragraphs>
  <TotalTime>1</TotalTime>
  <ScaleCrop>false</ScaleCrop>
  <LinksUpToDate>false</LinksUpToDate>
  <CharactersWithSpaces>2385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2023-05-25T02:37:00Z</dcterms:created>
  <dc:creator>苏征</dc:creator>
  <cp:lastModifiedBy>苏征</cp:lastModifiedBy>
  <dcterms:modified xsi:type="dcterms:W3CDTF">2023-06-06T05:39:55Z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CA7761D7B2074520A5CECE098FD49ECD_11</vt:lpwstr>
  </property>
</Properties>
</file>