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Times New Roman" w:hAnsi="Times New Roman" w:eastAsia="宋体" w:cs="Times New Roman"/>
          <w:b/>
          <w:bCs/>
          <w:kern w:val="0"/>
          <w:szCs w:val="21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Times New Roman" w:hAnsi="Times New Roman" w:eastAsia="宋体" w:cs="Times New Roman"/>
          <w:b/>
          <w:bCs/>
          <w:kern w:val="0"/>
          <w:szCs w:val="21"/>
          <w:lang w:bidi="ar"/>
        </w:rPr>
      </w:pPr>
      <w:r>
        <w:rPr>
          <w:rFonts w:ascii="Times New Roman" w:hAnsi="Times New Roman" w:eastAsia="宋体" w:cs="Times New Roman"/>
          <w:b/>
          <w:bCs/>
          <w:kern w:val="0"/>
          <w:szCs w:val="21"/>
          <w:lang w:bidi="ar"/>
        </w:rPr>
        <w:t>Table 1 Differences in performance parameters of YOLOX-l compared with other models</w:t>
      </w: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380"/>
        <w:gridCol w:w="1834"/>
        <w:gridCol w:w="1374"/>
        <w:gridCol w:w="1374"/>
        <w:gridCol w:w="13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Model</w:t>
            </w:r>
          </w:p>
        </w:tc>
        <w:tc>
          <w:tcPr>
            <w:tcW w:w="81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11827"/>
                <w:szCs w:val="21"/>
              </w:rPr>
              <w:t>Input Resolution</w:t>
            </w:r>
          </w:p>
        </w:tc>
        <w:tc>
          <w:tcPr>
            <w:tcW w:w="107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 xml:space="preserve">Mean average precision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111827"/>
                <w:szCs w:val="21"/>
              </w:rPr>
              <w:t>mAP</w:t>
            </w:r>
            <w:r>
              <w:rPr>
                <w:rFonts w:hint="eastAsia" w:ascii="Times New Roman" w:hAnsi="Times New Roman" w:cs="Times New Roman"/>
                <w:b/>
                <w:bCs/>
                <w:color w:val="111827"/>
                <w:szCs w:val="21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111827"/>
                <w:szCs w:val="21"/>
              </w:rPr>
              <w:t xml:space="preserve"> (%)</w:t>
            </w:r>
          </w:p>
        </w:tc>
        <w:tc>
          <w:tcPr>
            <w:tcW w:w="8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11827"/>
                <w:szCs w:val="21"/>
              </w:rPr>
              <w:t>Size (MB)</w:t>
            </w:r>
          </w:p>
        </w:tc>
        <w:tc>
          <w:tcPr>
            <w:tcW w:w="8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color w:val="111827"/>
                <w:szCs w:val="21"/>
              </w:rPr>
              <w:t>Inference Speed (FPS)</w:t>
            </w:r>
          </w:p>
        </w:tc>
        <w:tc>
          <w:tcPr>
            <w:tcW w:w="80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color w:val="111827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11827"/>
                <w:szCs w:val="21"/>
              </w:rPr>
              <w:t>Training Time (hours)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YOLOX-s</w:t>
            </w:r>
          </w:p>
        </w:tc>
        <w:tc>
          <w:tcPr>
            <w:tcW w:w="81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640×640</w:t>
            </w:r>
          </w:p>
        </w:tc>
        <w:tc>
          <w:tcPr>
            <w:tcW w:w="107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76.39</w:t>
            </w:r>
          </w:p>
        </w:tc>
        <w:tc>
          <w:tcPr>
            <w:tcW w:w="80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32.0</w:t>
            </w:r>
          </w:p>
        </w:tc>
        <w:tc>
          <w:tcPr>
            <w:tcW w:w="80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52</w:t>
            </w:r>
          </w:p>
        </w:tc>
        <w:tc>
          <w:tcPr>
            <w:tcW w:w="80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YOLOX-m</w:t>
            </w:r>
          </w:p>
        </w:tc>
        <w:tc>
          <w:tcPr>
            <w:tcW w:w="81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640×640</w:t>
            </w:r>
          </w:p>
        </w:tc>
        <w:tc>
          <w:tcPr>
            <w:tcW w:w="107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83.69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90.2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43</w:t>
            </w:r>
          </w:p>
        </w:tc>
        <w:tc>
          <w:tcPr>
            <w:tcW w:w="80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YOLOX-l</w:t>
            </w:r>
          </w:p>
        </w:tc>
        <w:tc>
          <w:tcPr>
            <w:tcW w:w="810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640×640</w:t>
            </w:r>
          </w:p>
        </w:tc>
        <w:tc>
          <w:tcPr>
            <w:tcW w:w="1076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91.73</w:t>
            </w:r>
          </w:p>
        </w:tc>
        <w:tc>
          <w:tcPr>
            <w:tcW w:w="806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192.9</w:t>
            </w:r>
          </w:p>
        </w:tc>
        <w:tc>
          <w:tcPr>
            <w:tcW w:w="806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28</w:t>
            </w:r>
          </w:p>
        </w:tc>
        <w:tc>
          <w:tcPr>
            <w:tcW w:w="807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20</w:t>
            </w:r>
          </w:p>
        </w:tc>
      </w:tr>
    </w:tbl>
    <w:p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kern w:val="0"/>
          <w:szCs w:val="28"/>
          <w:lang w:bidi="ar"/>
        </w:rPr>
      </w:pPr>
      <w:r>
        <w:rPr>
          <w:rFonts w:ascii="Times New Roman" w:hAnsi="Times New Roman" w:cs="Times New Roman"/>
          <w:b/>
          <w:kern w:val="0"/>
          <w:szCs w:val="28"/>
          <w:lang w:bidi="ar"/>
        </w:rPr>
        <w:t xml:space="preserve">Table 2 </w:t>
      </w:r>
      <w:r>
        <w:rPr>
          <w:rFonts w:hint="eastAsia" w:ascii="Times New Roman" w:hAnsi="Times New Roman" w:cs="Times New Roman"/>
          <w:b/>
          <w:kern w:val="0"/>
          <w:szCs w:val="28"/>
          <w:lang w:bidi="ar"/>
        </w:rPr>
        <w:t xml:space="preserve">the </w:t>
      </w:r>
      <w:r>
        <w:rPr>
          <w:rFonts w:ascii="Times New Roman" w:hAnsi="Times New Roman" w:cs="Times New Roman"/>
          <w:b/>
          <w:kern w:val="0"/>
          <w:szCs w:val="28"/>
          <w:lang w:bidi="ar"/>
        </w:rPr>
        <w:t xml:space="preserve">setting intervals and </w:t>
      </w:r>
      <w:r>
        <w:rPr>
          <w:rFonts w:hint="eastAsia" w:ascii="Times New Roman" w:hAnsi="Times New Roman" w:cs="Times New Roman"/>
          <w:b/>
          <w:kern w:val="0"/>
          <w:szCs w:val="28"/>
          <w:lang w:bidi="ar"/>
        </w:rPr>
        <w:t xml:space="preserve">results of </w:t>
      </w:r>
      <w:r>
        <w:rPr>
          <w:rFonts w:ascii="Times New Roman" w:hAnsi="Times New Roman" w:cs="Times New Roman"/>
          <w:b/>
          <w:kern w:val="0"/>
          <w:szCs w:val="28"/>
          <w:lang w:bidi="ar"/>
        </w:rPr>
        <w:t>Bayesian optimization hyperparameter</w:t>
      </w:r>
      <w:r>
        <w:rPr>
          <w:rFonts w:hint="eastAsia" w:ascii="Times New Roman" w:hAnsi="Times New Roman" w:cs="Times New Roman"/>
          <w:b/>
          <w:kern w:val="0"/>
          <w:szCs w:val="28"/>
          <w:lang w:bidi="ar"/>
        </w:rPr>
        <w:t>s</w:t>
      </w:r>
    </w:p>
    <w:tbl>
      <w:tblPr>
        <w:tblStyle w:val="3"/>
        <w:tblW w:w="5000" w:type="pct"/>
        <w:jc w:val="center"/>
        <w:tblCellSpacing w:w="15" w:type="dxa"/>
        <w:shd w:val="clear" w:color="auto" w:fill="F7F7F8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49"/>
        <w:gridCol w:w="2226"/>
        <w:gridCol w:w="3321"/>
      </w:tblGrid>
      <w:tr>
        <w:tblPrEx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  <w:jc w:val="center"/>
        </w:trPr>
        <w:tc>
          <w:tcPr>
            <w:tcW w:w="1670" w:type="pct"/>
            <w:tcBorders>
              <w:top w:val="single" w:color="auto" w:sz="4" w:space="0"/>
              <w:bottom w:val="single" w:color="auto" w:sz="4" w:space="0"/>
            </w:tcBorders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Hyperparameter</w:t>
            </w:r>
          </w:p>
        </w:tc>
        <w:tc>
          <w:tcPr>
            <w:tcW w:w="1308" w:type="pct"/>
            <w:tcBorders>
              <w:top w:val="single" w:color="auto" w:sz="4" w:space="0"/>
              <w:bottom w:val="single" w:color="auto" w:sz="4" w:space="0"/>
            </w:tcBorders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Optimization interval</w:t>
            </w:r>
          </w:p>
        </w:tc>
        <w:tc>
          <w:tcPr>
            <w:tcW w:w="1951" w:type="pct"/>
            <w:tcBorders>
              <w:top w:val="single" w:color="auto" w:sz="4" w:space="0"/>
              <w:bottom w:val="single" w:color="auto" w:sz="4" w:space="0"/>
            </w:tcBorders>
            <w:shd w:val="clear" w:color="auto" w:fill="F7F7F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Optimal Results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70" w:type="pct"/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Learning rate</w:t>
            </w:r>
          </w:p>
        </w:tc>
        <w:tc>
          <w:tcPr>
            <w:tcW w:w="1308" w:type="pct"/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[0.001, 0.1]</w:t>
            </w:r>
          </w:p>
        </w:tc>
        <w:tc>
          <w:tcPr>
            <w:tcW w:w="1951" w:type="pct"/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0.03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70" w:type="pct"/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Batch size</w:t>
            </w:r>
          </w:p>
        </w:tc>
        <w:tc>
          <w:tcPr>
            <w:tcW w:w="1308" w:type="pct"/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[16, 64]</w:t>
            </w:r>
          </w:p>
        </w:tc>
        <w:tc>
          <w:tcPr>
            <w:tcW w:w="1951" w:type="pct"/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670" w:type="pct"/>
            <w:tcBorders>
              <w:bottom w:val="single" w:color="auto" w:sz="4" w:space="0"/>
            </w:tcBorders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Sliding average attenuation</w:t>
            </w:r>
          </w:p>
        </w:tc>
        <w:tc>
          <w:tcPr>
            <w:tcW w:w="1308" w:type="pct"/>
            <w:tcBorders>
              <w:bottom w:val="single" w:color="auto" w:sz="4" w:space="0"/>
            </w:tcBorders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[0.9, 0.99]</w:t>
            </w:r>
          </w:p>
        </w:tc>
        <w:tc>
          <w:tcPr>
            <w:tcW w:w="1951" w:type="pct"/>
            <w:tcBorders>
              <w:bottom w:val="single" w:color="auto" w:sz="4" w:space="0"/>
            </w:tcBorders>
            <w:shd w:val="clear" w:color="auto" w:fill="F7F7F8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0.95</w:t>
            </w:r>
          </w:p>
        </w:tc>
      </w:tr>
    </w:tbl>
    <w:p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jc w:val="center"/>
        <w:rPr>
          <w:rFonts w:ascii="Times New Roman" w:hAnsi="Times New Roman" w:cs="Times New Roman"/>
          <w:b/>
          <w:bCs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3 Consistency between </w:t>
      </w:r>
      <w:r>
        <w:rPr>
          <w:rFonts w:hint="eastAsia"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 xml:space="preserve">anual </w:t>
      </w:r>
      <w:r>
        <w:rPr>
          <w:rFonts w:hint="eastAsia"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valuation and </w:t>
      </w:r>
      <w:r>
        <w:rPr>
          <w:rFonts w:hint="eastAsia"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 xml:space="preserve">odel </w:t>
      </w:r>
      <w:r>
        <w:rPr>
          <w:rFonts w:hint="eastAsia"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valuation of </w:t>
      </w:r>
      <w:r>
        <w:rPr>
          <w:rFonts w:hint="eastAsia" w:ascii="Times New Roman" w:hAnsi="Times New Roman" w:cs="Times New Roman"/>
          <w:b/>
          <w:bCs/>
        </w:rPr>
        <w:t>up and down stairs</w:t>
      </w:r>
      <w:r>
        <w:rPr>
          <w:rFonts w:ascii="Times New Roman" w:hAnsi="Times New Roman" w:cs="Times New Roman"/>
          <w:b/>
          <w:bCs/>
        </w:rPr>
        <w:t>（Kappa）</w:t>
      </w:r>
    </w:p>
    <w:tbl>
      <w:tblPr>
        <w:tblStyle w:val="7"/>
        <w:tblpPr w:leftFromText="180" w:rightFromText="180" w:vertAnchor="text" w:horzAnchor="page" w:tblpXSpec="center" w:tblpY="267"/>
        <w:tblOverlap w:val="never"/>
        <w:tblW w:w="8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8"/>
        <w:gridCol w:w="1200"/>
        <w:gridCol w:w="1039"/>
        <w:gridCol w:w="1061"/>
        <w:gridCol w:w="1131"/>
        <w:gridCol w:w="946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68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ind w:left="127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odel 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valuatio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  <w:t>n</w:t>
            </w:r>
          </w:p>
        </w:tc>
        <w:tc>
          <w:tcPr>
            <w:tcW w:w="5377" w:type="dxa"/>
            <w:gridSpan w:val="5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anual 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valuation</w:t>
            </w:r>
          </w:p>
        </w:tc>
        <w:tc>
          <w:tcPr>
            <w:tcW w:w="1258" w:type="dxa"/>
            <w:vMerge w:val="restart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ind w:left="423"/>
              <w:jc w:val="center"/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68" w:type="dxa"/>
            <w:vMerge w:val="continue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ind w:left="127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200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39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06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3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46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58" w:type="dxa"/>
            <w:vMerge w:val="continue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ind w:left="423"/>
              <w:jc w:val="center"/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56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ind w:left="12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00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26</w:t>
            </w:r>
          </w:p>
        </w:tc>
        <w:tc>
          <w:tcPr>
            <w:tcW w:w="1039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6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3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46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  <w:t>29</w:t>
            </w:r>
            <w:r>
              <w:rPr>
                <w:rFonts w:ascii="Times New Roman" w:hAnsi="Times New Roman" w:cs="Times New Roman"/>
                <w:spacing w:val="24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  <w:t>(69.0%)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56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line="360" w:lineRule="auto"/>
              <w:ind w:left="14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00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39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6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46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1"/>
                <w:position w:val="3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pacing w:val="21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position w:val="3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spacing w:val="-31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position w:val="3"/>
                <w:sz w:val="21"/>
                <w:szCs w:val="21"/>
              </w:rPr>
              <w:t>14.3%)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56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8" w:line="360" w:lineRule="auto"/>
              <w:ind w:left="1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00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8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39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8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6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8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3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8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946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8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pacing w:val="14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  <w:t>(7.1%)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6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line="360" w:lineRule="auto"/>
              <w:ind w:left="12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00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39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6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46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5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pacing w:val="19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  <w:t>(9.5%)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56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7" w:line="360" w:lineRule="auto"/>
              <w:ind w:left="12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4</w:t>
            </w:r>
          </w:p>
        </w:tc>
        <w:tc>
          <w:tcPr>
            <w:tcW w:w="1200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6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39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6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6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6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6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46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6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5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" w:line="360" w:lineRule="auto"/>
              <w:ind w:right="1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(0.0%)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56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200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6" w:line="360" w:lineRule="auto"/>
              <w:ind w:right="1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26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1"/>
                <w:szCs w:val="21"/>
              </w:rPr>
              <w:t>(61.9%)</w:t>
            </w:r>
          </w:p>
        </w:tc>
        <w:tc>
          <w:tcPr>
            <w:tcW w:w="1039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8" w:line="360" w:lineRule="auto"/>
              <w:ind w:right="11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(9.5%)</w:t>
            </w:r>
          </w:p>
        </w:tc>
        <w:tc>
          <w:tcPr>
            <w:tcW w:w="106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6" w:line="360" w:lineRule="auto"/>
              <w:ind w:right="12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(4.8%)</w:t>
            </w:r>
          </w:p>
        </w:tc>
        <w:tc>
          <w:tcPr>
            <w:tcW w:w="113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0" w:line="360" w:lineRule="auto"/>
              <w:ind w:right="12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16.7%)</w:t>
            </w:r>
          </w:p>
        </w:tc>
        <w:tc>
          <w:tcPr>
            <w:tcW w:w="946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6" w:line="360" w:lineRule="auto"/>
              <w:ind w:right="1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(7.1%)</w:t>
            </w:r>
          </w:p>
        </w:tc>
        <w:tc>
          <w:tcPr>
            <w:tcW w:w="125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56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 xml:space="preserve">Weighted Kappa 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6635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9" w:line="360" w:lineRule="auto"/>
              <w:ind w:left="2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Arial" w:cs="Times New Roman"/>
                <w:spacing w:val="3"/>
                <w:szCs w:val="21"/>
              </w:rPr>
              <w:t>0.76180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156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Standard error</w:t>
            </w:r>
          </w:p>
        </w:tc>
        <w:tc>
          <w:tcPr>
            <w:tcW w:w="6635" w:type="dxa"/>
            <w:gridSpan w:val="6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pacing w:val="3"/>
                <w:sz w:val="21"/>
                <w:szCs w:val="21"/>
              </w:rPr>
              <w:t>0.08360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568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95% CI</w:t>
            </w:r>
          </w:p>
        </w:tc>
        <w:tc>
          <w:tcPr>
            <w:tcW w:w="6635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"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Arial" w:cs="Times New Roman"/>
                <w:spacing w:val="3"/>
                <w:position w:val="3"/>
                <w:szCs w:val="21"/>
              </w:rPr>
              <w:t>0.59795 -</w:t>
            </w:r>
            <w:r>
              <w:rPr>
                <w:rFonts w:ascii="Times New Roman" w:hAnsi="Times New Roman" w:eastAsia="Arial" w:cs="Times New Roman"/>
                <w:spacing w:val="13"/>
                <w:position w:val="3"/>
                <w:szCs w:val="21"/>
              </w:rPr>
              <w:t xml:space="preserve"> </w:t>
            </w:r>
            <w:r>
              <w:rPr>
                <w:rFonts w:ascii="Times New Roman" w:hAnsi="Times New Roman" w:eastAsia="Arial" w:cs="Times New Roman"/>
                <w:spacing w:val="3"/>
                <w:position w:val="3"/>
                <w:szCs w:val="21"/>
              </w:rPr>
              <w:t>0.92565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</w:t>
      </w:r>
      <w:r>
        <w:rPr>
          <w:rFonts w:hint="eastAsia" w:ascii="Times New Roman" w:hAnsi="Times New Roman" w:cs="Times New Roman"/>
          <w:vertAlign w:val="superscript"/>
        </w:rPr>
        <w:t xml:space="preserve">a </w:t>
      </w:r>
      <w:r>
        <w:rPr>
          <w:rFonts w:ascii="Times New Roman" w:hAnsi="Times New Roman" w:cs="Times New Roman"/>
        </w:rPr>
        <w:t>Quadratic weighting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jc w:val="center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 xml:space="preserve">4   Consistency between </w:t>
      </w:r>
      <w:r>
        <w:rPr>
          <w:rFonts w:hint="eastAsia"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 xml:space="preserve">anual </w:t>
      </w:r>
      <w:r>
        <w:rPr>
          <w:rFonts w:hint="eastAsia"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valuation and </w:t>
      </w:r>
      <w:r>
        <w:rPr>
          <w:rFonts w:hint="eastAsia"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 xml:space="preserve">odel </w:t>
      </w:r>
      <w:r>
        <w:rPr>
          <w:rFonts w:hint="eastAsia"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valuation of </w:t>
      </w:r>
      <w:r>
        <w:rPr>
          <w:rFonts w:hint="eastAsia" w:ascii="Times New Roman" w:hAnsi="Times New Roman" w:cs="Times New Roman"/>
          <w:b/>
          <w:bCs/>
        </w:rPr>
        <w:t>walking on uneven floor</w:t>
      </w:r>
      <w:r>
        <w:rPr>
          <w:rFonts w:ascii="Times New Roman" w:hAnsi="Times New Roman" w:cs="Times New Roman"/>
          <w:b/>
          <w:bCs/>
        </w:rPr>
        <w:t>（Kappa）</w:t>
      </w:r>
    </w:p>
    <w:tbl>
      <w:tblPr>
        <w:tblStyle w:val="7"/>
        <w:tblpPr w:leftFromText="180" w:rightFromText="180" w:vertAnchor="text" w:horzAnchor="page" w:tblpXSpec="center" w:tblpY="267"/>
        <w:tblOverlap w:val="never"/>
        <w:tblW w:w="8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2"/>
        <w:gridCol w:w="1002"/>
        <w:gridCol w:w="1039"/>
        <w:gridCol w:w="1061"/>
        <w:gridCol w:w="1131"/>
        <w:gridCol w:w="946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82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ind w:left="127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odel 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valuation</w:t>
            </w:r>
          </w:p>
        </w:tc>
        <w:tc>
          <w:tcPr>
            <w:tcW w:w="5179" w:type="dxa"/>
            <w:gridSpan w:val="5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anual 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valuation</w:t>
            </w:r>
          </w:p>
        </w:tc>
        <w:tc>
          <w:tcPr>
            <w:tcW w:w="1258" w:type="dxa"/>
            <w:vMerge w:val="restart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ind w:left="423"/>
              <w:jc w:val="center"/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82" w:type="dxa"/>
            <w:vMerge w:val="continue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ind w:left="127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02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39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06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31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46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58" w:type="dxa"/>
            <w:vMerge w:val="continue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ind w:left="423"/>
              <w:jc w:val="center"/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58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tabs>
                <w:tab w:val="left" w:pos="2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0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039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0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3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46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5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(35.7%)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58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00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9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0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6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5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(19.0%)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58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100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9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3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6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5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(9.5%)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58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00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9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3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46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5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(9.5%)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58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4</w:t>
            </w:r>
          </w:p>
        </w:tc>
        <w:tc>
          <w:tcPr>
            <w:tcW w:w="100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9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3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46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25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(26.2%)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582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0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8(19.0%)</w:t>
            </w:r>
          </w:p>
        </w:tc>
        <w:tc>
          <w:tcPr>
            <w:tcW w:w="1039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14(33.3%)</w:t>
            </w:r>
          </w:p>
        </w:tc>
        <w:tc>
          <w:tcPr>
            <w:tcW w:w="10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13(31.0%)</w:t>
            </w:r>
          </w:p>
        </w:tc>
        <w:tc>
          <w:tcPr>
            <w:tcW w:w="113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3(7.1%)</w:t>
            </w:r>
          </w:p>
        </w:tc>
        <w:tc>
          <w:tcPr>
            <w:tcW w:w="946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4(9.5%)</w:t>
            </w:r>
          </w:p>
        </w:tc>
        <w:tc>
          <w:tcPr>
            <w:tcW w:w="125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582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 xml:space="preserve">Weighted Kappa 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vertAlign w:val="superscript"/>
                <w:lang w:eastAsia="zh-CN"/>
              </w:rPr>
              <w:t>a</w:t>
            </w:r>
          </w:p>
        </w:tc>
        <w:tc>
          <w:tcPr>
            <w:tcW w:w="6437" w:type="dxa"/>
            <w:gridSpan w:val="6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0.64148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1582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Standard error</w:t>
            </w:r>
          </w:p>
        </w:tc>
        <w:tc>
          <w:tcPr>
            <w:tcW w:w="6437" w:type="dxa"/>
            <w:gridSpan w:val="6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0.09416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582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95% CI</w:t>
            </w:r>
          </w:p>
        </w:tc>
        <w:tc>
          <w:tcPr>
            <w:tcW w:w="6437" w:type="dxa"/>
            <w:gridSpan w:val="6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0.45692 - 0.82603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</w:t>
      </w:r>
      <w:r>
        <w:rPr>
          <w:rFonts w:hint="eastAsia" w:ascii="Times New Roman" w:hAnsi="Times New Roman" w:cs="Times New Roman"/>
          <w:vertAlign w:val="superscript"/>
        </w:rPr>
        <w:t xml:space="preserve">a </w:t>
      </w:r>
      <w:r>
        <w:rPr>
          <w:rFonts w:ascii="Times New Roman" w:hAnsi="Times New Roman" w:cs="Times New Roman"/>
        </w:rPr>
        <w:t>Quadratic weighting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jc w:val="center"/>
        <w:rPr>
          <w:rFonts w:hint="eastAsia" w:ascii="Times New Roman" w:hAnsi="Times New Roman" w:cs="Times New Roman"/>
          <w:b/>
          <w:bCs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 xml:space="preserve">5   Consistency between </w:t>
      </w:r>
      <w:r>
        <w:rPr>
          <w:rFonts w:hint="eastAsia"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 xml:space="preserve">anual </w:t>
      </w:r>
      <w:r>
        <w:rPr>
          <w:rFonts w:hint="eastAsia"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valuation and </w:t>
      </w:r>
      <w:r>
        <w:rPr>
          <w:rFonts w:hint="eastAsia"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 xml:space="preserve">odel </w:t>
      </w:r>
      <w:r>
        <w:rPr>
          <w:rFonts w:hint="eastAsia"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valuation of </w:t>
      </w:r>
      <w:r>
        <w:rPr>
          <w:rFonts w:hint="eastAsia" w:ascii="Times New Roman" w:hAnsi="Times New Roman" w:cs="Times New Roman"/>
          <w:b/>
          <w:bCs/>
        </w:rPr>
        <w:t>knee joint function</w:t>
      </w:r>
      <w:r>
        <w:rPr>
          <w:rFonts w:ascii="Times New Roman" w:hAnsi="Times New Roman" w:cs="Times New Roman"/>
          <w:b/>
          <w:bCs/>
        </w:rPr>
        <w:t>（Kappa）</w:t>
      </w:r>
    </w:p>
    <w:tbl>
      <w:tblPr>
        <w:tblStyle w:val="7"/>
        <w:tblpPr w:leftFromText="180" w:rightFromText="180" w:vertAnchor="text" w:horzAnchor="page" w:tblpXSpec="center" w:tblpY="38"/>
        <w:tblOverlap w:val="never"/>
        <w:tblW w:w="8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662"/>
        <w:gridCol w:w="738"/>
        <w:gridCol w:w="862"/>
        <w:gridCol w:w="738"/>
        <w:gridCol w:w="737"/>
        <w:gridCol w:w="638"/>
        <w:gridCol w:w="687"/>
        <w:gridCol w:w="600"/>
        <w:gridCol w:w="625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ind w:left="127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odel 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valuation</w:t>
            </w:r>
          </w:p>
        </w:tc>
        <w:tc>
          <w:tcPr>
            <w:tcW w:w="6287" w:type="dxa"/>
            <w:gridSpan w:val="9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ind w:left="423"/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anual 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valuation</w:t>
            </w:r>
          </w:p>
        </w:tc>
        <w:tc>
          <w:tcPr>
            <w:tcW w:w="897" w:type="dxa"/>
            <w:vMerge w:val="restart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ind w:left="423"/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1413" w:type="dxa"/>
            <w:vMerge w:val="continue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ind w:left="127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62" w:type="dxa"/>
            <w:vAlign w:val="bottom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rPr>
                <w:rFonts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38" w:type="dxa"/>
            <w:vAlign w:val="bottom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62" w:type="dxa"/>
            <w:vAlign w:val="bottom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38" w:type="dxa"/>
            <w:vAlign w:val="bottom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37" w:type="dxa"/>
            <w:vAlign w:val="bottom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84" w:line="360" w:lineRule="auto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38" w:type="dxa"/>
            <w:vAlign w:val="bottom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rPr>
                <w:rFonts w:ascii="Times New Roman" w:hAnsi="Times New Roman" w:eastAsia="宋体" w:cs="Times New Roman"/>
                <w:spacing w:val="2"/>
                <w:position w:val="3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2"/>
                <w:position w:val="3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87" w:type="dxa"/>
            <w:vAlign w:val="bottom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rPr>
                <w:rFonts w:ascii="Times New Roman" w:hAnsi="Times New Roman" w:eastAsia="宋体" w:cs="Times New Roman"/>
                <w:spacing w:val="2"/>
                <w:position w:val="3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2"/>
                <w:position w:val="3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00" w:type="dxa"/>
            <w:vAlign w:val="bottom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rPr>
                <w:rFonts w:ascii="Times New Roman" w:hAnsi="Times New Roman" w:eastAsia="宋体" w:cs="Times New Roman"/>
                <w:spacing w:val="2"/>
                <w:position w:val="3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2"/>
                <w:position w:val="3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625" w:type="dxa"/>
            <w:vAlign w:val="bottom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rPr>
                <w:rFonts w:ascii="Times New Roman" w:hAnsi="Times New Roman" w:eastAsia="宋体" w:cs="Times New Roman"/>
                <w:spacing w:val="2"/>
                <w:position w:val="3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2"/>
                <w:position w:val="3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97" w:type="dxa"/>
            <w:vMerge w:val="continue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0" w:line="360" w:lineRule="auto"/>
              <w:ind w:left="423"/>
              <w:rPr>
                <w:rFonts w:ascii="Times New Roman" w:hAnsi="Times New Roman" w:cs="Times New Roman"/>
                <w:spacing w:val="2"/>
                <w:position w:val="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413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(14.3%)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4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(7.1%)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4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(14.3%)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4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(19.0%)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4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4</w:t>
            </w: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(19.0%)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4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top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5</w:t>
            </w: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(9.5%)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4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top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(7.1%)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4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top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7</w:t>
            </w: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(4.8%)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41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top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8</w:t>
            </w: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(4.8%)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413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2(4.8%)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2(4.8%)</w:t>
            </w:r>
          </w:p>
        </w:tc>
        <w:tc>
          <w:tcPr>
            <w:tcW w:w="862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10(23.8%)</w:t>
            </w:r>
          </w:p>
        </w:tc>
        <w:tc>
          <w:tcPr>
            <w:tcW w:w="7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8(19.0%)</w:t>
            </w:r>
          </w:p>
        </w:tc>
        <w:tc>
          <w:tcPr>
            <w:tcW w:w="73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7(16.7%)</w:t>
            </w:r>
          </w:p>
        </w:tc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4(9.5%)</w:t>
            </w:r>
          </w:p>
        </w:tc>
        <w:tc>
          <w:tcPr>
            <w:tcW w:w="68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5(11.9%)</w:t>
            </w:r>
          </w:p>
        </w:tc>
        <w:tc>
          <w:tcPr>
            <w:tcW w:w="60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3(7.1%)</w:t>
            </w:r>
          </w:p>
        </w:tc>
        <w:tc>
          <w:tcPr>
            <w:tcW w:w="6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1(2.4%)</w:t>
            </w:r>
          </w:p>
        </w:tc>
        <w:tc>
          <w:tcPr>
            <w:tcW w:w="8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rPr>
                <w:rFonts w:eastAsia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413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  <w:t xml:space="preserve">Weighted Kappa 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  <w:lang w:eastAsia="zh-CN"/>
              </w:rPr>
              <w:t>a</w:t>
            </w:r>
          </w:p>
        </w:tc>
        <w:tc>
          <w:tcPr>
            <w:tcW w:w="7184" w:type="dxa"/>
            <w:gridSpan w:val="10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0.68792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1413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Standard error</w:t>
            </w:r>
          </w:p>
        </w:tc>
        <w:tc>
          <w:tcPr>
            <w:tcW w:w="7184" w:type="dxa"/>
            <w:gridSpan w:val="10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0.07852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413" w:type="dxa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95% CI</w:t>
            </w:r>
          </w:p>
        </w:tc>
        <w:tc>
          <w:tcPr>
            <w:tcW w:w="7184" w:type="dxa"/>
            <w:gridSpan w:val="10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1"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0.53402 - 0.84181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</w:t>
      </w:r>
      <w:r>
        <w:rPr>
          <w:rFonts w:hint="eastAsia" w:ascii="Times New Roman" w:hAnsi="Times New Roman" w:cs="Times New Roman"/>
          <w:vertAlign w:val="superscript"/>
        </w:rPr>
        <w:t xml:space="preserve">a </w:t>
      </w:r>
      <w:r>
        <w:rPr>
          <w:rFonts w:ascii="Times New Roman" w:hAnsi="Times New Roman" w:cs="Times New Roman"/>
        </w:rPr>
        <w:t>Quadratic weighting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mYjRjM2Y5ZTNlZDU3OGFkMjg2NmU2YjExMDI0NjEifQ=="/>
  </w:docVars>
  <w:rsids>
    <w:rsidRoot w:val="77991E9D"/>
    <w:rsid w:val="0CA6624D"/>
    <w:rsid w:val="779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19"/>
      <w:szCs w:val="19"/>
      <w:lang w:eastAsia="en-US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2023-09-07T01:14:00Z</dcterms:created>
  <dc:creator>北极熊（rauben）</dc:creator>
  <cp:lastModifiedBy>北极熊（rauben）</cp:lastModifiedBy>
  <dcterms:modified xsi:type="dcterms:W3CDTF">2023-09-07T01:19:32Z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2B164D627FA04662BBE6E9E8B5EA42D9_11</vt:lpwstr>
  </property>
</Properties>
</file>