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69EDA" w14:textId="77777777" w:rsidR="00144E7A" w:rsidRPr="00144E7A" w:rsidRDefault="00144E7A" w:rsidP="00144E7A">
      <w:pPr>
        <w:spacing w:line="360" w:lineRule="auto"/>
        <w:jc w:val="center"/>
        <w:rPr>
          <w:rFonts w:ascii="Times New Roman" w:eastAsia="楷体" w:hAnsi="Times New Roman" w:cs="Times New Roman"/>
          <w:color w:val="000000" w:themeColor="text1"/>
          <w:sz w:val="24"/>
          <w:szCs w:val="28"/>
        </w:rPr>
      </w:pPr>
      <w:r w:rsidRPr="00144E7A">
        <w:rPr>
          <w:rFonts w:ascii="Times New Roman" w:eastAsia="楷体" w:hAnsi="Times New Roman" w:cs="Times New Roman"/>
          <w:color w:val="000000" w:themeColor="text1"/>
          <w:sz w:val="24"/>
          <w:szCs w:val="28"/>
        </w:rPr>
        <w:t>Supplementary</w:t>
      </w:r>
      <w:r w:rsidRPr="00144E7A">
        <w:rPr>
          <w:rFonts w:ascii="Times New Roman" w:eastAsia="楷体" w:hAnsi="Times New Roman" w:cs="Times New Roman" w:hint="eastAsia"/>
          <w:color w:val="000000" w:themeColor="text1"/>
          <w:sz w:val="24"/>
          <w:szCs w:val="28"/>
        </w:rPr>
        <w:t xml:space="preserve"> Table</w:t>
      </w:r>
      <w:r w:rsidRPr="00144E7A">
        <w:rPr>
          <w:rFonts w:ascii="Times New Roman" w:eastAsia="楷体" w:hAnsi="Times New Roman" w:cs="Times New Roman"/>
          <w:color w:val="000000" w:themeColor="text1"/>
          <w:sz w:val="24"/>
          <w:szCs w:val="28"/>
        </w:rPr>
        <w:t xml:space="preserve"> 5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593"/>
        <w:gridCol w:w="2593"/>
        <w:gridCol w:w="423"/>
        <w:gridCol w:w="2697"/>
      </w:tblGrid>
      <w:tr w:rsidR="00144E7A" w:rsidRPr="00144E7A" w14:paraId="42D4625E" w14:textId="77777777" w:rsidTr="003767AA">
        <w:trPr>
          <w:trHeight w:val="273"/>
        </w:trPr>
        <w:tc>
          <w:tcPr>
            <w:tcW w:w="19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68EBB6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id.exposure</w:t>
            </w:r>
          </w:p>
        </w:tc>
        <w:tc>
          <w:tcPr>
            <w:tcW w:w="19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2768C8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outcome</w:t>
            </w:r>
          </w:p>
        </w:tc>
        <w:tc>
          <w:tcPr>
            <w:tcW w:w="1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EB74F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nsnp</w:t>
            </w:r>
          </w:p>
        </w:tc>
        <w:tc>
          <w:tcPr>
            <w:tcW w:w="92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2F2AC9A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pval_Inverse.variance.weighted</w:t>
            </w:r>
          </w:p>
        </w:tc>
      </w:tr>
      <w:tr w:rsidR="00144E7A" w:rsidRPr="00144E7A" w14:paraId="29C3A05A" w14:textId="77777777" w:rsidTr="003767AA">
        <w:trPr>
          <w:trHeight w:val="273"/>
        </w:trPr>
        <w:tc>
          <w:tcPr>
            <w:tcW w:w="19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CE827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9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710D8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20507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2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BBB414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0.76 </w:t>
            </w:r>
          </w:p>
        </w:tc>
      </w:tr>
      <w:tr w:rsidR="00144E7A" w:rsidRPr="00144E7A" w14:paraId="3BA90DAC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0EB5D9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0720281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D705D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40840C1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0.78 </w:t>
            </w:r>
          </w:p>
        </w:tc>
      </w:tr>
      <w:tr w:rsidR="00144E7A" w:rsidRPr="00144E7A" w14:paraId="5A329342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7E45F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4FF832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8F13E40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EDFDE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0.65 </w:t>
            </w:r>
          </w:p>
        </w:tc>
      </w:tr>
      <w:tr w:rsidR="00144E7A" w:rsidRPr="00144E7A" w14:paraId="002627A0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482CFB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F28981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B91D80D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1A61C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0.86 </w:t>
            </w:r>
          </w:p>
        </w:tc>
      </w:tr>
      <w:tr w:rsidR="00144E7A" w:rsidRPr="00144E7A" w14:paraId="00BB248A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2CAE32A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C79AB62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B0B0C1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79DA5D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0.79 </w:t>
            </w:r>
          </w:p>
        </w:tc>
      </w:tr>
      <w:tr w:rsidR="00144E7A" w:rsidRPr="00144E7A" w14:paraId="11F4879A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675744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2F9F5AD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A52A9D4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4A002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0.11 </w:t>
            </w:r>
          </w:p>
        </w:tc>
      </w:tr>
      <w:tr w:rsidR="00144E7A" w:rsidRPr="00144E7A" w14:paraId="0B28B5B4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02D198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2FAC5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F2F2F2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5F255B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0.56 </w:t>
            </w:r>
          </w:p>
        </w:tc>
      </w:tr>
      <w:tr w:rsidR="00144E7A" w:rsidRPr="00144E7A" w14:paraId="3DB1171B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CF833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E9EA77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D4990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8FF1ABA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0.74 </w:t>
            </w:r>
          </w:p>
        </w:tc>
      </w:tr>
      <w:tr w:rsidR="00144E7A" w:rsidRPr="00144E7A" w14:paraId="1C5F6D92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DD02FDD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6C90EF2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4F35B4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CC016C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0.95 </w:t>
            </w:r>
          </w:p>
        </w:tc>
      </w:tr>
      <w:tr w:rsidR="00144E7A" w:rsidRPr="00144E7A" w14:paraId="2C7F8B3D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3FB2BA5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C615DC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416640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FC6A1C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0.13 </w:t>
            </w:r>
          </w:p>
        </w:tc>
      </w:tr>
      <w:tr w:rsidR="00144E7A" w:rsidRPr="00144E7A" w14:paraId="0DFEF63F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40D7F8C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E2F647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20EC22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B3B537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0.10 </w:t>
            </w:r>
          </w:p>
        </w:tc>
      </w:tr>
      <w:tr w:rsidR="00144E7A" w:rsidRPr="00144E7A" w14:paraId="7D1D914D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3990D4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id:bbj-a-72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075C280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B365CB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D54E68D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0.42 </w:t>
            </w:r>
          </w:p>
        </w:tc>
      </w:tr>
      <w:tr w:rsidR="00144E7A" w:rsidRPr="00144E7A" w14:paraId="2572C291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5C2E41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677A6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CFDF4A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AB60F3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0.82 </w:t>
            </w:r>
          </w:p>
        </w:tc>
      </w:tr>
      <w:tr w:rsidR="00144E7A" w:rsidRPr="00144E7A" w14:paraId="3C4723D0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E9F0BB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6925468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6BD188F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F640CAC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0.99 </w:t>
            </w:r>
          </w:p>
        </w:tc>
      </w:tr>
      <w:tr w:rsidR="00144E7A" w:rsidRPr="00144E7A" w14:paraId="7792CC38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35A9D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id:bbj-a-151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C0AD2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BBFEFDB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61AF67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0.18 </w:t>
            </w:r>
          </w:p>
        </w:tc>
      </w:tr>
      <w:tr w:rsidR="00144E7A" w:rsidRPr="00144E7A" w14:paraId="5B726820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B17D5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521B218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Protein kinase C-binding protein NELL1 || id:prot-a-2030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8BA0D7F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A4A59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0.99 </w:t>
            </w:r>
          </w:p>
        </w:tc>
      </w:tr>
      <w:tr w:rsidR="00144E7A" w:rsidRPr="00144E7A" w14:paraId="7F38C076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1189A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DA0F46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Secretory phospholipase A2 receptor || id:prot-a-2291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E88E132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34233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0.27 </w:t>
            </w:r>
          </w:p>
        </w:tc>
      </w:tr>
      <w:tr w:rsidR="00144E7A" w:rsidRPr="00144E7A" w14:paraId="1831D2E5" w14:textId="77777777" w:rsidTr="003767AA">
        <w:trPr>
          <w:trHeight w:val="273"/>
        </w:trPr>
        <w:tc>
          <w:tcPr>
            <w:tcW w:w="19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3C5EE3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Rheumatoid arthritis || id:ieu-a-831</w:t>
            </w:r>
          </w:p>
        </w:tc>
        <w:tc>
          <w:tcPr>
            <w:tcW w:w="19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10F339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Thrombospondin type-1 domain-containing protein 7A || id:prot-a-2976</w:t>
            </w:r>
          </w:p>
        </w:tc>
        <w:tc>
          <w:tcPr>
            <w:tcW w:w="1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74F937E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92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2DA350B" w14:textId="77777777" w:rsidR="00144E7A" w:rsidRPr="00144E7A" w:rsidRDefault="00144E7A" w:rsidP="003767AA">
            <w:pPr>
              <w:spacing w:line="240" w:lineRule="exact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144E7A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0.95 </w:t>
            </w:r>
          </w:p>
        </w:tc>
      </w:tr>
    </w:tbl>
    <w:p w14:paraId="3628F991" w14:textId="77777777" w:rsidR="00A21BD2" w:rsidRDefault="00A21BD2"/>
    <w:sectPr w:rsidR="00A21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84F13" w14:textId="77777777" w:rsidR="00C37959" w:rsidRDefault="00C37959" w:rsidP="00144E7A">
      <w:r>
        <w:separator/>
      </w:r>
    </w:p>
  </w:endnote>
  <w:endnote w:type="continuationSeparator" w:id="0">
    <w:p w14:paraId="3F5C37B4" w14:textId="77777777" w:rsidR="00C37959" w:rsidRDefault="00C37959" w:rsidP="0014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523A2" w14:textId="77777777" w:rsidR="00C37959" w:rsidRDefault="00C37959" w:rsidP="00144E7A">
      <w:r>
        <w:separator/>
      </w:r>
    </w:p>
  </w:footnote>
  <w:footnote w:type="continuationSeparator" w:id="0">
    <w:p w14:paraId="22F20E64" w14:textId="77777777" w:rsidR="00C37959" w:rsidRDefault="00C37959" w:rsidP="0014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7A"/>
    <w:rsid w:val="00144E7A"/>
    <w:rsid w:val="00A21BD2"/>
    <w:rsid w:val="00C37959"/>
    <w:rsid w:val="00FA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6B1BB4B-8899-40C2-AEAE-869CEDECE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E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E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E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E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2023-09-02T03:05:00Z</dcterms:created>
  <dcterms:modified xsi:type="dcterms:W3CDTF">2023-09-02T03:06:00Z</dcterms:modified>
</cp:coreProperties>
</file>