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E7BC82" w14:textId="77777777" w:rsidR="00AD68C7" w:rsidRPr="005715A3" w:rsidRDefault="00AD68C7" w:rsidP="00AD68C7">
      <w:pPr>
        <w:spacing w:before="0" w:after="0"/>
        <w:rPr>
          <w:b/>
          <w:bCs/>
        </w:rPr>
      </w:pPr>
      <w:r w:rsidRPr="005715A3">
        <w:rPr>
          <w:b/>
          <w:bCs/>
        </w:rPr>
        <w:t>Supplemental Table 2: Laboratory Tests for Adult Patients at Three Post-COVID Clinics —</w:t>
      </w:r>
    </w:p>
    <w:p w14:paraId="553771EF" w14:textId="77777777" w:rsidR="00AD68C7" w:rsidRPr="005715A3" w:rsidRDefault="00AD68C7" w:rsidP="00AD68C7">
      <w:pPr>
        <w:spacing w:before="0" w:after="0"/>
        <w:rPr>
          <w:b/>
          <w:bCs/>
        </w:rPr>
      </w:pPr>
      <w:r w:rsidRPr="005715A3">
        <w:rPr>
          <w:b/>
          <w:bCs/>
        </w:rPr>
        <w:t xml:space="preserve"> United </w:t>
      </w:r>
      <w:proofErr w:type="spellStart"/>
      <w:r w:rsidRPr="005715A3">
        <w:rPr>
          <w:b/>
          <w:bCs/>
        </w:rPr>
        <w:t>States</w:t>
      </w:r>
      <w:r w:rsidRPr="005715A3">
        <w:rPr>
          <w:b/>
          <w:bCs/>
          <w:vertAlign w:val="superscript"/>
        </w:rPr>
        <w:t>a</w:t>
      </w:r>
      <w:proofErr w:type="spellEnd"/>
      <w:r w:rsidRPr="005715A3">
        <w:rPr>
          <w:b/>
          <w:bCs/>
        </w:rPr>
        <w:t>, January 20, 2020–March 31, 2021</w:t>
      </w:r>
      <w:r w:rsidRPr="005715A3">
        <w:rPr>
          <w:b/>
          <w:bCs/>
          <w:vertAlign w:val="superscript"/>
        </w:rPr>
        <w:t>b</w:t>
      </w:r>
      <w:r w:rsidRPr="005715A3" w:rsidDel="003E25EA">
        <w:rPr>
          <w:b/>
          <w:bCs/>
        </w:rPr>
        <w:t xml:space="preserve"> </w:t>
      </w:r>
    </w:p>
    <w:p w14:paraId="4B1ACC32" w14:textId="77777777" w:rsidR="00AD68C7" w:rsidRPr="005715A3" w:rsidRDefault="00AD68C7" w:rsidP="00AD68C7">
      <w:pPr>
        <w:spacing w:before="0" w:after="0"/>
        <w:rPr>
          <w:b/>
          <w:bCs/>
        </w:rPr>
      </w:pPr>
      <w:r w:rsidRPr="005715A3">
        <w:rPr>
          <w:b/>
          <w:bCs/>
        </w:rPr>
        <w:t xml:space="preserve"> </w:t>
      </w:r>
    </w:p>
    <w:tbl>
      <w:tblPr>
        <w:tblW w:w="9260" w:type="dxa"/>
        <w:tblLook w:val="04A0" w:firstRow="1" w:lastRow="0" w:firstColumn="1" w:lastColumn="0" w:noHBand="0" w:noVBand="1"/>
      </w:tblPr>
      <w:tblGrid>
        <w:gridCol w:w="4608"/>
        <w:gridCol w:w="2402"/>
        <w:gridCol w:w="2250"/>
      </w:tblGrid>
      <w:tr w:rsidR="00AD68C7" w:rsidRPr="005715A3" w14:paraId="1B547EAC" w14:textId="77777777" w:rsidTr="00806956">
        <w:trPr>
          <w:trHeight w:val="144"/>
        </w:trPr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E186E7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Test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52659A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 xml:space="preserve"> Patients with ≥1 Abnormal Lab Value </w:t>
            </w:r>
          </w:p>
          <w:p w14:paraId="7610C2BF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 (%)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E7E6E6" w:themeFill="background2"/>
            <w:vAlign w:val="center"/>
          </w:tcPr>
          <w:p w14:paraId="7C0C189D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Patients with Available Lab Values</w:t>
            </w:r>
          </w:p>
          <w:p w14:paraId="7719295B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b/>
                <w:bCs/>
                <w:color w:val="000000"/>
                <w:sz w:val="22"/>
              </w:rPr>
              <w:t>n</w:t>
            </w:r>
          </w:p>
        </w:tc>
      </w:tr>
      <w:tr w:rsidR="00AD68C7" w:rsidRPr="005715A3" w14:paraId="17EB235F" w14:textId="77777777" w:rsidTr="00806956">
        <w:trPr>
          <w:trHeight w:val="144"/>
        </w:trPr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C54A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glucose</w:t>
            </w:r>
          </w:p>
        </w:tc>
        <w:tc>
          <w:tcPr>
            <w:tcW w:w="2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97EE59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375 (47.6)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49F8CD9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0A14C571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8B261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albumin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9FF5EC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246 (31.3)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DAA51E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1D59C70C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72E48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Estimated glomerular filtration rate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E75CC5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244 (31.0)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ADEB887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6F04C7DC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5CD16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Hemoglobin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098188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226 (28.7)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BB359D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61A72919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743EA1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C-reactive protein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37C21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204 (26.1)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0DEF6D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783</w:t>
            </w:r>
          </w:p>
        </w:tc>
      </w:tr>
      <w:tr w:rsidR="00AD68C7" w:rsidRPr="005715A3" w14:paraId="7126C6BD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091B3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Hematocrit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427644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189 (24.0)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EBFDA4F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7FA9F339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329C8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Total white blood cell count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86D7DD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188 (23.9)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141D04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41BE132C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4CA91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Aspartate aminotransferase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BF611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185 (23.5)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85BB868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6710DA35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24AF6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potassium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32A03F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178 (22.6)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3A8BC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5C669CF0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9014B3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calcium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6CAA8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177 (22.5)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E494846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14706F6F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F9899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creatinine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E179F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141 (17.9)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CD1A22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2144030E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FAA13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Blood urea nitrogen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C6FF3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140 (17.8)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9BF76F9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27BAC4EB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5E65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Carbon dioxide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23833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131 (16.6)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2C2D6E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2DD94660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127EA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Alanine aminotransferase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050CDA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128 (16.3)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ECB070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3C1567E7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D9883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ferritin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07F95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122 (15.6)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2AB2E20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783</w:t>
            </w:r>
          </w:p>
        </w:tc>
      </w:tr>
      <w:tr w:rsidR="00AD68C7" w:rsidRPr="005715A3" w14:paraId="643C831A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FE070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chloride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1E228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120 (15.2)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9DFE9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3E41C035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7E68A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Low-density-lipoprotein cholesterol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14083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114 (14.6)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5948867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782</w:t>
            </w:r>
          </w:p>
        </w:tc>
      </w:tr>
      <w:tr w:rsidR="00AD68C7" w:rsidRPr="005715A3" w14:paraId="478871AB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7778E2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sodium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6568D1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112 (14.2)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A72F75D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4B301CF7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D8084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Hemoglobin a1c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82829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102 (13.0)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0E98F6C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782</w:t>
            </w:r>
          </w:p>
        </w:tc>
      </w:tr>
      <w:tr w:rsidR="00AD68C7" w:rsidRPr="005715A3" w14:paraId="0936B29C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41DF4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Platelets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8DD488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92 (11.7)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71F5CC4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00F0BF78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EB143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High-density-lipoprotein cholesterol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1FB9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73 (9.3)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634C18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781</w:t>
            </w:r>
          </w:p>
        </w:tc>
      </w:tr>
      <w:tr w:rsidR="00AD68C7" w:rsidRPr="005715A3" w14:paraId="45E48DE6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E2241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Total protein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A4F248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71 (9.0)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2EF6AE4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0EDB3369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248ED0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alkaline phosphatase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7AEBB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65 (8.3)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D472ECC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7427D00F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4FFAD2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Triglycerides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55FC31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61 (7.8)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2B8BC98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781</w:t>
            </w:r>
          </w:p>
        </w:tc>
      </w:tr>
      <w:tr w:rsidR="00AD68C7" w:rsidRPr="005715A3" w14:paraId="7FCEB72E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65BC2C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Pro B natriuretic peptide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F0AD09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56 (7.2)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2B364B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783</w:t>
            </w:r>
          </w:p>
        </w:tc>
      </w:tr>
      <w:tr w:rsidR="00AD68C7" w:rsidRPr="005715A3" w14:paraId="76D661C5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65B0B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Total cholesterol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F8E3C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56 (7.2)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8307A72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782</w:t>
            </w:r>
          </w:p>
        </w:tc>
      </w:tr>
      <w:tr w:rsidR="00AD68C7" w:rsidRPr="005715A3" w14:paraId="68609400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71B43C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Total bilirubin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C2A67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41 (5.2)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5938BA1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787</w:t>
            </w:r>
          </w:p>
        </w:tc>
      </w:tr>
      <w:tr w:rsidR="00AD68C7" w:rsidRPr="005715A3" w14:paraId="1413A7A4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AAF2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Partial thromboplastin time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14E8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31 (4.0)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534C26D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783</w:t>
            </w:r>
          </w:p>
        </w:tc>
      </w:tr>
      <w:tr w:rsidR="00AD68C7" w:rsidRPr="005715A3" w14:paraId="34798248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130276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International normalized ratio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2586F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27 (3.5)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1785EC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782</w:t>
            </w:r>
          </w:p>
        </w:tc>
      </w:tr>
      <w:tr w:rsidR="00AD68C7" w:rsidRPr="005715A3" w14:paraId="549948B7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7CBF0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Troponin I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7907A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24 (3.1)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F5E6D71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785</w:t>
            </w:r>
          </w:p>
        </w:tc>
      </w:tr>
      <w:tr w:rsidR="00AD68C7" w:rsidRPr="005715A3" w14:paraId="435549DB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764F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Serum phosphate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38C1A0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17 (2.2)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C6900EC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782</w:t>
            </w:r>
          </w:p>
        </w:tc>
      </w:tr>
      <w:tr w:rsidR="00AD68C7" w:rsidRPr="005715A3" w14:paraId="377018BF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FF348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Microalbumin/creatinine ratio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EA39E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14 (1.8)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279AF3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781</w:t>
            </w:r>
          </w:p>
        </w:tc>
      </w:tr>
      <w:tr w:rsidR="00AD68C7" w:rsidRPr="005715A3" w14:paraId="052CC68C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22144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Brain natriuretic peptide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30B4A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10 (1.3)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B84EAB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775</w:t>
            </w:r>
          </w:p>
        </w:tc>
      </w:tr>
      <w:tr w:rsidR="00AD68C7" w:rsidRPr="005715A3" w14:paraId="1D743C8C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C9A375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Direct bilirubin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074A1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7 (0.9)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D71602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782</w:t>
            </w:r>
          </w:p>
        </w:tc>
      </w:tr>
      <w:tr w:rsidR="00AD68C7" w:rsidRPr="005715A3" w14:paraId="25D6065C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3770B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Troponin 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3A8C9B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2 (0.3)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330E536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780</w:t>
            </w:r>
          </w:p>
        </w:tc>
      </w:tr>
      <w:tr w:rsidR="00AD68C7" w:rsidRPr="005715A3" w14:paraId="778807D7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BEC4AD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Total T-cell count</w:t>
            </w:r>
          </w:p>
        </w:tc>
        <w:tc>
          <w:tcPr>
            <w:tcW w:w="2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DEBE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1 (0.1)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BECD3D8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781</w:t>
            </w:r>
          </w:p>
        </w:tc>
      </w:tr>
      <w:tr w:rsidR="00AD68C7" w:rsidRPr="005715A3" w14:paraId="4AA7F3B6" w14:textId="77777777" w:rsidTr="00806956">
        <w:trPr>
          <w:trHeight w:val="144"/>
        </w:trPr>
        <w:tc>
          <w:tcPr>
            <w:tcW w:w="460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A1C568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CD4/CD8 ratio</w:t>
            </w:r>
          </w:p>
        </w:tc>
        <w:tc>
          <w:tcPr>
            <w:tcW w:w="24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11EFBD3" w14:textId="77777777" w:rsidR="00AD68C7" w:rsidRPr="005715A3" w:rsidRDefault="00AD68C7" w:rsidP="00806956">
            <w:pPr>
              <w:spacing w:before="0"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eastAsia="Times New Roman" w:hAnsi="Calibri" w:cs="Calibri"/>
                <w:color w:val="000000"/>
                <w:sz w:val="22"/>
              </w:rPr>
              <w:t>0 (0)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CAFADB7" w14:textId="77777777" w:rsidR="00AD68C7" w:rsidRPr="005715A3" w:rsidRDefault="00AD68C7" w:rsidP="00806956">
            <w:pPr>
              <w:spacing w:before="0" w:after="0" w:line="240" w:lineRule="auto"/>
              <w:rPr>
                <w:rFonts w:ascii="Calibri" w:eastAsia="Times New Roman" w:hAnsi="Calibri" w:cs="Calibri"/>
                <w:color w:val="000000"/>
                <w:sz w:val="22"/>
              </w:rPr>
            </w:pPr>
            <w:r w:rsidRPr="005715A3">
              <w:rPr>
                <w:rFonts w:ascii="Calibri" w:hAnsi="Calibri" w:cs="Calibri"/>
                <w:color w:val="000000"/>
                <w:sz w:val="22"/>
              </w:rPr>
              <w:t>781</w:t>
            </w:r>
          </w:p>
        </w:tc>
      </w:tr>
    </w:tbl>
    <w:p w14:paraId="283D69BB" w14:textId="77777777" w:rsidR="00AD68C7" w:rsidRPr="005715A3" w:rsidRDefault="00AD68C7" w:rsidP="00AD68C7">
      <w:pPr>
        <w:rPr>
          <w:sz w:val="20"/>
          <w:szCs w:val="20"/>
        </w:rPr>
      </w:pPr>
      <w:proofErr w:type="spellStart"/>
      <w:r w:rsidRPr="005715A3">
        <w:rPr>
          <w:sz w:val="20"/>
          <w:szCs w:val="20"/>
          <w:vertAlign w:val="superscript"/>
        </w:rPr>
        <w:t>a</w:t>
      </w:r>
      <w:proofErr w:type="spellEnd"/>
      <w:r w:rsidRPr="005715A3">
        <w:rPr>
          <w:sz w:val="20"/>
          <w:szCs w:val="20"/>
        </w:rPr>
        <w:t xml:space="preserve"> Mount Sinai Health System (MSHS), New York City, New York; University of Texas Southwestern Medical Center (UTSW), Dallas, Texas; and CHI Health Creighton University Medical Center (CHI), Omaha, Nebraska.</w:t>
      </w:r>
    </w:p>
    <w:p w14:paraId="570DF1E4" w14:textId="77777777" w:rsidR="00AD68C7" w:rsidRPr="00542B9E" w:rsidRDefault="00AD68C7" w:rsidP="00AD68C7">
      <w:pPr>
        <w:rPr>
          <w:sz w:val="20"/>
          <w:szCs w:val="20"/>
          <w:vertAlign w:val="superscript"/>
        </w:rPr>
      </w:pPr>
      <w:r w:rsidRPr="005715A3">
        <w:rPr>
          <w:sz w:val="20"/>
          <w:szCs w:val="20"/>
          <w:vertAlign w:val="superscript"/>
        </w:rPr>
        <w:lastRenderedPageBreak/>
        <w:t xml:space="preserve">b </w:t>
      </w:r>
      <w:r w:rsidRPr="005715A3">
        <w:rPr>
          <w:sz w:val="20"/>
          <w:szCs w:val="20"/>
        </w:rPr>
        <w:t xml:space="preserve">Visits occurred ≥ 28 days after the index date through September 30, 2021. </w:t>
      </w:r>
      <w:r w:rsidRPr="005715A3">
        <w:rPr>
          <w:rStyle w:val="contextualspellingandgrammarerror"/>
          <w:rFonts w:ascii="Calibri" w:hAnsi="Calibri" w:cs="Calibri"/>
          <w:color w:val="000000" w:themeColor="text1"/>
          <w:sz w:val="20"/>
          <w:szCs w:val="20"/>
        </w:rPr>
        <w:t>The</w:t>
      </w:r>
      <w:r w:rsidRPr="005715A3">
        <w:rPr>
          <w:rStyle w:val="normaltextrun"/>
          <w:rFonts w:ascii="Calibri" w:hAnsi="Calibri" w:cs="Calibri"/>
          <w:color w:val="000000" w:themeColor="text1"/>
          <w:sz w:val="20"/>
          <w:szCs w:val="20"/>
        </w:rPr>
        <w:t xml:space="preserve"> index date is date of PCR or clinical diagnosis for non-hospitalized and date of discharge for hospitalized patients during the acute illness phase of SARS-CoV-2 infection. Diagnosis of SARS-CoV-2-infection occurred between January 20, 2020, to March 31, 2021.</w:t>
      </w:r>
    </w:p>
    <w:p w14:paraId="4FA86DA1" w14:textId="77777777" w:rsidR="00AD68C7" w:rsidRDefault="00AD68C7"/>
    <w:sectPr w:rsidR="00AD68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8C7"/>
    <w:rsid w:val="00AD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C33C6"/>
  <w15:chartTrackingRefBased/>
  <w15:docId w15:val="{A0D127E9-0158-4797-8E69-A4063D21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8C7"/>
    <w:pPr>
      <w:spacing w:before="120" w:after="28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AD68C7"/>
  </w:style>
  <w:style w:type="character" w:customStyle="1" w:styleId="contextualspellingandgrammarerror">
    <w:name w:val="contextualspellingandgrammarerror"/>
    <w:basedOn w:val="DefaultParagraphFont"/>
    <w:rsid w:val="00AD6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Nanda Issa</dc:creator>
  <cp:keywords/>
  <dc:description/>
  <cp:lastModifiedBy>Nanda Issa</cp:lastModifiedBy>
  <cp:revision>1</cp:revision>
  <dcterms:created xsi:type="dcterms:W3CDTF">2023-10-11T14:46:00Z</dcterms:created>
  <dcterms:modified xsi:type="dcterms:W3CDTF">2023-10-11T14:47:00Z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2023-10-11T14:47:21Z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7f2cdc4c-98e8-4d14-b2ce-4e9d4f6cf7f6</vt:lpwstr>
  </property>
  <property fmtid="{D5CDD505-2E9C-101B-9397-08002B2CF9AE}" pid="8" name="MSIP_Label_7b94a7b8-f06c-4dfe-bdcc-9b548fd58c31_ContentBits">
    <vt:lpwstr>0</vt:lpwstr>
  </property>
</Properties>
</file>