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F1637D" w14:textId="77777777" w:rsidR="00AF5E09" w:rsidRDefault="00AF5E09" w:rsidP="00743336">
      <w:pPr>
        <w:jc w:val="both"/>
      </w:pPr>
    </w:p>
    <w:p w14:paraId="6A82B6BB" w14:textId="77777777" w:rsidR="00C17C37" w:rsidRPr="00C17C37" w:rsidRDefault="00A07AD0" w:rsidP="00743336">
      <w:pPr>
        <w:jc w:val="both"/>
        <w:rPr>
          <w:b/>
        </w:rPr>
      </w:pPr>
      <w:r>
        <w:rPr>
          <w:b/>
        </w:rPr>
        <w:t>Supplementary Materials</w:t>
      </w:r>
    </w:p>
    <w:p w14:paraId="33A92722" w14:textId="2A94428F" w:rsidR="00C17C37" w:rsidRDefault="00C17C37" w:rsidP="00C17C37">
      <w:pPr>
        <w:spacing w:after="0" w:line="240" w:lineRule="auto"/>
        <w:jc w:val="both"/>
        <w:rPr>
          <w:rFonts w:eastAsiaTheme="minorEastAsia" w:hAnsi="Calibri"/>
          <w:b/>
          <w:bCs/>
          <w:color w:val="000000" w:themeColor="text1"/>
          <w:kern w:val="24"/>
          <w:sz w:val="20"/>
          <w:szCs w:val="20"/>
          <w:lang w:eastAsia="en-GB"/>
        </w:rPr>
      </w:pPr>
    </w:p>
    <w:p w14:paraId="14CA2013" w14:textId="316D3AEE" w:rsidR="001611B2" w:rsidRPr="00A1581A" w:rsidRDefault="001611B2" w:rsidP="00C17C37">
      <w:pPr>
        <w:spacing w:after="0" w:line="240" w:lineRule="auto"/>
        <w:jc w:val="both"/>
        <w:rPr>
          <w:rFonts w:eastAsiaTheme="minorEastAsia" w:hAnsi="Calibri"/>
          <w:bCs/>
          <w:color w:val="000000" w:themeColor="text1"/>
          <w:kern w:val="24"/>
          <w:lang w:eastAsia="en-GB"/>
        </w:rPr>
      </w:pPr>
      <w:r w:rsidRPr="00A1581A">
        <w:rPr>
          <w:rFonts w:eastAsiaTheme="minorEastAsia" w:hAnsi="Calibri"/>
          <w:b/>
          <w:bCs/>
          <w:color w:val="000000" w:themeColor="text1"/>
          <w:kern w:val="24"/>
          <w:lang w:eastAsia="en-GB"/>
        </w:rPr>
        <w:t xml:space="preserve">Supplementary Table 1. Flow Cytometry Antibody Information. </w:t>
      </w:r>
      <w:r w:rsidRPr="00A1581A">
        <w:rPr>
          <w:rFonts w:eastAsiaTheme="minorEastAsia" w:hAnsi="Calibri"/>
          <w:bCs/>
          <w:color w:val="000000" w:themeColor="text1"/>
          <w:kern w:val="24"/>
          <w:lang w:eastAsia="en-GB"/>
        </w:rPr>
        <w:t>From left to right columns: Target protein which antibody directed towards, Fluorochrome conjugate, Distributor, Catalog Numb</w:t>
      </w:r>
      <w:r w:rsidR="002B6867" w:rsidRPr="00A1581A">
        <w:rPr>
          <w:rFonts w:eastAsiaTheme="minorEastAsia" w:hAnsi="Calibri"/>
          <w:bCs/>
          <w:color w:val="000000" w:themeColor="text1"/>
          <w:kern w:val="24"/>
          <w:lang w:eastAsia="en-GB"/>
        </w:rPr>
        <w:t>er, and working dilution. APC, Allophycocyanin; FITC, Fluorescein isothiocyanate; PerCP, Peridinin Chlorophyll Protein</w:t>
      </w:r>
      <w:r w:rsidR="00557652">
        <w:rPr>
          <w:rFonts w:eastAsiaTheme="minorEastAsia" w:hAnsi="Calibri"/>
          <w:bCs/>
          <w:color w:val="000000" w:themeColor="text1"/>
          <w:kern w:val="24"/>
          <w:lang w:eastAsia="en-GB"/>
        </w:rPr>
        <w:t xml:space="preserve"> Complex</w:t>
      </w:r>
      <w:r w:rsidRPr="00A1581A">
        <w:rPr>
          <w:rFonts w:eastAsiaTheme="minorEastAsia" w:hAnsi="Calibri"/>
          <w:bCs/>
          <w:color w:val="000000" w:themeColor="text1"/>
          <w:kern w:val="24"/>
          <w:lang w:eastAsia="en-GB"/>
        </w:rPr>
        <w:t xml:space="preserve">; PE, </w:t>
      </w:r>
      <w:r w:rsidR="002B6867" w:rsidRPr="00A1581A">
        <w:rPr>
          <w:rFonts w:eastAsiaTheme="minorEastAsia" w:hAnsi="Calibri"/>
          <w:bCs/>
          <w:color w:val="000000" w:themeColor="text1"/>
          <w:kern w:val="24"/>
          <w:lang w:eastAsia="en-GB"/>
        </w:rPr>
        <w:t>Phycoerythrin.</w:t>
      </w:r>
      <w:r w:rsidRPr="00A1581A">
        <w:rPr>
          <w:rFonts w:eastAsiaTheme="minorEastAsia" w:hAnsi="Calibri"/>
          <w:bCs/>
          <w:color w:val="000000" w:themeColor="text1"/>
          <w:kern w:val="24"/>
          <w:lang w:eastAsia="en-GB"/>
        </w:rPr>
        <w:t xml:space="preserve"> </w:t>
      </w:r>
    </w:p>
    <w:p w14:paraId="5B8C3D48" w14:textId="50782D9F" w:rsidR="001611B2" w:rsidRPr="00A1581A" w:rsidRDefault="001611B2" w:rsidP="00C17C37">
      <w:pPr>
        <w:spacing w:after="0" w:line="240" w:lineRule="auto"/>
        <w:jc w:val="both"/>
        <w:rPr>
          <w:rFonts w:eastAsiaTheme="minorEastAsia" w:hAnsi="Calibri"/>
          <w:b/>
          <w:bCs/>
          <w:color w:val="000000" w:themeColor="text1"/>
          <w:kern w:val="24"/>
          <w:lang w:eastAsia="en-GB"/>
        </w:rPr>
      </w:pPr>
    </w:p>
    <w:p w14:paraId="2D7B1DD4" w14:textId="77777777" w:rsidR="001611B2" w:rsidRDefault="001611B2" w:rsidP="00C17C37">
      <w:pPr>
        <w:spacing w:after="0" w:line="240" w:lineRule="auto"/>
        <w:jc w:val="both"/>
        <w:rPr>
          <w:rFonts w:eastAsiaTheme="minorEastAsia" w:hAnsi="Calibri"/>
          <w:b/>
          <w:bCs/>
          <w:color w:val="000000" w:themeColor="text1"/>
          <w:kern w:val="24"/>
          <w:sz w:val="20"/>
          <w:szCs w:val="20"/>
          <w:lang w:eastAsia="en-GB"/>
        </w:rPr>
      </w:pPr>
    </w:p>
    <w:p w14:paraId="7B4F1F36" w14:textId="0DC73712" w:rsidR="00AF5E09" w:rsidRPr="003F6EA3" w:rsidRDefault="00074FFD" w:rsidP="00773E58">
      <w:pPr>
        <w:jc w:val="both"/>
      </w:pPr>
      <w:r>
        <w:rPr>
          <w:rFonts w:eastAsiaTheme="minorEastAsia" w:hAnsi="Calibri"/>
          <w:b/>
          <w:bCs/>
          <w:color w:val="000000" w:themeColor="text1"/>
          <w:kern w:val="24"/>
        </w:rPr>
        <w:t xml:space="preserve">Supplementary Figure 1. </w:t>
      </w:r>
      <w:r w:rsidR="00CF570A" w:rsidRPr="00CF570A">
        <w:rPr>
          <w:rFonts w:eastAsiaTheme="minorEastAsia" w:hAnsi="Calibri"/>
          <w:b/>
          <w:bCs/>
          <w:color w:val="000000" w:themeColor="text1"/>
          <w:kern w:val="24"/>
        </w:rPr>
        <w:t>Verification of a method of differenti</w:t>
      </w:r>
      <w:r w:rsidR="00EE1D73">
        <w:rPr>
          <w:rFonts w:eastAsiaTheme="minorEastAsia" w:hAnsi="Calibri"/>
          <w:b/>
          <w:bCs/>
          <w:color w:val="000000" w:themeColor="text1"/>
          <w:kern w:val="24"/>
        </w:rPr>
        <w:t>ating</w:t>
      </w:r>
      <w:r w:rsidR="00CF570A" w:rsidRPr="00CF570A">
        <w:rPr>
          <w:rFonts w:eastAsiaTheme="minorEastAsia" w:hAnsi="Calibri"/>
          <w:b/>
          <w:bCs/>
          <w:color w:val="000000" w:themeColor="text1"/>
          <w:kern w:val="24"/>
        </w:rPr>
        <w:t xml:space="preserve"> MSC-like cells from hESC. </w:t>
      </w:r>
      <w:r w:rsidR="00D0554F">
        <w:t>To assess RC-9 differentiation from self-renewal conditions comprised of Human Dermal Fibroblast Conditioned Medium (HDF-CM) in CellStart</w:t>
      </w:r>
      <w:r w:rsidR="00D0554F" w:rsidRPr="00B35454">
        <w:rPr>
          <w:vertAlign w:val="superscript"/>
        </w:rPr>
        <w:t>TM</w:t>
      </w:r>
      <w:r w:rsidR="00D0554F">
        <w:t>,stock cultures of RC-9 in StemPro</w:t>
      </w:r>
      <w:r w:rsidR="00D0554F" w:rsidRPr="00C77641">
        <w:rPr>
          <w:vertAlign w:val="superscript"/>
        </w:rPr>
        <w:t>TM</w:t>
      </w:r>
      <w:r w:rsidR="00D0554F">
        <w:t xml:space="preserve"> hESC SFM  cells were sequentially transitioned every second media exchange through dilutions prepared with 20, 40, 60, 80 and 100% HDF-CM. HDF-CM was prepared as described by Fletcher et al</w:t>
      </w:r>
      <w:r w:rsidR="00D0554F" w:rsidRPr="004C0617">
        <w:t xml:space="preserve"> (2006) based on </w:t>
      </w:r>
      <w:r w:rsidR="00D0554F">
        <w:t>the method of Xu et al., (2001). Fr</w:t>
      </w:r>
      <w:r>
        <w:t xml:space="preserve">om 40% HDF-CM, the EZPassaging </w:t>
      </w:r>
      <w:r w:rsidR="00D0554F">
        <w:t>method was replaced with collagenase-IV based cell passaging as per aforementioned references for cell self-renewal and differention. After two passages in 100% CM passaging cells 1:3, they were moved to hyaluronan-coated plasticware upon reaching 100% confluence. Cells were detached using collagenase IV solution were re-plated 1:2 on the HA-coated plates. After two passages with collagenase on HA, the cells were passaged with trypLE Select (Gibco by Life Tech, Paisley, UK ) as per manufacturer’s instructions onto CellStart</w:t>
      </w:r>
      <w:r w:rsidR="00D0554F" w:rsidRPr="00BB4858">
        <w:rPr>
          <w:vertAlign w:val="superscript"/>
        </w:rPr>
        <w:t>TM</w:t>
      </w:r>
      <w:r w:rsidR="00D0554F">
        <w:t>, until the disappearance of colony-like clusters from the cultures and appearance of a uniform, bi-polar fibrblastic cell morphology. During the trypLE Select passaging, the splitting ratio ranged from 1:1 to 1:6 depending on confluence or transition from growth in 6-well plates to T25 and T75 flasks (VWR, Leighton Buzzard, UK).</w:t>
      </w:r>
      <w:r w:rsidR="00CF570A" w:rsidRPr="00EE1D73">
        <w:t>(I) Brightfield microscopy of cultures of the RC9 hESC line subject to enzymatic di</w:t>
      </w:r>
      <w:r w:rsidR="009676A4">
        <w:t xml:space="preserve">ssociation </w:t>
      </w:r>
      <w:r w:rsidR="00CF570A" w:rsidRPr="00EE1D73">
        <w:t xml:space="preserve"> with collagenase (p1 &amp; p2) and TrypleSelect (p3) on a planar substrate of HA in Human Dermal Fibroblast Conditioned Medium (HA/HDF CM) . (II) Flow cytometry characterization of RC9 HA/HDF CM derived MSC-like cells @ passage 6 post transition to a planar  coating of HA for CD146, 105, CD90 and CD45.</w:t>
      </w:r>
      <w:r w:rsidR="00AF5E09">
        <w:rPr>
          <w:b/>
        </w:rPr>
        <w:t xml:space="preserve"> </w:t>
      </w:r>
      <w:r w:rsidR="009676A4" w:rsidRPr="00773E58">
        <w:t xml:space="preserve">Grey profile, isotype antibody. Red profile, CD epitope targeted antibody. Percentage is proportion of CD epitope targeted </w:t>
      </w:r>
      <w:r w:rsidR="003F6EA3" w:rsidRPr="00773E58">
        <w:t>cells against gating for isotype control.</w:t>
      </w:r>
    </w:p>
    <w:p w14:paraId="256D4EFC" w14:textId="77777777" w:rsidR="00C17C37" w:rsidRDefault="00C17C37" w:rsidP="00743336">
      <w:pPr>
        <w:jc w:val="both"/>
      </w:pPr>
    </w:p>
    <w:p w14:paraId="6D7BD078" w14:textId="643AD978" w:rsidR="00AF5E09" w:rsidRPr="00593F85" w:rsidRDefault="00AF5E09" w:rsidP="00AF5E09">
      <w:pPr>
        <w:pStyle w:val="NormalWeb"/>
        <w:spacing w:before="0" w:beforeAutospacing="0" w:after="0" w:afterAutospacing="0"/>
        <w:jc w:val="both"/>
      </w:pPr>
      <w:r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>Supplementary Figure 2</w:t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.   </w:t>
      </w:r>
      <w:r w:rsidRPr="00EE1D73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  <w:t>Forward and Side Scatter Flow cytometry profiles for independent assessment</w:t>
      </w:r>
      <w:r w:rsidR="00EE1D73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  <w:t>s</w:t>
      </w:r>
      <w:r w:rsidRPr="00EE1D73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  <w:t xml:space="preserve"> </w:t>
      </w:r>
      <w:r w:rsidR="00EE1D73" w:rsidRPr="00EE1D73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  <w:t>h</w:t>
      </w:r>
      <w:r w:rsidRPr="00EE1D73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  <w:t>MS @ p19</w:t>
      </w:r>
      <w:r w:rsidR="00EE1D73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  <w:t xml:space="preserve"> post HA</w:t>
      </w:r>
      <w:r w:rsidRPr="00EE1D73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  <w:t xml:space="preserve"> </w:t>
      </w:r>
      <w:r w:rsidR="00593F85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  <w:t xml:space="preserve">surface markers. </w:t>
      </w:r>
      <w:r w:rsidR="00593F85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Corresponds to</w:t>
      </w:r>
      <w:r w:rsidR="00785086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outcomes presented</w:t>
      </w:r>
      <w:r w:rsidR="00074FFD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</w:t>
      </w:r>
      <w:r w:rsidRPr="00593F85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in</w:t>
      </w:r>
      <w:r w:rsidR="00785086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Fig. 1C, and Suppl. Fig.</w:t>
      </w:r>
      <w:r w:rsidR="00EE1D73" w:rsidRPr="00593F85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3 &amp; 4.</w:t>
      </w:r>
    </w:p>
    <w:p w14:paraId="41F96AE7" w14:textId="11B62891" w:rsidR="00AF5E09" w:rsidRDefault="00AF5E09" w:rsidP="00743336">
      <w:pPr>
        <w:jc w:val="both"/>
      </w:pPr>
    </w:p>
    <w:p w14:paraId="143EF687" w14:textId="77777777" w:rsidR="00A1581A" w:rsidRDefault="00A1581A" w:rsidP="00743336">
      <w:pPr>
        <w:jc w:val="both"/>
      </w:pPr>
    </w:p>
    <w:p w14:paraId="1886FB8F" w14:textId="1DC14FDA" w:rsidR="00AF5E09" w:rsidRDefault="00AF5E09" w:rsidP="00AF5E09">
      <w:pPr>
        <w:pStyle w:val="NormalWeb"/>
        <w:spacing w:before="0" w:beforeAutospacing="0" w:after="0" w:afterAutospacing="0"/>
        <w:jc w:val="both"/>
      </w:pPr>
      <w:r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>Supplementary Figure 3</w:t>
      </w:r>
      <w:r w:rsidRPr="00EE1D73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>.   Flow cytometry profiles for</w:t>
      </w:r>
      <w:r w:rsidR="00EE1D73" w:rsidRPr="00EE1D73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 xml:space="preserve"> cell surface markers on hMS</w:t>
      </w:r>
      <w:r w:rsidRPr="00EE1D73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 xml:space="preserve"> @ p19</w:t>
      </w:r>
      <w:r w:rsidR="00EE1D73" w:rsidRPr="00EE1D73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 xml:space="preserve"> post HA</w:t>
      </w:r>
      <w:r w:rsidRPr="00EE1D73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>.</w:t>
      </w:r>
      <w:r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 xml:space="preserve">   </w:t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Independent replicate experiments </w:t>
      </w:r>
      <w:r w:rsidR="00785086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for assessment of cell surface markers </w:t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denoted in </w:t>
      </w:r>
      <w:r>
        <w:rPr>
          <w:rFonts w:asciiTheme="minorHAnsi" w:eastAsiaTheme="minorEastAsia" w:hAnsi="Calibri" w:cstheme="minorBidi"/>
          <w:color w:val="1F4E79" w:themeColor="accent1" w:themeShade="80"/>
          <w:kern w:val="24"/>
          <w:sz w:val="22"/>
          <w:szCs w:val="22"/>
        </w:rPr>
        <w:t>blue</w:t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and </w:t>
      </w:r>
      <w:r>
        <w:rPr>
          <w:rFonts w:asciiTheme="minorHAnsi" w:eastAsiaTheme="minorEastAsia" w:hAnsi="Calibri" w:cstheme="minorBidi"/>
          <w:color w:val="FF0000"/>
          <w:kern w:val="24"/>
          <w:sz w:val="22"/>
          <w:szCs w:val="22"/>
        </w:rPr>
        <w:t>red</w:t>
      </w:r>
      <w:r w:rsidR="00785086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as relates to forward/side scatter profiles depicted in Suppl. Fig.</w:t>
      </w:r>
      <w:r w:rsidR="00EE1D73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  2. </w:t>
      </w:r>
      <w:r w:rsidR="00785086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Surface markers identified according to Cluster of Differentiation (CD) designation. Correspondence to gene names as follows: CD49 a, b, c, d, e, f, correspond to Integrin alpha 1, 2, 3, 4, 5 &amp; 6; CD29</w:t>
      </w:r>
      <w:r w:rsidR="002B743C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, Integrin beta 1; CD44, Matrix adhesion molecule that adheres to HA, collagen, laminin and fibronectin; CD71 Transferrin Receptor; CD73, 5’</w:t>
      </w:r>
      <w:r w:rsidR="00326D36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R</w:t>
      </w:r>
      <w:r w:rsidR="002B743C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ibonucleotide </w:t>
      </w:r>
      <w:r w:rsidR="00326D36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P</w:t>
      </w:r>
      <w:r w:rsidR="002B743C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hosphohydrolase, also known as ecto-5’ nucleotidase (NT5E); CD56, N</w:t>
      </w:r>
      <w:r w:rsidR="00326D36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eural Cell Adhesion M</w:t>
      </w:r>
      <w:r w:rsidR="002B743C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olecule (NCAM); CD133, Prominin-1; CD13,  Alanyl Aminopeptidase N (ANPEP)</w:t>
      </w:r>
      <w:r w:rsidR="00326D36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; CD146, Melanoma Cell Adhesion Molecule (MCAM); CD105, Endoglin; CD90, Thy1 Cell Surface Antigen; CD271, </w:t>
      </w:r>
      <w:r w:rsidR="00921EBE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p</w:t>
      </w:r>
      <w:r w:rsidR="00326D36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75 Low Affinity Nerve Growth Factor Receptor; CD166, Activated Leukocyte Cell Adhesion </w:t>
      </w:r>
      <w:r w:rsidR="00326D36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lastRenderedPageBreak/>
        <w:t xml:space="preserve">Molecule, ALCAM; CD34, Transmembrane Glycoprotein associated with haematopoietic precursors; HLA I &amp; II, Human Leukocyte Antigen Type I &amp; 2. </w:t>
      </w:r>
    </w:p>
    <w:p w14:paraId="0D6D560C" w14:textId="77777777" w:rsidR="00AF5E09" w:rsidRDefault="00AF5E09" w:rsidP="00743336">
      <w:pPr>
        <w:jc w:val="both"/>
      </w:pPr>
    </w:p>
    <w:p w14:paraId="368ACD92" w14:textId="66F35E85" w:rsidR="00AF5E09" w:rsidRPr="00EE1D73" w:rsidRDefault="00EE1D73" w:rsidP="00AF5E09">
      <w:pPr>
        <w:pStyle w:val="NormalWeb"/>
        <w:spacing w:before="0" w:beforeAutospacing="0" w:after="0" w:afterAutospacing="0"/>
        <w:jc w:val="both"/>
        <w:rPr>
          <w:b/>
        </w:rPr>
      </w:pPr>
      <w:r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>Supplementary Figure 4</w:t>
      </w:r>
      <w:r w:rsidR="00AF5E09" w:rsidRPr="00EE1D73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 xml:space="preserve">.  </w:t>
      </w:r>
      <w:r w:rsidRPr="00EE1D73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>Summary of flow cytometry outcomes in two independent batches of hMS @p19 post HA</w:t>
      </w:r>
      <w:r w:rsidR="00785086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 xml:space="preserve">. </w:t>
      </w:r>
      <w:r w:rsidRPr="00EE1D73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 xml:space="preserve"> </w:t>
      </w:r>
      <w:r w:rsidR="00785086">
        <w:rPr>
          <w:rFonts w:asciiTheme="minorHAnsi" w:eastAsiaTheme="minorEastAsia" w:hAnsi="Calibri" w:cstheme="minorBidi"/>
          <w:bCs/>
          <w:color w:val="000000" w:themeColor="text1"/>
          <w:kern w:val="24"/>
          <w:sz w:val="22"/>
          <w:szCs w:val="22"/>
        </w:rPr>
        <w:t>Production and assessment of batches temporally separated by 5 weeks. Profiles for each outcome depicted i</w:t>
      </w:r>
      <w:r w:rsidRPr="00785086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n Supplementary Figures 2-3.</w:t>
      </w:r>
      <w:r w:rsidRPr="00EE1D73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  <w:t xml:space="preserve"> </w:t>
      </w:r>
    </w:p>
    <w:p w14:paraId="05FD3142" w14:textId="77777777" w:rsidR="00AF5E09" w:rsidRDefault="00AF5E09" w:rsidP="00AF5E09">
      <w:pPr>
        <w:pStyle w:val="NormalWeb"/>
        <w:spacing w:before="0" w:beforeAutospacing="0" w:after="0" w:afterAutospacing="0"/>
        <w:rPr>
          <w:rFonts w:asciiTheme="minorHAnsi" w:eastAsiaTheme="minorEastAsia" w:hAnsi="Calibri" w:cstheme="minorBidi"/>
          <w:color w:val="000000" w:themeColor="text1"/>
          <w:kern w:val="24"/>
        </w:rPr>
      </w:pPr>
    </w:p>
    <w:p w14:paraId="5D5774EF" w14:textId="616D10D8" w:rsidR="00D367B3" w:rsidRDefault="00D367B3" w:rsidP="00D367B3">
      <w:pPr>
        <w:pStyle w:val="NormalWeb"/>
        <w:spacing w:before="0" w:beforeAutospacing="0" w:after="0" w:afterAutospacing="0"/>
        <w:jc w:val="both"/>
      </w:pPr>
      <w:r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  <w:lang w:val="en-US"/>
        </w:rPr>
        <w:t xml:space="preserve">Supplementary Figure 5. </w:t>
      </w:r>
      <w:r w:rsidR="00EE1D73" w:rsidRPr="00EE1D73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  <w:lang w:val="en-US"/>
        </w:rPr>
        <w:t>Schematics of e</w:t>
      </w:r>
      <w:r w:rsidRPr="00EE1D73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  <w:lang w:val="en-US"/>
        </w:rPr>
        <w:t xml:space="preserve">xperimental designs for assessment of </w:t>
      </w:r>
      <w:r w:rsidR="00EE1D73" w:rsidRPr="00EE1D73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  <w:lang w:val="en-US"/>
        </w:rPr>
        <w:t xml:space="preserve">hMS </w:t>
      </w:r>
      <w:r w:rsidR="00EE1D73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  <w:lang w:val="en-US"/>
        </w:rPr>
        <w:t>potencies</w:t>
      </w:r>
      <w:r w:rsidR="00E63587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  <w:lang w:val="en-US"/>
        </w:rPr>
        <w:t xml:space="preserve"> to modulate haematopoietic lineages</w:t>
      </w:r>
      <w:r w:rsidR="00EE1D73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  <w:lang w:val="en-US"/>
        </w:rPr>
        <w:t xml:space="preserve"> </w:t>
      </w:r>
      <w:r w:rsidR="00326D36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  <w:lang w:val="en-US"/>
        </w:rPr>
        <w:t xml:space="preserve">in cell co-culture. </w:t>
      </w:r>
      <w:r w:rsidR="00326D36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  <w:lang w:val="en-US"/>
        </w:rPr>
        <w:t xml:space="preserve">Depicted are for assessment of: (A) </w:t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  <w:lang w:val="en-US"/>
        </w:rPr>
        <w:t>haematopo</w:t>
      </w:r>
      <w:r w:rsidR="00326D36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  <w:lang w:val="en-US"/>
        </w:rPr>
        <w:t>ietic progenitor expansion. (B)</w:t>
      </w:r>
      <w:r w:rsidR="00E63587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  <w:lang w:val="en-US"/>
        </w:rPr>
        <w:t xml:space="preserve"> </w:t>
      </w:r>
      <w:r w:rsidR="00074FFD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  <w:lang w:val="en-US"/>
        </w:rPr>
        <w:t>Inhibition</w:t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  <w:lang w:val="en-US"/>
        </w:rPr>
        <w:t xml:space="preserve"> of mitogen (Phytohemagglutinin, PHA) activated adult peripheral blood mononuclear</w:t>
      </w:r>
      <w:r w:rsidR="00326D36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  <w:lang w:val="en-US"/>
        </w:rPr>
        <w:t xml:space="preserve"> cells (PBMC) proliferation. (C)</w:t>
      </w:r>
      <w:r w:rsidR="00EE1D73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  <w:lang w:val="en-US"/>
        </w:rPr>
        <w:t xml:space="preserve"> modulation of soluble pro-inflammatory cytokine TNF</w:t>
      </w:r>
      <w:r w:rsidR="00EE1D73">
        <w:rPr>
          <w:rFonts w:asciiTheme="minorHAnsi" w:eastAsiaTheme="minorEastAsia" w:hAnsiTheme="minorHAnsi" w:cstheme="minorHAnsi"/>
          <w:color w:val="000000" w:themeColor="text1"/>
          <w:kern w:val="24"/>
          <w:sz w:val="22"/>
          <w:szCs w:val="22"/>
          <w:lang w:val="en-US"/>
        </w:rPr>
        <w:t>α</w:t>
      </w:r>
      <w:r w:rsidR="00EE1D73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  <w:lang w:val="en-US"/>
        </w:rPr>
        <w:t xml:space="preserve"> and IL6 </w:t>
      </w:r>
      <w:r w:rsidR="00E63587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  <w:lang w:val="en-US"/>
        </w:rPr>
        <w:t xml:space="preserve">secretion </w:t>
      </w:r>
      <w:r w:rsidR="00EE1D73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  <w:lang w:val="en-US"/>
        </w:rPr>
        <w:t xml:space="preserve">from </w:t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  <w:lang w:val="en-US"/>
        </w:rPr>
        <w:t>immortalized THP1-Monocyte (Mɸ</w:t>
      </w:r>
      <w:r w:rsidR="00E63587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  <w:lang w:val="en-US"/>
        </w:rPr>
        <w:t>).</w:t>
      </w:r>
      <w:r w:rsidR="00EE1D73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  <w:lang w:val="en-US"/>
        </w:rPr>
        <w:t xml:space="preserve">. </w:t>
      </w:r>
    </w:p>
    <w:p w14:paraId="7F2DEB5B" w14:textId="77777777" w:rsidR="00D367B3" w:rsidRDefault="00D367B3" w:rsidP="00074FFD">
      <w:pPr>
        <w:jc w:val="both"/>
      </w:pPr>
    </w:p>
    <w:p w14:paraId="1FAB0FE6" w14:textId="36C4F4DE" w:rsidR="00AF5E09" w:rsidRPr="00545F5A" w:rsidRDefault="00557652" w:rsidP="00074FFD">
      <w:pPr>
        <w:pStyle w:val="NormalWeb"/>
        <w:spacing w:before="0" w:beforeAutospacing="0" w:after="0" w:afterAutospacing="0"/>
        <w:jc w:val="both"/>
        <w:rPr>
          <w:rFonts w:hAnsiTheme="minorHAnsi"/>
          <w:sz w:val="22"/>
          <w:szCs w:val="22"/>
        </w:rPr>
      </w:pPr>
      <w:r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  <w:t xml:space="preserve">Supplementary Figure </w:t>
      </w:r>
      <w:r w:rsidR="00AF5E09" w:rsidRPr="00AF5E09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  <w:t>6</w:t>
      </w:r>
      <w:r w:rsidR="00AF5E09" w:rsidRPr="00AF5E09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. </w:t>
      </w:r>
      <w:r w:rsidR="00C2671B" w:rsidRPr="00545F5A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  <w:t xml:space="preserve">Enhanced </w:t>
      </w:r>
      <w:r w:rsidR="00074FFD" w:rsidRPr="00545F5A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  <w:t>Volcano depiction</w:t>
      </w:r>
      <w:r w:rsidR="00545F5A" w:rsidRPr="00545F5A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  <w:t xml:space="preserve"> of </w:t>
      </w:r>
      <w:r w:rsidR="00C2671B" w:rsidRPr="00545F5A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  <w:t>distribution of changes in total gene expression assessed by bulkRNA sequences</w:t>
      </w:r>
      <w:r w:rsidR="00545F5A" w:rsidRPr="00545F5A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  <w:t xml:space="preserve"> in paired comparisons: </w:t>
      </w:r>
      <w:r w:rsidR="00545F5A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(A) hMS vs hESC. (B) hMS vs </w:t>
      </w:r>
      <w:r w:rsidR="00EE3608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hBM-MSC</w:t>
      </w:r>
      <w:r w:rsidR="00C2671B" w:rsidRPr="00C2671B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. </w:t>
      </w:r>
      <w:r w:rsidR="00545F5A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Vertical axis: Significance as –Log</w:t>
      </w:r>
      <w:r w:rsidR="00545F5A">
        <w:rPr>
          <w:rFonts w:asciiTheme="minorHAnsi" w:eastAsiaTheme="minorEastAsia" w:hAnsiTheme="minorHAnsi" w:cstheme="minorBidi"/>
          <w:color w:val="000000" w:themeColor="text1"/>
          <w:kern w:val="24"/>
          <w:sz w:val="22"/>
          <w:szCs w:val="22"/>
          <w:vertAlign w:val="subscript"/>
        </w:rPr>
        <w:t>10</w:t>
      </w:r>
      <w:r w:rsidR="00545F5A">
        <w:rPr>
          <w:rFonts w:asciiTheme="minorHAnsi" w:eastAsiaTheme="minorEastAsia" w:hAnsiTheme="minorHAnsi" w:cstheme="minorBidi"/>
          <w:i/>
          <w:color w:val="000000" w:themeColor="text1"/>
          <w:kern w:val="24"/>
          <w:sz w:val="22"/>
          <w:szCs w:val="22"/>
        </w:rPr>
        <w:t>P</w:t>
      </w:r>
      <w:r w:rsidR="00545F5A">
        <w:rPr>
          <w:rFonts w:asciiTheme="minorHAnsi" w:eastAsiaTheme="minorEastAsia" w:hAnsiTheme="minorHAnsi" w:cstheme="minorBidi"/>
          <w:color w:val="000000" w:themeColor="text1"/>
          <w:kern w:val="24"/>
          <w:sz w:val="22"/>
          <w:szCs w:val="22"/>
        </w:rPr>
        <w:t>. Horizontal axis: Log</w:t>
      </w:r>
      <w:r w:rsidR="00545F5A">
        <w:rPr>
          <w:rFonts w:asciiTheme="minorHAnsi" w:eastAsiaTheme="minorEastAsia" w:hAnsiTheme="minorHAnsi" w:cstheme="minorBidi"/>
          <w:color w:val="000000" w:themeColor="text1"/>
          <w:kern w:val="24"/>
          <w:sz w:val="22"/>
          <w:szCs w:val="22"/>
          <w:vertAlign w:val="subscript"/>
        </w:rPr>
        <w:t>2</w:t>
      </w:r>
      <w:r w:rsidR="00545F5A">
        <w:rPr>
          <w:rFonts w:asciiTheme="minorHAnsi" w:eastAsiaTheme="minorEastAsia" w:hAnsiTheme="minorHAnsi" w:cstheme="minorBidi"/>
          <w:color w:val="000000" w:themeColor="text1"/>
          <w:kern w:val="24"/>
          <w:sz w:val="22"/>
          <w:szCs w:val="22"/>
        </w:rPr>
        <w:t xml:space="preserve"> fold change. Circles constitute RNA transcript variant. Legend depicts range of statistical significance of fold change for transcript according to colour: Purple, non-significant. Blue to yellow increasing significance. Dashed lines denote adjusted p-value &lt; 0.05. Total number of genes assessed 20964.</w:t>
      </w:r>
    </w:p>
    <w:p w14:paraId="008DBE8E" w14:textId="77777777" w:rsidR="00AF5E09" w:rsidRDefault="00AF5E09" w:rsidP="00074FFD">
      <w:pPr>
        <w:jc w:val="both"/>
      </w:pPr>
    </w:p>
    <w:p w14:paraId="289808AE" w14:textId="7C7FAAF5" w:rsidR="00545F5A" w:rsidRDefault="00AF5E09" w:rsidP="00074FF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>Supplementary Figure 7</w:t>
      </w:r>
      <w:r w:rsidR="00545F5A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 xml:space="preserve"> </w:t>
      </w:r>
      <w:r w:rsidR="00A22605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 xml:space="preserve">Chart of </w:t>
      </w:r>
      <w:r w:rsidR="003D14C4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 xml:space="preserve">Top 20 GO for Biological Processes enriched by RNA transcripts exhibiting </w:t>
      </w:r>
      <w:r w:rsidR="003D14C4">
        <w:rPr>
          <w:rFonts w:asciiTheme="minorHAnsi" w:eastAsiaTheme="minorEastAsia" w:hAnsiTheme="minorHAnsi" w:cstheme="minorHAnsi"/>
          <w:b/>
          <w:bCs/>
          <w:color w:val="000000" w:themeColor="text1"/>
          <w:kern w:val="24"/>
          <w:sz w:val="22"/>
          <w:szCs w:val="22"/>
        </w:rPr>
        <w:t>≥</w:t>
      </w:r>
      <w:r w:rsidR="003D14C4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 xml:space="preserve"> 2 fold changes in hMS vs hESC. </w:t>
      </w:r>
      <w:r w:rsidR="00545F5A" w:rsidRPr="003D14C4">
        <w:rPr>
          <w:rFonts w:asciiTheme="minorHAnsi" w:eastAsiaTheme="minorEastAsia" w:hAnsi="Calibri" w:cstheme="minorBidi"/>
          <w:bCs/>
          <w:color w:val="000000" w:themeColor="text1"/>
          <w:kern w:val="24"/>
          <w:sz w:val="22"/>
          <w:szCs w:val="22"/>
        </w:rPr>
        <w:t>Shiny</w:t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GO v 0.77 Ge</w:t>
      </w:r>
      <w:r w:rsidR="00545F5A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ne Ontology Enrichment Analysis generated lollipop chart</w:t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</w:t>
      </w:r>
      <w:r w:rsidR="003D14C4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of </w:t>
      </w:r>
      <w:r w:rsidR="00A22605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significantly enriched </w:t>
      </w:r>
      <w:r w:rsidR="003D14C4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GO</w:t>
      </w:r>
      <w:r w:rsidR="00A22605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following</w:t>
      </w:r>
      <w:r w:rsidR="003D14C4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</w:t>
      </w:r>
      <w:r w:rsidR="00A22605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interrogation of algorithm with</w:t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genes upregulated (A, n=4246) and downregulated (B, n= 5715)  ≥</w:t>
      </w:r>
      <w:r w:rsidR="00545F5A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2 fold</w:t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in hMS vs hESC. </w:t>
      </w:r>
      <w:r w:rsidR="00545F5A" w:rsidRPr="003D14C4">
        <w:rPr>
          <w:rFonts w:asciiTheme="minorHAnsi" w:hAnsiTheme="minorHAnsi" w:cstheme="minorHAnsi"/>
          <w:sz w:val="22"/>
          <w:szCs w:val="22"/>
        </w:rPr>
        <w:t>Gene Ontologies (vertical axis) in relation to fold enrichment (horizontal axis). Legend: number of genes in a GO denoted by circle size and  –log</w:t>
      </w:r>
      <w:r w:rsidR="00545F5A" w:rsidRPr="003D14C4">
        <w:rPr>
          <w:rFonts w:asciiTheme="minorHAnsi" w:hAnsiTheme="minorHAnsi" w:cstheme="minorHAnsi"/>
          <w:sz w:val="22"/>
          <w:szCs w:val="22"/>
          <w:vertAlign w:val="subscript"/>
        </w:rPr>
        <w:t>10</w:t>
      </w:r>
      <w:r w:rsidR="00545F5A" w:rsidRPr="003D14C4">
        <w:rPr>
          <w:rFonts w:asciiTheme="minorHAnsi" w:hAnsiTheme="minorHAnsi" w:cstheme="minorHAnsi"/>
          <w:sz w:val="22"/>
          <w:szCs w:val="22"/>
        </w:rPr>
        <w:t>FDR of fold enrichment for a GO denoted by colour: blue to red, low to high. FDR, False Discovery Rate.</w:t>
      </w:r>
      <w:r w:rsidR="003D14C4">
        <w:rPr>
          <w:rFonts w:asciiTheme="minorHAnsi" w:hAnsiTheme="minorHAnsi" w:cstheme="minorHAnsi"/>
          <w:sz w:val="22"/>
          <w:szCs w:val="22"/>
        </w:rPr>
        <w:t>Performed 14 April 2023.</w:t>
      </w:r>
    </w:p>
    <w:p w14:paraId="4F1C4150" w14:textId="77777777" w:rsidR="003D14C4" w:rsidRDefault="003D14C4" w:rsidP="00074FFD">
      <w:pPr>
        <w:pStyle w:val="NormalWeb"/>
        <w:spacing w:before="0" w:beforeAutospacing="0" w:after="0" w:afterAutospacing="0"/>
        <w:jc w:val="both"/>
      </w:pPr>
    </w:p>
    <w:p w14:paraId="345F9539" w14:textId="2524711F" w:rsidR="00AF5E09" w:rsidRDefault="00AF5E09" w:rsidP="00074FFD">
      <w:pPr>
        <w:pStyle w:val="NormalWeb"/>
        <w:spacing w:before="0" w:beforeAutospacing="0" w:after="0" w:afterAutospacing="0"/>
        <w:jc w:val="both"/>
      </w:pPr>
      <w:r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>Supplementary Figure 8.</w:t>
      </w:r>
      <w:r w:rsidR="003D14C4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 xml:space="preserve"> N</w:t>
      </w:r>
      <w:r w:rsidR="00A22605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>etwork</w:t>
      </w:r>
      <w:r w:rsidR="003D14C4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 xml:space="preserve"> of Top 20 GO for Biological Processes enriched by RNA transcripts exhibiting </w:t>
      </w:r>
      <w:r w:rsidR="003D14C4">
        <w:rPr>
          <w:rFonts w:asciiTheme="minorHAnsi" w:eastAsiaTheme="minorEastAsia" w:hAnsiTheme="minorHAnsi" w:cstheme="minorHAnsi"/>
          <w:b/>
          <w:bCs/>
          <w:color w:val="000000" w:themeColor="text1"/>
          <w:kern w:val="24"/>
          <w:sz w:val="22"/>
          <w:szCs w:val="22"/>
        </w:rPr>
        <w:t>≥ 2 fold changes in hMS vs hESC.</w:t>
      </w:r>
      <w:r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 xml:space="preserve"> </w:t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ShinyGO v 0.77 Gene Ontology Enrichment Analysis </w:t>
      </w:r>
      <w:r w:rsidR="003D14C4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generated graph</w:t>
      </w:r>
      <w:r w:rsidR="00A22605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of significantly enriched</w:t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</w:t>
      </w:r>
      <w:r w:rsidR="003D14C4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GO</w:t>
      </w:r>
      <w:r w:rsidR="00A22605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e following</w:t>
      </w:r>
      <w:r w:rsidR="003D14C4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</w:t>
      </w:r>
      <w:r w:rsidR="00A22605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interrogation of algorithm with </w:t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genes upregulated (A, n=4246) and downregulated (B, n= 5715)  ≥</w:t>
      </w:r>
      <w:r w:rsidR="004B1270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2 fold</w:t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in h</w:t>
      </w:r>
      <w:r w:rsidR="00A22605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MS vs hESC. Network</w:t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correspo</w:t>
      </w:r>
      <w:r w:rsidR="00A22605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nds to chart</w:t>
      </w:r>
      <w:r w:rsidR="003D14C4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in Suppl. Fig</w:t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.</w:t>
      </w:r>
      <w:r w:rsidR="003D14C4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7</w:t>
      </w:r>
      <w:r w:rsidR="004B1270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.</w:t>
      </w:r>
      <w:r w:rsidR="004B1270" w:rsidRPr="004B1270">
        <w:t xml:space="preserve"> </w:t>
      </w:r>
      <w:r w:rsidR="004B1270" w:rsidRPr="004B1270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Each node represents an enriched GO term, the size of the node corresponds to the number of genes and thickness of lines connecting nodes reflects percent of overlapping genes. </w:t>
      </w:r>
      <w:r w:rsidR="004B1270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</w:t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Performed 14 April 2023.</w:t>
      </w:r>
    </w:p>
    <w:p w14:paraId="51EC7596" w14:textId="71577103" w:rsidR="00AF5E09" w:rsidRDefault="00AF5E09" w:rsidP="00074FFD">
      <w:pPr>
        <w:pStyle w:val="NormalWeb"/>
        <w:spacing w:before="0" w:beforeAutospacing="0" w:after="0" w:afterAutospacing="0"/>
        <w:jc w:val="both"/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</w:pPr>
    </w:p>
    <w:p w14:paraId="4297714F" w14:textId="29B56680" w:rsidR="00A1581A" w:rsidRDefault="00A1581A" w:rsidP="00074FFD">
      <w:pPr>
        <w:pStyle w:val="NormalWeb"/>
        <w:spacing w:before="0" w:beforeAutospacing="0" w:after="0" w:afterAutospacing="0"/>
        <w:jc w:val="both"/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</w:pPr>
    </w:p>
    <w:p w14:paraId="2481E224" w14:textId="2901AB09" w:rsidR="00A22605" w:rsidRDefault="00AF5E09" w:rsidP="00074FF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 xml:space="preserve">Supplementary Figure 9. </w:t>
      </w:r>
      <w:r w:rsidR="00A22605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 xml:space="preserve">Chart of Top 20 GO for Biological Processes enriched by RNA transcripts exhibiting </w:t>
      </w:r>
      <w:r w:rsidR="00A22605">
        <w:rPr>
          <w:rFonts w:asciiTheme="minorHAnsi" w:eastAsiaTheme="minorEastAsia" w:hAnsiTheme="minorHAnsi" w:cstheme="minorHAnsi"/>
          <w:b/>
          <w:bCs/>
          <w:color w:val="000000" w:themeColor="text1"/>
          <w:kern w:val="24"/>
          <w:sz w:val="22"/>
          <w:szCs w:val="22"/>
        </w:rPr>
        <w:t xml:space="preserve">≥ 2 fold changes in hMS vs </w:t>
      </w:r>
      <w:r w:rsidR="00EE3608">
        <w:rPr>
          <w:rFonts w:asciiTheme="minorHAnsi" w:eastAsiaTheme="minorEastAsia" w:hAnsiTheme="minorHAnsi" w:cstheme="minorHAnsi"/>
          <w:b/>
          <w:bCs/>
          <w:color w:val="000000" w:themeColor="text1"/>
          <w:kern w:val="24"/>
          <w:sz w:val="22"/>
          <w:szCs w:val="22"/>
        </w:rPr>
        <w:t>hBM-MSC</w:t>
      </w:r>
      <w:r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 xml:space="preserve"> </w:t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ShinyGO v 0.77 Gene Ontology Enrichment Analysis  </w:t>
      </w:r>
      <w:r w:rsidR="00A22605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generated graph of significantly enriched GO following interrogation of algorithm with genes  </w:t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upregulated (A, n=2090) and downregulated (B, n=1593)  ≥</w:t>
      </w:r>
      <w:r w:rsidR="004B1270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2 fold</w:t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in hMS vs hBM-MSC. </w:t>
      </w:r>
      <w:r w:rsidR="00A22605" w:rsidRPr="003D14C4">
        <w:rPr>
          <w:rFonts w:asciiTheme="minorHAnsi" w:hAnsiTheme="minorHAnsi" w:cstheme="minorHAnsi"/>
          <w:sz w:val="22"/>
          <w:szCs w:val="22"/>
        </w:rPr>
        <w:t>Gene Ontologies (vertical axis) in relation to fold enrichment (horizontal axis). Legend: number of genes in a GO denoted by circle size and  –log</w:t>
      </w:r>
      <w:r w:rsidR="00A22605" w:rsidRPr="003D14C4">
        <w:rPr>
          <w:rFonts w:asciiTheme="minorHAnsi" w:hAnsiTheme="minorHAnsi" w:cstheme="minorHAnsi"/>
          <w:sz w:val="22"/>
          <w:szCs w:val="22"/>
          <w:vertAlign w:val="subscript"/>
        </w:rPr>
        <w:t>10</w:t>
      </w:r>
      <w:r w:rsidR="00A22605" w:rsidRPr="003D14C4">
        <w:rPr>
          <w:rFonts w:asciiTheme="minorHAnsi" w:hAnsiTheme="minorHAnsi" w:cstheme="minorHAnsi"/>
          <w:sz w:val="22"/>
          <w:szCs w:val="22"/>
        </w:rPr>
        <w:t>FDR of fold enrichment for a GO denoted by colour: blue to red, low to high. FDR, False Discovery Rate.</w:t>
      </w:r>
      <w:r w:rsidR="00A22605">
        <w:rPr>
          <w:rFonts w:asciiTheme="minorHAnsi" w:hAnsiTheme="minorHAnsi" w:cstheme="minorHAnsi"/>
          <w:sz w:val="22"/>
          <w:szCs w:val="22"/>
        </w:rPr>
        <w:t>Performed 14 April 2023.</w:t>
      </w:r>
    </w:p>
    <w:p w14:paraId="644BC64B" w14:textId="77777777" w:rsidR="00A22605" w:rsidRDefault="00A22605" w:rsidP="00074FFD">
      <w:pPr>
        <w:pStyle w:val="NormalWeb"/>
        <w:spacing w:before="0" w:beforeAutospacing="0" w:after="0" w:afterAutospacing="0"/>
        <w:jc w:val="both"/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</w:pPr>
    </w:p>
    <w:p w14:paraId="1C067C26" w14:textId="01A28A05" w:rsidR="00AF5E09" w:rsidRDefault="00AF5E09" w:rsidP="00074FFD">
      <w:pPr>
        <w:pStyle w:val="NormalWeb"/>
        <w:spacing w:before="0" w:beforeAutospacing="0" w:after="0" w:afterAutospacing="0"/>
        <w:jc w:val="both"/>
      </w:pPr>
      <w:r w:rsidRPr="00AF5E09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  <w:t>Supplementary Figure 10.</w:t>
      </w:r>
      <w:r w:rsidR="00A22605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  <w:t xml:space="preserve"> Network of Top 20 GO for Biological Processes enriched by RNA transcripts exhibiting </w:t>
      </w:r>
      <w:r w:rsidR="00A22605">
        <w:rPr>
          <w:rFonts w:asciiTheme="minorHAnsi" w:eastAsiaTheme="minorEastAsia" w:hAnsiTheme="minorHAnsi" w:cstheme="minorHAnsi"/>
          <w:b/>
          <w:color w:val="000000" w:themeColor="text1"/>
          <w:kern w:val="24"/>
          <w:sz w:val="22"/>
          <w:szCs w:val="22"/>
        </w:rPr>
        <w:t>≥</w:t>
      </w:r>
      <w:r w:rsidR="00A22605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  <w:t xml:space="preserve"> 2 fold changes in hMS vs hBM hESC</w:t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 ShinyGO v 0.77 Gene Ontology Enrichment Analysis  </w:t>
      </w:r>
      <w:r w:rsidR="00A22605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generated graph of significantly enriched GO following interrogation of algorithm with</w:t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genes upregulated (A, n=2090) and downregulated (B, n=1593)  ≥</w:t>
      </w:r>
      <w:r w:rsidR="004B1270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2 fold</w:t>
      </w:r>
      <w:r w:rsidR="00A22605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in hMS vs hBM-MSC. </w:t>
      </w:r>
      <w:r w:rsidR="00A22605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lastRenderedPageBreak/>
        <w:t>Network corresponds</w:t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</w:t>
      </w:r>
      <w:r w:rsidR="00A22605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to chart in Suppl. Fig 9.</w:t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</w:t>
      </w:r>
      <w:r w:rsidR="004B1270" w:rsidRPr="004B1270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Each node represents an enriched GO term, the size of the node corresponds to the number of genes and thickness of lines connecting nodes reflects percent of overlapping genes. </w:t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Performed 14 April 2023.</w:t>
      </w:r>
    </w:p>
    <w:p w14:paraId="3FD57866" w14:textId="77777777" w:rsidR="00AF5E09" w:rsidRDefault="00AF5E09" w:rsidP="00074FFD">
      <w:pPr>
        <w:pStyle w:val="NormalWeb"/>
        <w:spacing w:before="0" w:beforeAutospacing="0" w:after="0" w:afterAutospacing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7B78BC8A" w14:textId="5EC1615E" w:rsidR="00AF5E09" w:rsidRPr="00AF5E09" w:rsidRDefault="00557652" w:rsidP="00074FFD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 xml:space="preserve">Supplementary Figure </w:t>
      </w:r>
      <w:r w:rsidR="00AF5E09" w:rsidRPr="00AF5E09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 xml:space="preserve">11.   Top 20 </w:t>
      </w:r>
      <w:r w:rsidR="004B1270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>C</w:t>
      </w:r>
      <w:r w:rsidR="00AF5E09" w:rsidRPr="00AF5E09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>urated Reactome</w:t>
      </w:r>
      <w:r w:rsidR="004B1270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 xml:space="preserve"> GO</w:t>
      </w:r>
      <w:r w:rsidR="004B1270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</w:t>
      </w:r>
      <w:r w:rsidR="004B1270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  <w:t xml:space="preserve">enriched by RNA transcripts exhibiting a </w:t>
      </w:r>
      <w:r w:rsidR="004B1270">
        <w:rPr>
          <w:rFonts w:asciiTheme="minorHAnsi" w:eastAsiaTheme="minorEastAsia" w:hAnsiTheme="minorHAnsi" w:cstheme="minorHAnsi"/>
          <w:b/>
          <w:color w:val="000000" w:themeColor="text1"/>
          <w:kern w:val="24"/>
          <w:sz w:val="22"/>
          <w:szCs w:val="22"/>
        </w:rPr>
        <w:t>≥</w:t>
      </w:r>
      <w:r w:rsidR="004B1270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  <w:t xml:space="preserve"> 2 fold upregulation in hMS vs hESC.</w:t>
      </w:r>
      <w:r w:rsidR="00AF5E09" w:rsidRPr="00AF5E09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 </w:t>
      </w:r>
      <w:r w:rsidR="004B1270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ShinyGO v 0.77 generated chart (A) and corresponding network (B) of significantly enriched GO following interrogation of algorithm with gene</w:t>
      </w:r>
      <w:r w:rsidR="00AF5E09" w:rsidRPr="00AF5E09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s upregulated  ≥</w:t>
      </w:r>
      <w:r w:rsidR="004B1270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2 fold d in hMS vs hESC (n=4246). Chart:</w:t>
      </w:r>
      <w:r w:rsidR="004B1270" w:rsidRPr="004B1270">
        <w:t xml:space="preserve"> </w:t>
      </w:r>
      <w:r w:rsidR="004B1270" w:rsidRPr="004B1270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Gene Ontologies (vertical axis) in relation to fold enrichment (horizontal axis). Legend: number of genes in a GO denoted by circle size and  –log10FDR of fold enrichment for a GO denoted by colour: blue to red, low to high. FDR, False Discovery Rate</w:t>
      </w:r>
      <w:r w:rsidR="004B1270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. Network: </w:t>
      </w:r>
      <w:r w:rsidR="004B1270" w:rsidRPr="004B1270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Each node represents an enriched GO term, the size of the node corresponds to the number of genes and thickness of lines connecting nodes reflects percent of overlapping genes.</w:t>
      </w:r>
    </w:p>
    <w:p w14:paraId="61E5F204" w14:textId="24E77615" w:rsidR="00AF5E09" w:rsidRDefault="00AF5E09" w:rsidP="00074FFD">
      <w:pPr>
        <w:jc w:val="both"/>
      </w:pPr>
    </w:p>
    <w:p w14:paraId="5C0ED687" w14:textId="038A9712" w:rsidR="004B1270" w:rsidRPr="00AF5E09" w:rsidRDefault="00557652" w:rsidP="00074FFD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>Supplementary Figure</w:t>
      </w:r>
      <w:r w:rsidR="004B1270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 xml:space="preserve"> 12</w:t>
      </w:r>
      <w:r w:rsidR="004B1270" w:rsidRPr="00AF5E09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 xml:space="preserve">.   Top 20 </w:t>
      </w:r>
      <w:r w:rsidR="004B1270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>C</w:t>
      </w:r>
      <w:r w:rsidR="004B1270" w:rsidRPr="00AF5E09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>urated Reactome</w:t>
      </w:r>
      <w:r w:rsidR="004B1270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2"/>
          <w:szCs w:val="22"/>
        </w:rPr>
        <w:t xml:space="preserve"> GO</w:t>
      </w:r>
      <w:r w:rsidR="004B1270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</w:t>
      </w:r>
      <w:r w:rsidR="004B1270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  <w:t xml:space="preserve">enriched by RNA transcripts exhibiting a </w:t>
      </w:r>
      <w:r w:rsidR="004B1270">
        <w:rPr>
          <w:rFonts w:asciiTheme="minorHAnsi" w:eastAsiaTheme="minorEastAsia" w:hAnsiTheme="minorHAnsi" w:cstheme="minorHAnsi"/>
          <w:b/>
          <w:color w:val="000000" w:themeColor="text1"/>
          <w:kern w:val="24"/>
          <w:sz w:val="22"/>
          <w:szCs w:val="22"/>
        </w:rPr>
        <w:t>≥</w:t>
      </w:r>
      <w:r w:rsidR="004B1270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  <w:t xml:space="preserve"> 2 fold upregulation in hMS vs </w:t>
      </w:r>
      <w:r w:rsidR="00EE3608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  <w:t>hBM-MSC</w:t>
      </w:r>
      <w:r w:rsidR="004B1270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  <w:t>.</w:t>
      </w:r>
      <w:r w:rsidR="004B1270" w:rsidRPr="00AF5E09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 </w:t>
      </w:r>
      <w:r w:rsidR="004B1270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ShinyGO v 0.77 generated chart (A) and corresponding network (B) of significantly enriched GO following interrogation of algorithm with gene</w:t>
      </w:r>
      <w:r w:rsidR="004B1270" w:rsidRPr="00AF5E09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s upregulated  ≥</w:t>
      </w:r>
      <w:r w:rsidR="004B1270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2 fold d in hMS vs </w:t>
      </w:r>
      <w:r w:rsidR="00EE3608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hBM-MSC</w:t>
      </w:r>
      <w:r w:rsidR="004B1270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(n=2090). Chart:</w:t>
      </w:r>
      <w:r w:rsidR="004B1270" w:rsidRPr="004B1270">
        <w:t xml:space="preserve"> </w:t>
      </w:r>
      <w:r w:rsidR="004B1270" w:rsidRPr="004B1270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Gene Ontologies (vertical axis) in relation to fold enrichment (horizontal axis). Legend: number of genes in a GO denoted by circle size and  –log10FDR of fold enrichment for a GO denoted by colour: blue to red, low to high. FDR, False Discovery Rate</w:t>
      </w:r>
      <w:r w:rsidR="004B1270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. Network: </w:t>
      </w:r>
      <w:r w:rsidR="004B1270" w:rsidRPr="004B1270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Each node represents an enriched GO term, the size of the node corresponds to the number of genes and thickness of lines connecting nodes reflects percent of overlapping genes.</w:t>
      </w:r>
    </w:p>
    <w:p w14:paraId="175DB9C0" w14:textId="77777777" w:rsidR="00557652" w:rsidRDefault="00557652" w:rsidP="00074FFD">
      <w:pPr>
        <w:jc w:val="both"/>
        <w:rPr>
          <w:b/>
        </w:rPr>
      </w:pPr>
    </w:p>
    <w:p w14:paraId="1D3E0797" w14:textId="6DC77198" w:rsidR="00AB1F11" w:rsidRDefault="00AF5E09" w:rsidP="00074FFD">
      <w:pPr>
        <w:jc w:val="both"/>
        <w:rPr>
          <w:color w:val="000000" w:themeColor="text1"/>
        </w:rPr>
      </w:pPr>
      <w:r w:rsidRPr="008908A5">
        <w:rPr>
          <w:b/>
        </w:rPr>
        <w:t>Supplementary Figure 13</w:t>
      </w:r>
      <w:r w:rsidR="008908A5">
        <w:rPr>
          <w:b/>
        </w:rPr>
        <w:t>.</w:t>
      </w:r>
      <w:r w:rsidR="00AB1F11" w:rsidRPr="008908A5">
        <w:rPr>
          <w:b/>
        </w:rPr>
        <w:t xml:space="preserve"> </w:t>
      </w:r>
      <w:r w:rsidR="00AB1F11" w:rsidRPr="008908A5">
        <w:rPr>
          <w:b/>
          <w:color w:val="000000" w:themeColor="text1"/>
        </w:rPr>
        <w:t>ShinyGo 0.76 STRING protein-protein Interaction pathway analysis for proteins encoded by top 25 RNA transcript associated genes upregulated in hMS vs hESC denoted in Figure 6.</w:t>
      </w:r>
      <w:r w:rsidR="00AB1F11">
        <w:rPr>
          <w:color w:val="000000" w:themeColor="text1"/>
        </w:rPr>
        <w:t xml:space="preserve"> Proteins encoded by RNA transcripts depicted by coloured nodes with associated gene symbol name. Colour serves only as visual aid. Line Connectors depict predicted associations: Red line-indicates presence of fusion evidence; Green line – neighbourhood evidence; Blue line – concurrence evidence; Purple line – experimental evidence; Yellow line – text mining evidence; Light blue line – database evidence; Black line – co-expression evidence. Thickness of line indicates the degree of confidence prediction. Legend: Proteins: Number of proteins depicted in figure. Interactions: Number of predicted known and predicted interactions. Expected interactions</w:t>
      </w:r>
      <w:r w:rsidR="008828E5">
        <w:rPr>
          <w:color w:val="000000" w:themeColor="text1"/>
        </w:rPr>
        <w:t xml:space="preserve">: Number of interactions expected by chance. P= significance. </w:t>
      </w:r>
    </w:p>
    <w:p w14:paraId="0E6E34D0" w14:textId="3F0A3473" w:rsidR="008908A5" w:rsidRPr="00AB1F11" w:rsidRDefault="008908A5" w:rsidP="00074FFD">
      <w:pPr>
        <w:jc w:val="both"/>
        <w:rPr>
          <w:b/>
        </w:rPr>
      </w:pPr>
      <w:r w:rsidRPr="008908A5">
        <w:rPr>
          <w:b/>
        </w:rPr>
        <w:t>Suppl</w:t>
      </w:r>
      <w:r>
        <w:rPr>
          <w:b/>
        </w:rPr>
        <w:t>ementary Figure 14.</w:t>
      </w:r>
      <w:r w:rsidRPr="008908A5">
        <w:rPr>
          <w:b/>
        </w:rPr>
        <w:t xml:space="preserve"> </w:t>
      </w:r>
      <w:r w:rsidRPr="008908A5">
        <w:rPr>
          <w:b/>
          <w:color w:val="000000" w:themeColor="text1"/>
        </w:rPr>
        <w:t xml:space="preserve">ShinyGo 0.76 STRING protein-protein Interaction pathway analysis for proteins encoded by </w:t>
      </w:r>
      <w:r>
        <w:rPr>
          <w:b/>
          <w:color w:val="000000" w:themeColor="text1"/>
        </w:rPr>
        <w:t>top 50</w:t>
      </w:r>
      <w:r w:rsidRPr="008908A5">
        <w:rPr>
          <w:b/>
          <w:color w:val="000000" w:themeColor="text1"/>
        </w:rPr>
        <w:t xml:space="preserve"> RNA transcript associated genes upregulated in hMS vs </w:t>
      </w:r>
      <w:r w:rsidR="00EE3608">
        <w:rPr>
          <w:b/>
          <w:color w:val="000000" w:themeColor="text1"/>
        </w:rPr>
        <w:t>hBM-MSC</w:t>
      </w:r>
      <w:r>
        <w:rPr>
          <w:b/>
          <w:color w:val="000000" w:themeColor="text1"/>
        </w:rPr>
        <w:t xml:space="preserve"> d</w:t>
      </w:r>
      <w:r w:rsidRPr="008908A5">
        <w:rPr>
          <w:b/>
          <w:color w:val="000000" w:themeColor="text1"/>
        </w:rPr>
        <w:t>enoted in F</w:t>
      </w:r>
      <w:r>
        <w:rPr>
          <w:b/>
          <w:color w:val="000000" w:themeColor="text1"/>
        </w:rPr>
        <w:t>igure 7</w:t>
      </w:r>
      <w:r w:rsidRPr="008908A5">
        <w:rPr>
          <w:b/>
          <w:color w:val="000000" w:themeColor="text1"/>
        </w:rPr>
        <w:t>.</w:t>
      </w:r>
      <w:r>
        <w:rPr>
          <w:color w:val="000000" w:themeColor="text1"/>
        </w:rPr>
        <w:t xml:space="preserve"> Proteins encoded by RNA transcripts depicted by coloured nodes with associated gene symbol name. Colour serves only as visual aid. Line Connectors depict predicted associations: Red line-indicates presence of fusion evidence; Green line – neighbourhood evidence; Blue line – concurrence evidence; Purple line – experimental evidence; Yellow line – text mining evidence; Light blue line – database evidence; Black line – co-expression evidence. Thickness of line indicates the degree of confidence prediction. Legend: Proteins: Number of proteins depicted in figure. Interactions: Number of predicted known and predicted interactions. Expected interactions: Number of interactions expected by chance. P= significance</w:t>
      </w:r>
      <w:r w:rsidR="00035865">
        <w:rPr>
          <w:color w:val="000000" w:themeColor="text1"/>
        </w:rPr>
        <w:t xml:space="preserve"> reported by algorithm</w:t>
      </w:r>
      <w:r>
        <w:rPr>
          <w:color w:val="000000" w:themeColor="text1"/>
        </w:rPr>
        <w:t xml:space="preserve">. </w:t>
      </w:r>
    </w:p>
    <w:p w14:paraId="1573C6EE" w14:textId="77777777" w:rsidR="00773E58" w:rsidRDefault="00773E58" w:rsidP="00074FFD">
      <w:pPr>
        <w:jc w:val="both"/>
      </w:pPr>
    </w:p>
    <w:sectPr w:rsidR="00773E58" w:rsidSect="007B261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9" w:footer="709" w:gutter="0"/>
      <w:lnNumType w:countBy="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3A6030" w14:textId="77777777" w:rsidR="006C1D03" w:rsidRDefault="006C1D03" w:rsidP="00FE7F10">
      <w:pPr>
        <w:spacing w:after="0" w:line="240" w:lineRule="auto"/>
      </w:pPr>
      <w:r>
        <w:separator/>
      </w:r>
    </w:p>
  </w:endnote>
  <w:endnote w:type="continuationSeparator" w:id="0">
    <w:p w14:paraId="7FB550AC" w14:textId="77777777" w:rsidR="006C1D03" w:rsidRDefault="006C1D03" w:rsidP="00FE7F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2A2D14" w14:textId="77777777" w:rsidR="00E1121C" w:rsidRDefault="00E1121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8EA050" w14:textId="47E8F035" w:rsidR="003B2B87" w:rsidRDefault="006C1D03">
    <w:pPr>
      <w:pStyle w:val="Footer"/>
    </w:pPr>
    <w:r>
      <w:fldChar w:fldCharType="begin"/>
    </w:r>
    <w:r>
      <w:instrText xml:space="preserve"> AUTHOR   \* MERGEFORMAT </w:instrText>
    </w:r>
    <w:r>
      <w:fldChar w:fldCharType="separate"/>
    </w:r>
    <w:r w:rsidR="003B2B87">
      <w:rPr>
        <w:noProof/>
      </w:rPr>
      <w:t>Paul De Sousa</w:t>
    </w:r>
    <w:r>
      <w:rPr>
        <w:noProof/>
      </w:rPr>
      <w:fldChar w:fldCharType="end"/>
    </w:r>
    <w:r w:rsidR="003B2B87">
      <w:ptab w:relativeTo="margin" w:alignment="center" w:leader="none"/>
    </w:r>
    <w:r>
      <w:fldChar w:fldCharType="begin"/>
    </w:r>
    <w:r>
      <w:instrText xml:space="preserve"> FILENAME   \* MERGEFORMAT </w:instrText>
    </w:r>
    <w:r>
      <w:fldChar w:fldCharType="separate"/>
    </w:r>
    <w:r w:rsidR="00E1121C">
      <w:rPr>
        <w:noProof/>
      </w:rPr>
      <w:t>PDS_et_al_HA_Manu_1_Text_Submitted_16OCT23</w:t>
    </w:r>
    <w:r>
      <w:rPr>
        <w:noProof/>
      </w:rPr>
      <w:fldChar w:fldCharType="end"/>
    </w:r>
    <w:r w:rsidR="003B2B87">
      <w:ptab w:relativeTo="margin" w:alignment="right" w:leader="none"/>
    </w:r>
    <w:r w:rsidR="003B2B87">
      <w:fldChar w:fldCharType="begin"/>
    </w:r>
    <w:r w:rsidR="003B2B87">
      <w:instrText xml:space="preserve"> PAGE  \* Arabic  \* MERGEFORMAT </w:instrText>
    </w:r>
    <w:r w:rsidR="003B2B87">
      <w:fldChar w:fldCharType="separate"/>
    </w:r>
    <w:r w:rsidR="00E1121C">
      <w:rPr>
        <w:noProof/>
      </w:rPr>
      <w:t>19</w:t>
    </w:r>
    <w:r w:rsidR="003B2B87">
      <w:fldChar w:fldCharType="end"/>
    </w:r>
    <w:r w:rsidR="003B2B87">
      <w:t xml:space="preserve"> of </w:t>
    </w:r>
    <w:r>
      <w:fldChar w:fldCharType="begin"/>
    </w:r>
    <w:r>
      <w:instrText xml:space="preserve"> NUMPAGES  \* Arabic  \* MERGEFORMAT </w:instrText>
    </w:r>
    <w:r>
      <w:fldChar w:fldCharType="separate"/>
    </w:r>
    <w:r w:rsidR="00E1121C">
      <w:rPr>
        <w:noProof/>
      </w:rPr>
      <w:t>27</w:t>
    </w:r>
    <w:r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9C29CF" w14:textId="77777777" w:rsidR="00E1121C" w:rsidRDefault="00E112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21386E" w14:textId="77777777" w:rsidR="006C1D03" w:rsidRDefault="006C1D03" w:rsidP="00FE7F10">
      <w:pPr>
        <w:spacing w:after="0" w:line="240" w:lineRule="auto"/>
      </w:pPr>
      <w:r>
        <w:separator/>
      </w:r>
    </w:p>
  </w:footnote>
  <w:footnote w:type="continuationSeparator" w:id="0">
    <w:p w14:paraId="75BC6739" w14:textId="77777777" w:rsidR="006C1D03" w:rsidRDefault="006C1D03" w:rsidP="00FE7F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199279" w14:textId="77777777" w:rsidR="00E1121C" w:rsidRDefault="00E1121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D28DC2" w14:textId="77777777" w:rsidR="00E1121C" w:rsidRDefault="00E1121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E85350" w14:textId="77777777" w:rsidR="00E1121C" w:rsidRDefault="00E1121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BB01553"/>
    <w:multiLevelType w:val="hybridMultilevel"/>
    <w:tmpl w:val="8E5CD3CE"/>
    <w:lvl w:ilvl="0" w:tplc="7C8A4C7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03226F"/>
    <w:multiLevelType w:val="hybridMultilevel"/>
    <w:tmpl w:val="D578F12A"/>
    <w:lvl w:ilvl="0" w:tplc="8E4C77D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4C56"/>
    <w:rsid w:val="00000E34"/>
    <w:rsid w:val="0000520B"/>
    <w:rsid w:val="000143C5"/>
    <w:rsid w:val="00022367"/>
    <w:rsid w:val="000227E1"/>
    <w:rsid w:val="00023342"/>
    <w:rsid w:val="00025DA5"/>
    <w:rsid w:val="00035865"/>
    <w:rsid w:val="000361BE"/>
    <w:rsid w:val="00040372"/>
    <w:rsid w:val="0004221F"/>
    <w:rsid w:val="0004688B"/>
    <w:rsid w:val="00050049"/>
    <w:rsid w:val="00056BAA"/>
    <w:rsid w:val="0005732F"/>
    <w:rsid w:val="00062F1C"/>
    <w:rsid w:val="00074FFD"/>
    <w:rsid w:val="000856EC"/>
    <w:rsid w:val="000A24FC"/>
    <w:rsid w:val="000A3894"/>
    <w:rsid w:val="000B3DA2"/>
    <w:rsid w:val="000B5FD4"/>
    <w:rsid w:val="000B69E5"/>
    <w:rsid w:val="000C048A"/>
    <w:rsid w:val="000D4878"/>
    <w:rsid w:val="000E23EE"/>
    <w:rsid w:val="000E3E76"/>
    <w:rsid w:val="000E60CD"/>
    <w:rsid w:val="00130403"/>
    <w:rsid w:val="00132295"/>
    <w:rsid w:val="001453B6"/>
    <w:rsid w:val="001475AD"/>
    <w:rsid w:val="00147C98"/>
    <w:rsid w:val="001611B2"/>
    <w:rsid w:val="0016723D"/>
    <w:rsid w:val="00170BAF"/>
    <w:rsid w:val="00186F13"/>
    <w:rsid w:val="001A13BE"/>
    <w:rsid w:val="001A2704"/>
    <w:rsid w:val="001A51E3"/>
    <w:rsid w:val="001C2286"/>
    <w:rsid w:val="001C3C8B"/>
    <w:rsid w:val="001C4CC7"/>
    <w:rsid w:val="001D1030"/>
    <w:rsid w:val="001D4537"/>
    <w:rsid w:val="001D69E9"/>
    <w:rsid w:val="001E2BA8"/>
    <w:rsid w:val="001F27B6"/>
    <w:rsid w:val="001F4BEA"/>
    <w:rsid w:val="002018D6"/>
    <w:rsid w:val="00201B6F"/>
    <w:rsid w:val="0020333B"/>
    <w:rsid w:val="002073F7"/>
    <w:rsid w:val="00210EA1"/>
    <w:rsid w:val="00212CE1"/>
    <w:rsid w:val="00215084"/>
    <w:rsid w:val="002150D3"/>
    <w:rsid w:val="00215AB4"/>
    <w:rsid w:val="002242E1"/>
    <w:rsid w:val="00231FE5"/>
    <w:rsid w:val="00236975"/>
    <w:rsid w:val="00241CA9"/>
    <w:rsid w:val="00242C4A"/>
    <w:rsid w:val="002551CB"/>
    <w:rsid w:val="00263032"/>
    <w:rsid w:val="00270446"/>
    <w:rsid w:val="00274DD3"/>
    <w:rsid w:val="0027518C"/>
    <w:rsid w:val="0028177F"/>
    <w:rsid w:val="00284B55"/>
    <w:rsid w:val="002A266D"/>
    <w:rsid w:val="002A65E4"/>
    <w:rsid w:val="002B1076"/>
    <w:rsid w:val="002B1522"/>
    <w:rsid w:val="002B6867"/>
    <w:rsid w:val="002B743C"/>
    <w:rsid w:val="002D0352"/>
    <w:rsid w:val="002D0B85"/>
    <w:rsid w:val="002F0BB3"/>
    <w:rsid w:val="002F106A"/>
    <w:rsid w:val="002F1D1A"/>
    <w:rsid w:val="002F1E7E"/>
    <w:rsid w:val="002F68FE"/>
    <w:rsid w:val="00306965"/>
    <w:rsid w:val="003076AD"/>
    <w:rsid w:val="003112FF"/>
    <w:rsid w:val="00316EA8"/>
    <w:rsid w:val="00326D36"/>
    <w:rsid w:val="0033178E"/>
    <w:rsid w:val="0034395F"/>
    <w:rsid w:val="0034695F"/>
    <w:rsid w:val="0035371A"/>
    <w:rsid w:val="00356392"/>
    <w:rsid w:val="00374CA9"/>
    <w:rsid w:val="0038245A"/>
    <w:rsid w:val="00385E7B"/>
    <w:rsid w:val="00393DD5"/>
    <w:rsid w:val="003944C5"/>
    <w:rsid w:val="003A1239"/>
    <w:rsid w:val="003A5698"/>
    <w:rsid w:val="003B2B87"/>
    <w:rsid w:val="003B3B74"/>
    <w:rsid w:val="003B4CC6"/>
    <w:rsid w:val="003C5ADB"/>
    <w:rsid w:val="003D14C4"/>
    <w:rsid w:val="003D3D75"/>
    <w:rsid w:val="003E64A5"/>
    <w:rsid w:val="003E7973"/>
    <w:rsid w:val="003E79C6"/>
    <w:rsid w:val="003F675F"/>
    <w:rsid w:val="003F6EA3"/>
    <w:rsid w:val="00405299"/>
    <w:rsid w:val="00411082"/>
    <w:rsid w:val="00422923"/>
    <w:rsid w:val="00432E12"/>
    <w:rsid w:val="00436C0D"/>
    <w:rsid w:val="004462CA"/>
    <w:rsid w:val="00454434"/>
    <w:rsid w:val="0045644F"/>
    <w:rsid w:val="00456BC7"/>
    <w:rsid w:val="00464376"/>
    <w:rsid w:val="00465855"/>
    <w:rsid w:val="00467483"/>
    <w:rsid w:val="00477F9C"/>
    <w:rsid w:val="00482093"/>
    <w:rsid w:val="004831BF"/>
    <w:rsid w:val="00485D4D"/>
    <w:rsid w:val="004870AA"/>
    <w:rsid w:val="004900B4"/>
    <w:rsid w:val="00493AC4"/>
    <w:rsid w:val="0049470A"/>
    <w:rsid w:val="004A6B4B"/>
    <w:rsid w:val="004B1270"/>
    <w:rsid w:val="004B19C4"/>
    <w:rsid w:val="004B2142"/>
    <w:rsid w:val="004B3B67"/>
    <w:rsid w:val="004B7D6E"/>
    <w:rsid w:val="004C0617"/>
    <w:rsid w:val="004C09F8"/>
    <w:rsid w:val="004C0A54"/>
    <w:rsid w:val="004C0A78"/>
    <w:rsid w:val="004D10E9"/>
    <w:rsid w:val="004D605A"/>
    <w:rsid w:val="004F4949"/>
    <w:rsid w:val="004F5C44"/>
    <w:rsid w:val="00517BF8"/>
    <w:rsid w:val="00530562"/>
    <w:rsid w:val="00545F5A"/>
    <w:rsid w:val="005526F6"/>
    <w:rsid w:val="00552F19"/>
    <w:rsid w:val="00553F58"/>
    <w:rsid w:val="0055404E"/>
    <w:rsid w:val="005573BA"/>
    <w:rsid w:val="005573E5"/>
    <w:rsid w:val="00557652"/>
    <w:rsid w:val="005656B4"/>
    <w:rsid w:val="0056611E"/>
    <w:rsid w:val="00567E79"/>
    <w:rsid w:val="00570308"/>
    <w:rsid w:val="005729F5"/>
    <w:rsid w:val="005731B9"/>
    <w:rsid w:val="0058368C"/>
    <w:rsid w:val="00593112"/>
    <w:rsid w:val="00593F85"/>
    <w:rsid w:val="00595DC9"/>
    <w:rsid w:val="0059752F"/>
    <w:rsid w:val="005A4C79"/>
    <w:rsid w:val="005A7BE2"/>
    <w:rsid w:val="005B052C"/>
    <w:rsid w:val="005B1BA0"/>
    <w:rsid w:val="005C21AC"/>
    <w:rsid w:val="005C21CD"/>
    <w:rsid w:val="005C31ED"/>
    <w:rsid w:val="005C60A6"/>
    <w:rsid w:val="005D19AA"/>
    <w:rsid w:val="005D4749"/>
    <w:rsid w:val="005E2C4A"/>
    <w:rsid w:val="005F57A5"/>
    <w:rsid w:val="005F7FEF"/>
    <w:rsid w:val="006015A1"/>
    <w:rsid w:val="00611989"/>
    <w:rsid w:val="00611B7F"/>
    <w:rsid w:val="00627653"/>
    <w:rsid w:val="00630470"/>
    <w:rsid w:val="0063694E"/>
    <w:rsid w:val="006416E8"/>
    <w:rsid w:val="00652696"/>
    <w:rsid w:val="0065323B"/>
    <w:rsid w:val="00653514"/>
    <w:rsid w:val="0065775B"/>
    <w:rsid w:val="00663B7E"/>
    <w:rsid w:val="006859CF"/>
    <w:rsid w:val="006919C0"/>
    <w:rsid w:val="00693DD0"/>
    <w:rsid w:val="006A2EDF"/>
    <w:rsid w:val="006A54A1"/>
    <w:rsid w:val="006C1D03"/>
    <w:rsid w:val="006D1684"/>
    <w:rsid w:val="006D4545"/>
    <w:rsid w:val="006D4BE4"/>
    <w:rsid w:val="006D66D3"/>
    <w:rsid w:val="006D6FEA"/>
    <w:rsid w:val="006F09F1"/>
    <w:rsid w:val="006F32B1"/>
    <w:rsid w:val="0070095E"/>
    <w:rsid w:val="00705D5B"/>
    <w:rsid w:val="007118DC"/>
    <w:rsid w:val="007121EA"/>
    <w:rsid w:val="00712663"/>
    <w:rsid w:val="00715FA9"/>
    <w:rsid w:val="00720360"/>
    <w:rsid w:val="00730D28"/>
    <w:rsid w:val="00733143"/>
    <w:rsid w:val="00743336"/>
    <w:rsid w:val="00744F19"/>
    <w:rsid w:val="007536EB"/>
    <w:rsid w:val="00754231"/>
    <w:rsid w:val="00762DF8"/>
    <w:rsid w:val="00763972"/>
    <w:rsid w:val="00767522"/>
    <w:rsid w:val="00770ABA"/>
    <w:rsid w:val="00773E58"/>
    <w:rsid w:val="00781862"/>
    <w:rsid w:val="00785086"/>
    <w:rsid w:val="00791E38"/>
    <w:rsid w:val="00796ACE"/>
    <w:rsid w:val="007A28D9"/>
    <w:rsid w:val="007A47D3"/>
    <w:rsid w:val="007B11D4"/>
    <w:rsid w:val="007B1A77"/>
    <w:rsid w:val="007B1B16"/>
    <w:rsid w:val="007B1DAB"/>
    <w:rsid w:val="007B261B"/>
    <w:rsid w:val="007C2DD2"/>
    <w:rsid w:val="007D790C"/>
    <w:rsid w:val="007E16F6"/>
    <w:rsid w:val="007E449B"/>
    <w:rsid w:val="007F6361"/>
    <w:rsid w:val="00800569"/>
    <w:rsid w:val="008137C0"/>
    <w:rsid w:val="00816E22"/>
    <w:rsid w:val="00817427"/>
    <w:rsid w:val="008257CB"/>
    <w:rsid w:val="00831E0F"/>
    <w:rsid w:val="008373A5"/>
    <w:rsid w:val="00844312"/>
    <w:rsid w:val="00851743"/>
    <w:rsid w:val="00851D75"/>
    <w:rsid w:val="00853432"/>
    <w:rsid w:val="0086014C"/>
    <w:rsid w:val="00864961"/>
    <w:rsid w:val="00866019"/>
    <w:rsid w:val="0087220D"/>
    <w:rsid w:val="00876064"/>
    <w:rsid w:val="008828E5"/>
    <w:rsid w:val="00884EFB"/>
    <w:rsid w:val="008856E4"/>
    <w:rsid w:val="00887779"/>
    <w:rsid w:val="00890705"/>
    <w:rsid w:val="008908A5"/>
    <w:rsid w:val="00891C35"/>
    <w:rsid w:val="00892D96"/>
    <w:rsid w:val="008A345A"/>
    <w:rsid w:val="008A5E29"/>
    <w:rsid w:val="008A7B28"/>
    <w:rsid w:val="008B7CA7"/>
    <w:rsid w:val="008C1042"/>
    <w:rsid w:val="008C1288"/>
    <w:rsid w:val="008C2373"/>
    <w:rsid w:val="008D28BC"/>
    <w:rsid w:val="008D2A7E"/>
    <w:rsid w:val="008E1F28"/>
    <w:rsid w:val="008E3E30"/>
    <w:rsid w:val="008E4D02"/>
    <w:rsid w:val="008F0692"/>
    <w:rsid w:val="008F248B"/>
    <w:rsid w:val="00900090"/>
    <w:rsid w:val="00907A7A"/>
    <w:rsid w:val="00914628"/>
    <w:rsid w:val="009161DE"/>
    <w:rsid w:val="00921EBE"/>
    <w:rsid w:val="0092413E"/>
    <w:rsid w:val="00930451"/>
    <w:rsid w:val="00931EFD"/>
    <w:rsid w:val="00935827"/>
    <w:rsid w:val="0094160A"/>
    <w:rsid w:val="009511A0"/>
    <w:rsid w:val="00951480"/>
    <w:rsid w:val="009568D7"/>
    <w:rsid w:val="009676A4"/>
    <w:rsid w:val="00980A96"/>
    <w:rsid w:val="00991D4A"/>
    <w:rsid w:val="009940EC"/>
    <w:rsid w:val="009A293C"/>
    <w:rsid w:val="009B58B7"/>
    <w:rsid w:val="009B7890"/>
    <w:rsid w:val="009C606D"/>
    <w:rsid w:val="009D0451"/>
    <w:rsid w:val="009D086F"/>
    <w:rsid w:val="009D1C50"/>
    <w:rsid w:val="009D76A7"/>
    <w:rsid w:val="009E13AF"/>
    <w:rsid w:val="009E308B"/>
    <w:rsid w:val="00A01B48"/>
    <w:rsid w:val="00A07AD0"/>
    <w:rsid w:val="00A11F5E"/>
    <w:rsid w:val="00A133BF"/>
    <w:rsid w:val="00A1581A"/>
    <w:rsid w:val="00A17BA9"/>
    <w:rsid w:val="00A17F62"/>
    <w:rsid w:val="00A22605"/>
    <w:rsid w:val="00A22E32"/>
    <w:rsid w:val="00A25513"/>
    <w:rsid w:val="00A308E2"/>
    <w:rsid w:val="00A34F8F"/>
    <w:rsid w:val="00A42509"/>
    <w:rsid w:val="00A453A2"/>
    <w:rsid w:val="00A45CEC"/>
    <w:rsid w:val="00A47DE0"/>
    <w:rsid w:val="00A51D87"/>
    <w:rsid w:val="00A53616"/>
    <w:rsid w:val="00A65316"/>
    <w:rsid w:val="00A65F3E"/>
    <w:rsid w:val="00A66842"/>
    <w:rsid w:val="00A70BE4"/>
    <w:rsid w:val="00A755F3"/>
    <w:rsid w:val="00A76408"/>
    <w:rsid w:val="00A8023E"/>
    <w:rsid w:val="00A91CB6"/>
    <w:rsid w:val="00A95C31"/>
    <w:rsid w:val="00AA00F2"/>
    <w:rsid w:val="00AA0A56"/>
    <w:rsid w:val="00AA4C56"/>
    <w:rsid w:val="00AA4E1E"/>
    <w:rsid w:val="00AB1F11"/>
    <w:rsid w:val="00AC09A2"/>
    <w:rsid w:val="00AC339C"/>
    <w:rsid w:val="00AC348A"/>
    <w:rsid w:val="00AC7D1E"/>
    <w:rsid w:val="00AD0254"/>
    <w:rsid w:val="00AD1425"/>
    <w:rsid w:val="00AD489D"/>
    <w:rsid w:val="00AE4716"/>
    <w:rsid w:val="00AE62B4"/>
    <w:rsid w:val="00AF0811"/>
    <w:rsid w:val="00AF223E"/>
    <w:rsid w:val="00AF47CA"/>
    <w:rsid w:val="00AF5E09"/>
    <w:rsid w:val="00AF5E59"/>
    <w:rsid w:val="00B23429"/>
    <w:rsid w:val="00B31BAA"/>
    <w:rsid w:val="00B33BD2"/>
    <w:rsid w:val="00B35272"/>
    <w:rsid w:val="00B35454"/>
    <w:rsid w:val="00B35627"/>
    <w:rsid w:val="00B43654"/>
    <w:rsid w:val="00B5258E"/>
    <w:rsid w:val="00B560A2"/>
    <w:rsid w:val="00B6315E"/>
    <w:rsid w:val="00B7471B"/>
    <w:rsid w:val="00B75131"/>
    <w:rsid w:val="00B80C3F"/>
    <w:rsid w:val="00B9742F"/>
    <w:rsid w:val="00BA56B6"/>
    <w:rsid w:val="00BB4858"/>
    <w:rsid w:val="00BD3A09"/>
    <w:rsid w:val="00BD7B04"/>
    <w:rsid w:val="00BE0522"/>
    <w:rsid w:val="00BE2790"/>
    <w:rsid w:val="00BE4D4C"/>
    <w:rsid w:val="00BE6521"/>
    <w:rsid w:val="00BF0AB7"/>
    <w:rsid w:val="00BF0C1D"/>
    <w:rsid w:val="00BF220A"/>
    <w:rsid w:val="00BF33E2"/>
    <w:rsid w:val="00BF3FFD"/>
    <w:rsid w:val="00BF5A54"/>
    <w:rsid w:val="00BF7D18"/>
    <w:rsid w:val="00C04C29"/>
    <w:rsid w:val="00C10DAC"/>
    <w:rsid w:val="00C13F75"/>
    <w:rsid w:val="00C17C37"/>
    <w:rsid w:val="00C2671B"/>
    <w:rsid w:val="00C26911"/>
    <w:rsid w:val="00C26E7B"/>
    <w:rsid w:val="00C2773F"/>
    <w:rsid w:val="00C27B69"/>
    <w:rsid w:val="00C308AD"/>
    <w:rsid w:val="00C376CC"/>
    <w:rsid w:val="00C44F99"/>
    <w:rsid w:val="00C53295"/>
    <w:rsid w:val="00C57815"/>
    <w:rsid w:val="00C659D2"/>
    <w:rsid w:val="00C7007E"/>
    <w:rsid w:val="00C71290"/>
    <w:rsid w:val="00C77641"/>
    <w:rsid w:val="00C82C6E"/>
    <w:rsid w:val="00C90A25"/>
    <w:rsid w:val="00C91501"/>
    <w:rsid w:val="00C93538"/>
    <w:rsid w:val="00CA0452"/>
    <w:rsid w:val="00CB5C65"/>
    <w:rsid w:val="00CB6800"/>
    <w:rsid w:val="00CC2036"/>
    <w:rsid w:val="00CC44D1"/>
    <w:rsid w:val="00CD2641"/>
    <w:rsid w:val="00CD70BD"/>
    <w:rsid w:val="00CE7E89"/>
    <w:rsid w:val="00CF4C6B"/>
    <w:rsid w:val="00CF570A"/>
    <w:rsid w:val="00CF7946"/>
    <w:rsid w:val="00D051F1"/>
    <w:rsid w:val="00D0554F"/>
    <w:rsid w:val="00D127D1"/>
    <w:rsid w:val="00D1660A"/>
    <w:rsid w:val="00D24E45"/>
    <w:rsid w:val="00D2556F"/>
    <w:rsid w:val="00D30398"/>
    <w:rsid w:val="00D317C0"/>
    <w:rsid w:val="00D3425E"/>
    <w:rsid w:val="00D35AE0"/>
    <w:rsid w:val="00D367B3"/>
    <w:rsid w:val="00D42E85"/>
    <w:rsid w:val="00D435AE"/>
    <w:rsid w:val="00D43FE0"/>
    <w:rsid w:val="00D46447"/>
    <w:rsid w:val="00D521D5"/>
    <w:rsid w:val="00D64376"/>
    <w:rsid w:val="00D948A7"/>
    <w:rsid w:val="00D955AB"/>
    <w:rsid w:val="00D96E52"/>
    <w:rsid w:val="00DA0774"/>
    <w:rsid w:val="00DA2F2C"/>
    <w:rsid w:val="00DA6E71"/>
    <w:rsid w:val="00DA7AAA"/>
    <w:rsid w:val="00DC7C39"/>
    <w:rsid w:val="00DD19ED"/>
    <w:rsid w:val="00DF1AFC"/>
    <w:rsid w:val="00DF5A21"/>
    <w:rsid w:val="00E02BA2"/>
    <w:rsid w:val="00E056FD"/>
    <w:rsid w:val="00E1121C"/>
    <w:rsid w:val="00E1122A"/>
    <w:rsid w:val="00E1268C"/>
    <w:rsid w:val="00E1397A"/>
    <w:rsid w:val="00E13CE4"/>
    <w:rsid w:val="00E24F56"/>
    <w:rsid w:val="00E26100"/>
    <w:rsid w:val="00E35254"/>
    <w:rsid w:val="00E35F8A"/>
    <w:rsid w:val="00E4355B"/>
    <w:rsid w:val="00E53319"/>
    <w:rsid w:val="00E552C5"/>
    <w:rsid w:val="00E559E9"/>
    <w:rsid w:val="00E63587"/>
    <w:rsid w:val="00E72D02"/>
    <w:rsid w:val="00E77FDD"/>
    <w:rsid w:val="00E85411"/>
    <w:rsid w:val="00E85A71"/>
    <w:rsid w:val="00E8660C"/>
    <w:rsid w:val="00E87D53"/>
    <w:rsid w:val="00EB2A78"/>
    <w:rsid w:val="00EB4524"/>
    <w:rsid w:val="00EB64BC"/>
    <w:rsid w:val="00EB7536"/>
    <w:rsid w:val="00EB785A"/>
    <w:rsid w:val="00EE10C0"/>
    <w:rsid w:val="00EE1D73"/>
    <w:rsid w:val="00EE3608"/>
    <w:rsid w:val="00EE44C7"/>
    <w:rsid w:val="00EE5C6E"/>
    <w:rsid w:val="00EF0D71"/>
    <w:rsid w:val="00EF1B08"/>
    <w:rsid w:val="00EF781A"/>
    <w:rsid w:val="00F00A8D"/>
    <w:rsid w:val="00F018F0"/>
    <w:rsid w:val="00F019BE"/>
    <w:rsid w:val="00F02016"/>
    <w:rsid w:val="00F023CC"/>
    <w:rsid w:val="00F05680"/>
    <w:rsid w:val="00F11236"/>
    <w:rsid w:val="00F1696F"/>
    <w:rsid w:val="00F2058B"/>
    <w:rsid w:val="00F20A3E"/>
    <w:rsid w:val="00F23119"/>
    <w:rsid w:val="00F26EA1"/>
    <w:rsid w:val="00F377A5"/>
    <w:rsid w:val="00F42AC4"/>
    <w:rsid w:val="00F50B04"/>
    <w:rsid w:val="00F51DF8"/>
    <w:rsid w:val="00F530D3"/>
    <w:rsid w:val="00F575CF"/>
    <w:rsid w:val="00F671D0"/>
    <w:rsid w:val="00F70F33"/>
    <w:rsid w:val="00F71D0E"/>
    <w:rsid w:val="00F820A1"/>
    <w:rsid w:val="00F94ADF"/>
    <w:rsid w:val="00F97F51"/>
    <w:rsid w:val="00FA40B3"/>
    <w:rsid w:val="00FA5ADD"/>
    <w:rsid w:val="00FC7D35"/>
    <w:rsid w:val="00FD01DA"/>
    <w:rsid w:val="00FE0C6D"/>
    <w:rsid w:val="00FE2230"/>
    <w:rsid w:val="00FE3483"/>
    <w:rsid w:val="00FE576E"/>
    <w:rsid w:val="00FE7F10"/>
    <w:rsid w:val="00FF395F"/>
    <w:rsid w:val="00FF6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8EFF32"/>
  <w15:chartTrackingRefBased/>
  <w15:docId w15:val="{9FDCB050-F488-42E3-A07A-910346581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FE7F10"/>
  </w:style>
  <w:style w:type="paragraph" w:styleId="Header">
    <w:name w:val="header"/>
    <w:basedOn w:val="Normal"/>
    <w:link w:val="HeaderChar"/>
    <w:uiPriority w:val="99"/>
    <w:unhideWhenUsed/>
    <w:rsid w:val="00FE7F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7F10"/>
  </w:style>
  <w:style w:type="paragraph" w:styleId="Footer">
    <w:name w:val="footer"/>
    <w:basedOn w:val="Normal"/>
    <w:link w:val="FooterChar"/>
    <w:uiPriority w:val="99"/>
    <w:unhideWhenUsed/>
    <w:rsid w:val="00FE7F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7F10"/>
  </w:style>
  <w:style w:type="paragraph" w:styleId="NormalWeb">
    <w:name w:val="Normal (Web)"/>
    <w:basedOn w:val="Normal"/>
    <w:uiPriority w:val="99"/>
    <w:unhideWhenUsed/>
    <w:rsid w:val="007B26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210EA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376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376C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76C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76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76C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76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76CC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4395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742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1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6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56163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</w:divsChild>
    </w:div>
    <w:div w:id="92965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3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9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9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0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2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2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1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6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3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506704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455256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94692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16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7E8A8F-3C1C-44D0-817C-E4A76BAF9D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1622</Words>
  <Characters>9252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Edinburgh</Company>
  <LinksUpToDate>false</LinksUpToDate>
  <CharactersWithSpaces>10853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De Sousa</dc:creator>
  <cp:keywords/>
  <dc:description/>
  <cp:lastModifiedBy>Trupti Sudge</cp:lastModifiedBy>
  <cp:revision>2</cp:revision>
  <dcterms:created xsi:type="dcterms:W3CDTF">2023-11-07T03:20:00Z</dcterms:created>
  <dcterms:modified xsi:type="dcterms:W3CDTF">2023-11-07T03:20:00Z</dcterms:modified>
</cp:coreProperties>
</file>