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9112BD" w14:textId="100EC6B5" w:rsidR="0004508F" w:rsidRPr="000004F0" w:rsidRDefault="0004508F" w:rsidP="000004F0">
      <w:pPr>
        <w:pStyle w:val="NormalWeb"/>
        <w:jc w:val="center"/>
        <w:rPr>
          <w:lang w:val="en-US"/>
        </w:rPr>
      </w:pPr>
      <w:r w:rsidRPr="000004F0">
        <w:rPr>
          <w:rFonts w:ascii="OTNEJMQuadraat" w:hAnsi="OTNEJMQuadraat"/>
          <w:sz w:val="36"/>
          <w:szCs w:val="36"/>
          <w:lang w:val="en-US"/>
        </w:rPr>
        <w:t>Supplementary Appendix</w:t>
      </w:r>
    </w:p>
    <w:p w14:paraId="2B2C0AA2" w14:textId="77777777" w:rsidR="00F969C4" w:rsidRPr="000004F0" w:rsidRDefault="00F969C4" w:rsidP="0004508F">
      <w:pPr>
        <w:rPr>
          <w:rFonts w:ascii="Times New Roman" w:hAnsi="Times New Roman" w:cs="Times New Roman"/>
          <w:b/>
          <w:bCs/>
          <w:lang w:val="en-US"/>
        </w:rPr>
      </w:pPr>
    </w:p>
    <w:p w14:paraId="4916F034" w14:textId="77777777" w:rsidR="0004508F" w:rsidRPr="000004F0" w:rsidRDefault="0004508F" w:rsidP="0004508F">
      <w:pPr>
        <w:pStyle w:val="NormalWeb"/>
        <w:rPr>
          <w:lang w:val="en-US"/>
        </w:rPr>
      </w:pPr>
      <w:r w:rsidRPr="000004F0">
        <w:rPr>
          <w:rFonts w:ascii="OTNEJMQuadraat" w:hAnsi="OTNEJMQuadraat"/>
          <w:sz w:val="20"/>
          <w:szCs w:val="20"/>
          <w:lang w:val="en-US"/>
        </w:rPr>
        <w:t xml:space="preserve">This appendix has been provided by the authors to give readers additional information about their work. </w:t>
      </w:r>
    </w:p>
    <w:p w14:paraId="00000024" w14:textId="53C96DA6" w:rsidR="0046705A" w:rsidRPr="000004F0" w:rsidRDefault="0004508F" w:rsidP="000004F0">
      <w:pPr>
        <w:pStyle w:val="NormalWeb"/>
        <w:rPr>
          <w:rFonts w:eastAsia="Calibri"/>
          <w:lang w:val="en-US"/>
        </w:rPr>
      </w:pPr>
      <w:r w:rsidRPr="000004F0">
        <w:rPr>
          <w:rFonts w:ascii="OTNEJMQuadraat" w:hAnsi="OTNEJMQuadraat"/>
          <w:sz w:val="20"/>
          <w:szCs w:val="20"/>
          <w:lang w:val="en-US"/>
        </w:rPr>
        <w:t xml:space="preserve">Supplement to: Schmauch E, Severin Y, Xing X, Mangold A, Conrad C, Johannsen P, </w:t>
      </w:r>
      <w:proofErr w:type="spellStart"/>
      <w:r w:rsidRPr="000004F0">
        <w:rPr>
          <w:rFonts w:ascii="OTNEJMQuadraat" w:hAnsi="OTNEJMQuadraat"/>
          <w:sz w:val="20"/>
          <w:szCs w:val="20"/>
          <w:lang w:val="en-US"/>
        </w:rPr>
        <w:t>Kahlenberg</w:t>
      </w:r>
      <w:proofErr w:type="spellEnd"/>
      <w:r w:rsidRPr="000004F0">
        <w:rPr>
          <w:rFonts w:ascii="OTNEJMQuadraat" w:hAnsi="OTNEJMQuadraat"/>
          <w:sz w:val="20"/>
          <w:szCs w:val="20"/>
          <w:lang w:val="en-US"/>
        </w:rPr>
        <w:t xml:space="preserve"> JM, </w:t>
      </w:r>
      <w:proofErr w:type="spellStart"/>
      <w:r w:rsidRPr="000004F0">
        <w:rPr>
          <w:rFonts w:ascii="OTNEJMQuadraat" w:hAnsi="OTNEJMQuadraat"/>
          <w:sz w:val="20"/>
          <w:szCs w:val="20"/>
          <w:lang w:val="en-US"/>
        </w:rPr>
        <w:t>Mellett</w:t>
      </w:r>
      <w:proofErr w:type="spellEnd"/>
      <w:r w:rsidRPr="000004F0">
        <w:rPr>
          <w:rFonts w:ascii="OTNEJMQuadraat" w:hAnsi="OTNEJMQuadraat"/>
          <w:sz w:val="20"/>
          <w:szCs w:val="20"/>
          <w:lang w:val="en-US"/>
        </w:rPr>
        <w:t xml:space="preserve"> M, </w:t>
      </w:r>
      <w:proofErr w:type="spellStart"/>
      <w:r w:rsidRPr="000004F0">
        <w:rPr>
          <w:rFonts w:ascii="OTNEJMQuadraat" w:hAnsi="OTNEJMQuadraat"/>
          <w:sz w:val="20"/>
          <w:szCs w:val="20"/>
          <w:lang w:val="en-US"/>
        </w:rPr>
        <w:t>Navarini</w:t>
      </w:r>
      <w:proofErr w:type="spellEnd"/>
      <w:r w:rsidRPr="000004F0">
        <w:rPr>
          <w:rFonts w:ascii="OTNEJMQuadraat" w:hAnsi="OTNEJMQuadraat"/>
          <w:sz w:val="20"/>
          <w:szCs w:val="20"/>
          <w:lang w:val="en-US"/>
        </w:rPr>
        <w:t xml:space="preserve"> A, Nobbe S, Sarkar MK, Satyam A, Tsoi LC, French LE, Linna-Kuosmanen S, Kaikkonen MU, Snijder B, Kellis M, Gudjonsson JE, Tsokos GC, Contassot E, Kolios AGA.</w:t>
      </w:r>
      <w:r>
        <w:rPr>
          <w:rFonts w:ascii="OTNEJMQuadraat" w:hAnsi="OTNEJMQuadraat"/>
          <w:sz w:val="20"/>
          <w:szCs w:val="20"/>
          <w:lang w:val="en-US"/>
        </w:rPr>
        <w:t xml:space="preserve"> </w:t>
      </w:r>
      <w:r w:rsidRPr="0004508F">
        <w:rPr>
          <w:rFonts w:ascii="OTNEJMQuadraat" w:hAnsi="OTNEJMQuadraat"/>
          <w:sz w:val="20"/>
          <w:szCs w:val="20"/>
          <w:lang w:val="en-US"/>
        </w:rPr>
        <w:t xml:space="preserve">Targeting IL-1 controls refractory Pityriasis rubra </w:t>
      </w:r>
      <w:r w:rsidR="00A77CAB" w:rsidRPr="0004508F">
        <w:rPr>
          <w:rFonts w:ascii="OTNEJMQuadraat" w:hAnsi="OTNEJMQuadraat"/>
          <w:sz w:val="20"/>
          <w:szCs w:val="20"/>
          <w:lang w:val="en-US"/>
        </w:rPr>
        <w:t>pilaris.</w:t>
      </w:r>
    </w:p>
    <w:p w14:paraId="00000025" w14:textId="77777777" w:rsidR="0046705A" w:rsidRPr="000004F0" w:rsidRDefault="0046705A" w:rsidP="0004508F">
      <w:pPr>
        <w:rPr>
          <w:rFonts w:ascii="Times New Roman" w:eastAsia="Calibri" w:hAnsi="Times New Roman" w:cs="Times New Roman"/>
          <w:lang w:val="en-US"/>
        </w:rPr>
      </w:pPr>
    </w:p>
    <w:p w14:paraId="0000004C" w14:textId="65376550" w:rsidR="00F969C4" w:rsidRPr="000004F0" w:rsidRDefault="00F969C4" w:rsidP="0004508F">
      <w:pPr>
        <w:rPr>
          <w:rFonts w:ascii="Times New Roman" w:eastAsia="Calibri" w:hAnsi="Times New Roman" w:cs="Times New Roman"/>
          <w:b/>
          <w:color w:val="FF0000"/>
          <w:sz w:val="18"/>
          <w:szCs w:val="18"/>
          <w:lang w:val="en-US"/>
        </w:rPr>
      </w:pPr>
      <w:r w:rsidRPr="000004F0">
        <w:rPr>
          <w:rFonts w:ascii="Times New Roman" w:eastAsia="Calibri" w:hAnsi="Times New Roman" w:cs="Times New Roman"/>
          <w:b/>
          <w:color w:val="FF0000"/>
          <w:sz w:val="18"/>
          <w:szCs w:val="18"/>
          <w:lang w:val="en-US"/>
        </w:rPr>
        <w:br w:type="page"/>
      </w:r>
    </w:p>
    <w:p w14:paraId="1936ACEB" w14:textId="6962209D" w:rsidR="0046705A" w:rsidRPr="00B00AA5" w:rsidRDefault="00A434EF" w:rsidP="00A434EF">
      <w:pPr>
        <w:rPr>
          <w:rFonts w:ascii="Times New Roman" w:hAnsi="Times New Roman" w:cs="Times New Roman"/>
          <w:caps/>
          <w:sz w:val="32"/>
          <w:szCs w:val="32"/>
          <w:lang w:val="en-US"/>
        </w:rPr>
      </w:pPr>
      <w:r w:rsidRPr="00B00AA5">
        <w:rPr>
          <w:rFonts w:ascii="Times New Roman" w:hAnsi="Times New Roman" w:cs="Times New Roman"/>
          <w:caps/>
          <w:sz w:val="32"/>
          <w:szCs w:val="32"/>
          <w:lang w:val="en-US"/>
        </w:rPr>
        <w:lastRenderedPageBreak/>
        <w:t>Contents</w:t>
      </w:r>
    </w:p>
    <w:p w14:paraId="6FC2F8C6" w14:textId="77777777" w:rsidR="00A434EF" w:rsidRPr="000004F0" w:rsidRDefault="00A434EF" w:rsidP="000004F0">
      <w:pPr>
        <w:rPr>
          <w:sz w:val="28"/>
          <w:szCs w:val="28"/>
          <w:lang w:val="en-US"/>
        </w:rPr>
      </w:pPr>
    </w:p>
    <w:p w14:paraId="725E3EB5" w14:textId="6FB1CB28" w:rsidR="000D5757" w:rsidRDefault="000E4817">
      <w:pPr>
        <w:pStyle w:val="TOC1"/>
        <w:rPr>
          <w:rFonts w:eastAsiaTheme="minorEastAsia" w:cstheme="minorBidi"/>
          <w:b w:val="0"/>
          <w:bCs w:val="0"/>
          <w:caps w:val="0"/>
          <w:noProof/>
          <w:kern w:val="2"/>
          <w:sz w:val="24"/>
          <w:szCs w:val="24"/>
          <w:lang w:val="en-US"/>
          <w14:ligatures w14:val="standardContextual"/>
        </w:rPr>
      </w:pPr>
      <w:r>
        <w:rPr>
          <w:rFonts w:ascii="Calibri" w:eastAsia="Calibri" w:hAnsi="Calibri" w:cs="Calibri"/>
          <w:lang w:val="en-US"/>
        </w:rPr>
        <w:fldChar w:fldCharType="begin"/>
      </w:r>
      <w:r>
        <w:rPr>
          <w:rFonts w:ascii="Calibri" w:eastAsia="Calibri" w:hAnsi="Calibri" w:cs="Calibri"/>
          <w:lang w:val="en-US"/>
        </w:rPr>
        <w:instrText xml:space="preserve"> TOC \o "1-3" \h \z \u </w:instrText>
      </w:r>
      <w:r>
        <w:rPr>
          <w:rFonts w:ascii="Calibri" w:eastAsia="Calibri" w:hAnsi="Calibri" w:cs="Calibri"/>
          <w:lang w:val="en-US"/>
        </w:rPr>
        <w:fldChar w:fldCharType="separate"/>
      </w:r>
      <w:hyperlink w:anchor="_Toc144374712" w:history="1">
        <w:r w:rsidR="000D5757" w:rsidRPr="00264BA7">
          <w:rPr>
            <w:rStyle w:val="Hyperlink"/>
            <w:noProof/>
            <w:lang w:val="en-US"/>
          </w:rPr>
          <w:t>List of investigators</w:t>
        </w:r>
        <w:r w:rsidR="000D5757">
          <w:rPr>
            <w:noProof/>
            <w:webHidden/>
          </w:rPr>
          <w:tab/>
        </w:r>
        <w:r w:rsidR="000D5757">
          <w:rPr>
            <w:noProof/>
            <w:webHidden/>
          </w:rPr>
          <w:fldChar w:fldCharType="begin"/>
        </w:r>
        <w:r w:rsidR="000D5757">
          <w:rPr>
            <w:noProof/>
            <w:webHidden/>
          </w:rPr>
          <w:instrText xml:space="preserve"> PAGEREF _Toc144374712 \h </w:instrText>
        </w:r>
        <w:r w:rsidR="000D5757">
          <w:rPr>
            <w:noProof/>
            <w:webHidden/>
          </w:rPr>
        </w:r>
        <w:r w:rsidR="000D5757">
          <w:rPr>
            <w:noProof/>
            <w:webHidden/>
          </w:rPr>
          <w:fldChar w:fldCharType="separate"/>
        </w:r>
        <w:r w:rsidR="000D5757">
          <w:rPr>
            <w:noProof/>
            <w:webHidden/>
          </w:rPr>
          <w:t>3</w:t>
        </w:r>
        <w:r w:rsidR="000D5757">
          <w:rPr>
            <w:noProof/>
            <w:webHidden/>
          </w:rPr>
          <w:fldChar w:fldCharType="end"/>
        </w:r>
      </w:hyperlink>
    </w:p>
    <w:p w14:paraId="24988A62" w14:textId="114DCE0E" w:rsidR="000D5757" w:rsidRDefault="00000000">
      <w:pPr>
        <w:pStyle w:val="TOC1"/>
        <w:rPr>
          <w:rFonts w:eastAsiaTheme="minorEastAsia" w:cstheme="minorBidi"/>
          <w:b w:val="0"/>
          <w:bCs w:val="0"/>
          <w:caps w:val="0"/>
          <w:noProof/>
          <w:kern w:val="2"/>
          <w:sz w:val="24"/>
          <w:szCs w:val="24"/>
          <w:lang w:val="en-US"/>
          <w14:ligatures w14:val="standardContextual"/>
        </w:rPr>
      </w:pPr>
      <w:hyperlink w:anchor="_Toc144374713" w:history="1">
        <w:r w:rsidR="000D5757" w:rsidRPr="00264BA7">
          <w:rPr>
            <w:rStyle w:val="Hyperlink"/>
            <w:noProof/>
            <w:lang w:val="en-US"/>
          </w:rPr>
          <w:t>Supplementary Results</w:t>
        </w:r>
        <w:r w:rsidR="000D5757">
          <w:rPr>
            <w:noProof/>
            <w:webHidden/>
          </w:rPr>
          <w:tab/>
        </w:r>
        <w:r w:rsidR="000D5757">
          <w:rPr>
            <w:noProof/>
            <w:webHidden/>
          </w:rPr>
          <w:fldChar w:fldCharType="begin"/>
        </w:r>
        <w:r w:rsidR="000D5757">
          <w:rPr>
            <w:noProof/>
            <w:webHidden/>
          </w:rPr>
          <w:instrText xml:space="preserve"> PAGEREF _Toc144374713 \h </w:instrText>
        </w:r>
        <w:r w:rsidR="000D5757">
          <w:rPr>
            <w:noProof/>
            <w:webHidden/>
          </w:rPr>
        </w:r>
        <w:r w:rsidR="000D5757">
          <w:rPr>
            <w:noProof/>
            <w:webHidden/>
          </w:rPr>
          <w:fldChar w:fldCharType="separate"/>
        </w:r>
        <w:r w:rsidR="000D5757">
          <w:rPr>
            <w:noProof/>
            <w:webHidden/>
          </w:rPr>
          <w:t>4</w:t>
        </w:r>
        <w:r w:rsidR="000D5757">
          <w:rPr>
            <w:noProof/>
            <w:webHidden/>
          </w:rPr>
          <w:fldChar w:fldCharType="end"/>
        </w:r>
      </w:hyperlink>
    </w:p>
    <w:p w14:paraId="0B01A959" w14:textId="5C0729C9" w:rsidR="000D5757" w:rsidRDefault="00000000">
      <w:pPr>
        <w:pStyle w:val="TOC2"/>
        <w:rPr>
          <w:rFonts w:eastAsiaTheme="minorEastAsia" w:cstheme="minorBidi"/>
          <w:smallCaps w:val="0"/>
          <w:noProof/>
          <w:kern w:val="2"/>
          <w:sz w:val="24"/>
          <w:szCs w:val="24"/>
          <w:lang w:val="en-US"/>
          <w14:ligatures w14:val="standardContextual"/>
        </w:rPr>
      </w:pPr>
      <w:hyperlink w:anchor="_Toc144374714" w:history="1">
        <w:r w:rsidR="000D5757" w:rsidRPr="00264BA7">
          <w:rPr>
            <w:rStyle w:val="Hyperlink"/>
            <w:noProof/>
            <w:lang w:val="en-US"/>
          </w:rPr>
          <w:t>Further clinical observations during anakinra treatment</w:t>
        </w:r>
        <w:r w:rsidR="000D5757">
          <w:rPr>
            <w:noProof/>
            <w:webHidden/>
          </w:rPr>
          <w:tab/>
        </w:r>
        <w:r w:rsidR="000D5757">
          <w:rPr>
            <w:noProof/>
            <w:webHidden/>
          </w:rPr>
          <w:fldChar w:fldCharType="begin"/>
        </w:r>
        <w:r w:rsidR="000D5757">
          <w:rPr>
            <w:noProof/>
            <w:webHidden/>
          </w:rPr>
          <w:instrText xml:space="preserve"> PAGEREF _Toc144374714 \h </w:instrText>
        </w:r>
        <w:r w:rsidR="000D5757">
          <w:rPr>
            <w:noProof/>
            <w:webHidden/>
          </w:rPr>
        </w:r>
        <w:r w:rsidR="000D5757">
          <w:rPr>
            <w:noProof/>
            <w:webHidden/>
          </w:rPr>
          <w:fldChar w:fldCharType="separate"/>
        </w:r>
        <w:r w:rsidR="000D5757">
          <w:rPr>
            <w:noProof/>
            <w:webHidden/>
          </w:rPr>
          <w:t>4</w:t>
        </w:r>
        <w:r w:rsidR="000D5757">
          <w:rPr>
            <w:noProof/>
            <w:webHidden/>
          </w:rPr>
          <w:fldChar w:fldCharType="end"/>
        </w:r>
      </w:hyperlink>
    </w:p>
    <w:p w14:paraId="59CA6358" w14:textId="427196C9" w:rsidR="000D5757" w:rsidRDefault="00000000">
      <w:pPr>
        <w:pStyle w:val="TOC2"/>
        <w:rPr>
          <w:rFonts w:eastAsiaTheme="minorEastAsia" w:cstheme="minorBidi"/>
          <w:smallCaps w:val="0"/>
          <w:noProof/>
          <w:kern w:val="2"/>
          <w:sz w:val="24"/>
          <w:szCs w:val="24"/>
          <w:lang w:val="en-US"/>
          <w14:ligatures w14:val="standardContextual"/>
        </w:rPr>
      </w:pPr>
      <w:hyperlink w:anchor="_Toc144374715" w:history="1">
        <w:r w:rsidR="000D5757" w:rsidRPr="00264BA7">
          <w:rPr>
            <w:rStyle w:val="Hyperlink"/>
            <w:noProof/>
            <w:lang w:val="en-US"/>
          </w:rPr>
          <w:t>Adverse events</w:t>
        </w:r>
        <w:r w:rsidR="000D5757">
          <w:rPr>
            <w:noProof/>
            <w:webHidden/>
          </w:rPr>
          <w:tab/>
        </w:r>
        <w:r w:rsidR="000D5757">
          <w:rPr>
            <w:noProof/>
            <w:webHidden/>
          </w:rPr>
          <w:fldChar w:fldCharType="begin"/>
        </w:r>
        <w:r w:rsidR="000D5757">
          <w:rPr>
            <w:noProof/>
            <w:webHidden/>
          </w:rPr>
          <w:instrText xml:space="preserve"> PAGEREF _Toc144374715 \h </w:instrText>
        </w:r>
        <w:r w:rsidR="000D5757">
          <w:rPr>
            <w:noProof/>
            <w:webHidden/>
          </w:rPr>
        </w:r>
        <w:r w:rsidR="000D5757">
          <w:rPr>
            <w:noProof/>
            <w:webHidden/>
          </w:rPr>
          <w:fldChar w:fldCharType="separate"/>
        </w:r>
        <w:r w:rsidR="000D5757">
          <w:rPr>
            <w:noProof/>
            <w:webHidden/>
          </w:rPr>
          <w:t>4</w:t>
        </w:r>
        <w:r w:rsidR="000D5757">
          <w:rPr>
            <w:noProof/>
            <w:webHidden/>
          </w:rPr>
          <w:fldChar w:fldCharType="end"/>
        </w:r>
      </w:hyperlink>
    </w:p>
    <w:p w14:paraId="445200A8" w14:textId="488D836D" w:rsidR="000D5757" w:rsidRDefault="00000000">
      <w:pPr>
        <w:pStyle w:val="TOC2"/>
        <w:rPr>
          <w:rFonts w:eastAsiaTheme="minorEastAsia" w:cstheme="minorBidi"/>
          <w:smallCaps w:val="0"/>
          <w:noProof/>
          <w:kern w:val="2"/>
          <w:sz w:val="24"/>
          <w:szCs w:val="24"/>
          <w:lang w:val="en-US"/>
          <w14:ligatures w14:val="standardContextual"/>
        </w:rPr>
      </w:pPr>
      <w:hyperlink w:anchor="_Toc144374716" w:history="1">
        <w:r w:rsidR="000D5757" w:rsidRPr="00264BA7">
          <w:rPr>
            <w:rStyle w:val="Hyperlink"/>
            <w:noProof/>
            <w:lang w:val="en-US"/>
          </w:rPr>
          <w:t>CARD14 and NOD2 are upregulated in PRP and signal through NF-</w:t>
        </w:r>
        <w:r w:rsidR="000D5757" w:rsidRPr="00264BA7">
          <w:rPr>
            <w:rStyle w:val="Hyperlink"/>
            <w:rFonts w:ascii="Calibri" w:eastAsia="Calibri" w:hAnsi="Calibri" w:cs="Calibri"/>
            <w:noProof/>
            <w:lang w:val="en-US"/>
          </w:rPr>
          <w:t>κ</w:t>
        </w:r>
        <w:r w:rsidR="000D5757" w:rsidRPr="00264BA7">
          <w:rPr>
            <w:rStyle w:val="Hyperlink"/>
            <w:noProof/>
            <w:lang w:val="en-US"/>
          </w:rPr>
          <w:t>B.</w:t>
        </w:r>
        <w:r w:rsidR="000D5757">
          <w:rPr>
            <w:noProof/>
            <w:webHidden/>
          </w:rPr>
          <w:tab/>
        </w:r>
        <w:r w:rsidR="000D5757">
          <w:rPr>
            <w:noProof/>
            <w:webHidden/>
          </w:rPr>
          <w:fldChar w:fldCharType="begin"/>
        </w:r>
        <w:r w:rsidR="000D5757">
          <w:rPr>
            <w:noProof/>
            <w:webHidden/>
          </w:rPr>
          <w:instrText xml:space="preserve"> PAGEREF _Toc144374716 \h </w:instrText>
        </w:r>
        <w:r w:rsidR="000D5757">
          <w:rPr>
            <w:noProof/>
            <w:webHidden/>
          </w:rPr>
        </w:r>
        <w:r w:rsidR="000D5757">
          <w:rPr>
            <w:noProof/>
            <w:webHidden/>
          </w:rPr>
          <w:fldChar w:fldCharType="separate"/>
        </w:r>
        <w:r w:rsidR="000D5757">
          <w:rPr>
            <w:noProof/>
            <w:webHidden/>
          </w:rPr>
          <w:t>4</w:t>
        </w:r>
        <w:r w:rsidR="000D5757">
          <w:rPr>
            <w:noProof/>
            <w:webHidden/>
          </w:rPr>
          <w:fldChar w:fldCharType="end"/>
        </w:r>
      </w:hyperlink>
    </w:p>
    <w:p w14:paraId="18F01722" w14:textId="24843CE8" w:rsidR="000D5757" w:rsidRDefault="00000000">
      <w:pPr>
        <w:pStyle w:val="TOC2"/>
        <w:rPr>
          <w:rFonts w:eastAsiaTheme="minorEastAsia" w:cstheme="minorBidi"/>
          <w:smallCaps w:val="0"/>
          <w:noProof/>
          <w:kern w:val="2"/>
          <w:sz w:val="24"/>
          <w:szCs w:val="24"/>
          <w:lang w:val="en-US"/>
          <w14:ligatures w14:val="standardContextual"/>
        </w:rPr>
      </w:pPr>
      <w:hyperlink w:anchor="_Toc144374717" w:history="1">
        <w:r w:rsidR="000D5757" w:rsidRPr="00264BA7">
          <w:rPr>
            <w:rStyle w:val="Hyperlink"/>
            <w:noProof/>
            <w:lang w:val="en-US"/>
          </w:rPr>
          <w:t>Caspase-1 is upregulated in PRP lesional skin.</w:t>
        </w:r>
        <w:r w:rsidR="000D5757">
          <w:rPr>
            <w:noProof/>
            <w:webHidden/>
          </w:rPr>
          <w:tab/>
        </w:r>
        <w:r w:rsidR="000D5757">
          <w:rPr>
            <w:noProof/>
            <w:webHidden/>
          </w:rPr>
          <w:fldChar w:fldCharType="begin"/>
        </w:r>
        <w:r w:rsidR="000D5757">
          <w:rPr>
            <w:noProof/>
            <w:webHidden/>
          </w:rPr>
          <w:instrText xml:space="preserve"> PAGEREF _Toc144374717 \h </w:instrText>
        </w:r>
        <w:r w:rsidR="000D5757">
          <w:rPr>
            <w:noProof/>
            <w:webHidden/>
          </w:rPr>
        </w:r>
        <w:r w:rsidR="000D5757">
          <w:rPr>
            <w:noProof/>
            <w:webHidden/>
          </w:rPr>
          <w:fldChar w:fldCharType="separate"/>
        </w:r>
        <w:r w:rsidR="000D5757">
          <w:rPr>
            <w:noProof/>
            <w:webHidden/>
          </w:rPr>
          <w:t>5</w:t>
        </w:r>
        <w:r w:rsidR="000D5757">
          <w:rPr>
            <w:noProof/>
            <w:webHidden/>
          </w:rPr>
          <w:fldChar w:fldCharType="end"/>
        </w:r>
      </w:hyperlink>
    </w:p>
    <w:p w14:paraId="4DB42E9F" w14:textId="4A54B8F5" w:rsidR="000D5757" w:rsidRDefault="00000000">
      <w:pPr>
        <w:pStyle w:val="TOC1"/>
        <w:rPr>
          <w:rFonts w:eastAsiaTheme="minorEastAsia" w:cstheme="minorBidi"/>
          <w:b w:val="0"/>
          <w:bCs w:val="0"/>
          <w:caps w:val="0"/>
          <w:noProof/>
          <w:kern w:val="2"/>
          <w:sz w:val="24"/>
          <w:szCs w:val="24"/>
          <w:lang w:val="en-US"/>
          <w14:ligatures w14:val="standardContextual"/>
        </w:rPr>
      </w:pPr>
      <w:hyperlink w:anchor="_Toc144374718" w:history="1">
        <w:r w:rsidR="000D5757" w:rsidRPr="00264BA7">
          <w:rPr>
            <w:rStyle w:val="Hyperlink"/>
            <w:noProof/>
            <w:lang w:val="en-US"/>
          </w:rPr>
          <w:t>Supplementary methods</w:t>
        </w:r>
        <w:r w:rsidR="000D5757">
          <w:rPr>
            <w:noProof/>
            <w:webHidden/>
          </w:rPr>
          <w:tab/>
        </w:r>
        <w:r w:rsidR="000D5757">
          <w:rPr>
            <w:noProof/>
            <w:webHidden/>
          </w:rPr>
          <w:fldChar w:fldCharType="begin"/>
        </w:r>
        <w:r w:rsidR="000D5757">
          <w:rPr>
            <w:noProof/>
            <w:webHidden/>
          </w:rPr>
          <w:instrText xml:space="preserve"> PAGEREF _Toc144374718 \h </w:instrText>
        </w:r>
        <w:r w:rsidR="000D5757">
          <w:rPr>
            <w:noProof/>
            <w:webHidden/>
          </w:rPr>
        </w:r>
        <w:r w:rsidR="000D5757">
          <w:rPr>
            <w:noProof/>
            <w:webHidden/>
          </w:rPr>
          <w:fldChar w:fldCharType="separate"/>
        </w:r>
        <w:r w:rsidR="000D5757">
          <w:rPr>
            <w:noProof/>
            <w:webHidden/>
          </w:rPr>
          <w:t>6</w:t>
        </w:r>
        <w:r w:rsidR="000D5757">
          <w:rPr>
            <w:noProof/>
            <w:webHidden/>
          </w:rPr>
          <w:fldChar w:fldCharType="end"/>
        </w:r>
      </w:hyperlink>
    </w:p>
    <w:p w14:paraId="146D573E" w14:textId="4C7423AB" w:rsidR="000D5757" w:rsidRDefault="00000000">
      <w:pPr>
        <w:pStyle w:val="TOC2"/>
        <w:rPr>
          <w:rFonts w:eastAsiaTheme="minorEastAsia" w:cstheme="minorBidi"/>
          <w:smallCaps w:val="0"/>
          <w:noProof/>
          <w:kern w:val="2"/>
          <w:sz w:val="24"/>
          <w:szCs w:val="24"/>
          <w:lang w:val="en-US"/>
          <w14:ligatures w14:val="standardContextual"/>
        </w:rPr>
      </w:pPr>
      <w:hyperlink w:anchor="_Toc144374719" w:history="1">
        <w:r w:rsidR="000D5757" w:rsidRPr="00264BA7">
          <w:rPr>
            <w:rStyle w:val="Hyperlink"/>
            <w:noProof/>
            <w:lang w:val="en-US"/>
          </w:rPr>
          <w:t>Clinical Data and Specimen Collection</w:t>
        </w:r>
        <w:r w:rsidR="000D5757">
          <w:rPr>
            <w:noProof/>
            <w:webHidden/>
          </w:rPr>
          <w:tab/>
        </w:r>
        <w:r w:rsidR="000D5757">
          <w:rPr>
            <w:noProof/>
            <w:webHidden/>
          </w:rPr>
          <w:fldChar w:fldCharType="begin"/>
        </w:r>
        <w:r w:rsidR="000D5757">
          <w:rPr>
            <w:noProof/>
            <w:webHidden/>
          </w:rPr>
          <w:instrText xml:space="preserve"> PAGEREF _Toc144374719 \h </w:instrText>
        </w:r>
        <w:r w:rsidR="000D5757">
          <w:rPr>
            <w:noProof/>
            <w:webHidden/>
          </w:rPr>
        </w:r>
        <w:r w:rsidR="000D5757">
          <w:rPr>
            <w:noProof/>
            <w:webHidden/>
          </w:rPr>
          <w:fldChar w:fldCharType="separate"/>
        </w:r>
        <w:r w:rsidR="000D5757">
          <w:rPr>
            <w:noProof/>
            <w:webHidden/>
          </w:rPr>
          <w:t>6</w:t>
        </w:r>
        <w:r w:rsidR="000D5757">
          <w:rPr>
            <w:noProof/>
            <w:webHidden/>
          </w:rPr>
          <w:fldChar w:fldCharType="end"/>
        </w:r>
      </w:hyperlink>
    </w:p>
    <w:p w14:paraId="41B891F5" w14:textId="4B25C720" w:rsidR="000D5757" w:rsidRDefault="00000000">
      <w:pPr>
        <w:pStyle w:val="TOC2"/>
        <w:rPr>
          <w:rFonts w:eastAsiaTheme="minorEastAsia" w:cstheme="minorBidi"/>
          <w:smallCaps w:val="0"/>
          <w:noProof/>
          <w:kern w:val="2"/>
          <w:sz w:val="24"/>
          <w:szCs w:val="24"/>
          <w:lang w:val="en-US"/>
          <w14:ligatures w14:val="standardContextual"/>
        </w:rPr>
      </w:pPr>
      <w:hyperlink w:anchor="_Toc144374720" w:history="1">
        <w:r w:rsidR="000D5757" w:rsidRPr="00264BA7">
          <w:rPr>
            <w:rStyle w:val="Hyperlink"/>
            <w:noProof/>
            <w:lang w:val="en-US"/>
          </w:rPr>
          <w:t>Immunohistochemistry for IL-1β</w:t>
        </w:r>
        <w:r w:rsidR="000D5757">
          <w:rPr>
            <w:noProof/>
            <w:webHidden/>
          </w:rPr>
          <w:tab/>
        </w:r>
        <w:r w:rsidR="000D5757">
          <w:rPr>
            <w:noProof/>
            <w:webHidden/>
          </w:rPr>
          <w:fldChar w:fldCharType="begin"/>
        </w:r>
        <w:r w:rsidR="000D5757">
          <w:rPr>
            <w:noProof/>
            <w:webHidden/>
          </w:rPr>
          <w:instrText xml:space="preserve"> PAGEREF _Toc144374720 \h </w:instrText>
        </w:r>
        <w:r w:rsidR="000D5757">
          <w:rPr>
            <w:noProof/>
            <w:webHidden/>
          </w:rPr>
        </w:r>
        <w:r w:rsidR="000D5757">
          <w:rPr>
            <w:noProof/>
            <w:webHidden/>
          </w:rPr>
          <w:fldChar w:fldCharType="separate"/>
        </w:r>
        <w:r w:rsidR="000D5757">
          <w:rPr>
            <w:noProof/>
            <w:webHidden/>
          </w:rPr>
          <w:t>6</w:t>
        </w:r>
        <w:r w:rsidR="000D5757">
          <w:rPr>
            <w:noProof/>
            <w:webHidden/>
          </w:rPr>
          <w:fldChar w:fldCharType="end"/>
        </w:r>
      </w:hyperlink>
    </w:p>
    <w:p w14:paraId="60C432D4" w14:textId="0A6E7FCF" w:rsidR="000D5757" w:rsidRDefault="00000000">
      <w:pPr>
        <w:pStyle w:val="TOC2"/>
        <w:rPr>
          <w:rFonts w:eastAsiaTheme="minorEastAsia" w:cstheme="minorBidi"/>
          <w:smallCaps w:val="0"/>
          <w:noProof/>
          <w:kern w:val="2"/>
          <w:sz w:val="24"/>
          <w:szCs w:val="24"/>
          <w:lang w:val="en-US"/>
          <w14:ligatures w14:val="standardContextual"/>
        </w:rPr>
      </w:pPr>
      <w:hyperlink w:anchor="_Toc144374721" w:history="1">
        <w:r w:rsidR="000D5757" w:rsidRPr="00264BA7">
          <w:rPr>
            <w:rStyle w:val="Hyperlink"/>
            <w:noProof/>
            <w:lang w:val="en-US"/>
          </w:rPr>
          <w:t>Immunohistochemistry for caspase-1 and CCL20</w:t>
        </w:r>
        <w:r w:rsidR="000D5757">
          <w:rPr>
            <w:noProof/>
            <w:webHidden/>
          </w:rPr>
          <w:tab/>
        </w:r>
        <w:r w:rsidR="000D5757">
          <w:rPr>
            <w:noProof/>
            <w:webHidden/>
          </w:rPr>
          <w:fldChar w:fldCharType="begin"/>
        </w:r>
        <w:r w:rsidR="000D5757">
          <w:rPr>
            <w:noProof/>
            <w:webHidden/>
          </w:rPr>
          <w:instrText xml:space="preserve"> PAGEREF _Toc144374721 \h </w:instrText>
        </w:r>
        <w:r w:rsidR="000D5757">
          <w:rPr>
            <w:noProof/>
            <w:webHidden/>
          </w:rPr>
        </w:r>
        <w:r w:rsidR="000D5757">
          <w:rPr>
            <w:noProof/>
            <w:webHidden/>
          </w:rPr>
          <w:fldChar w:fldCharType="separate"/>
        </w:r>
        <w:r w:rsidR="000D5757">
          <w:rPr>
            <w:noProof/>
            <w:webHidden/>
          </w:rPr>
          <w:t>7</w:t>
        </w:r>
        <w:r w:rsidR="000D5757">
          <w:rPr>
            <w:noProof/>
            <w:webHidden/>
          </w:rPr>
          <w:fldChar w:fldCharType="end"/>
        </w:r>
      </w:hyperlink>
    </w:p>
    <w:p w14:paraId="61DECC26" w14:textId="138FDC97" w:rsidR="000D5757" w:rsidRDefault="00000000">
      <w:pPr>
        <w:pStyle w:val="TOC2"/>
        <w:rPr>
          <w:rFonts w:eastAsiaTheme="minorEastAsia" w:cstheme="minorBidi"/>
          <w:smallCaps w:val="0"/>
          <w:noProof/>
          <w:kern w:val="2"/>
          <w:sz w:val="24"/>
          <w:szCs w:val="24"/>
          <w:lang w:val="en-US"/>
          <w14:ligatures w14:val="standardContextual"/>
        </w:rPr>
      </w:pPr>
      <w:hyperlink w:anchor="_Toc144374722" w:history="1">
        <w:r w:rsidR="000D5757" w:rsidRPr="00264BA7">
          <w:rPr>
            <w:rStyle w:val="Hyperlink"/>
            <w:noProof/>
            <w:lang w:val="en-US"/>
          </w:rPr>
          <w:t>Targeted RNA-sequencing</w:t>
        </w:r>
        <w:r w:rsidR="000D5757">
          <w:rPr>
            <w:noProof/>
            <w:webHidden/>
          </w:rPr>
          <w:tab/>
        </w:r>
        <w:r w:rsidR="000D5757">
          <w:rPr>
            <w:noProof/>
            <w:webHidden/>
          </w:rPr>
          <w:fldChar w:fldCharType="begin"/>
        </w:r>
        <w:r w:rsidR="000D5757">
          <w:rPr>
            <w:noProof/>
            <w:webHidden/>
          </w:rPr>
          <w:instrText xml:space="preserve"> PAGEREF _Toc144374722 \h </w:instrText>
        </w:r>
        <w:r w:rsidR="000D5757">
          <w:rPr>
            <w:noProof/>
            <w:webHidden/>
          </w:rPr>
        </w:r>
        <w:r w:rsidR="000D5757">
          <w:rPr>
            <w:noProof/>
            <w:webHidden/>
          </w:rPr>
          <w:fldChar w:fldCharType="separate"/>
        </w:r>
        <w:r w:rsidR="000D5757">
          <w:rPr>
            <w:noProof/>
            <w:webHidden/>
          </w:rPr>
          <w:t>7</w:t>
        </w:r>
        <w:r w:rsidR="000D5757">
          <w:rPr>
            <w:noProof/>
            <w:webHidden/>
          </w:rPr>
          <w:fldChar w:fldCharType="end"/>
        </w:r>
      </w:hyperlink>
    </w:p>
    <w:p w14:paraId="3B4AC58A" w14:textId="51CBE0D7" w:rsidR="000D5757" w:rsidRDefault="00000000">
      <w:pPr>
        <w:pStyle w:val="TOC2"/>
        <w:rPr>
          <w:rFonts w:eastAsiaTheme="minorEastAsia" w:cstheme="minorBidi"/>
          <w:smallCaps w:val="0"/>
          <w:noProof/>
          <w:kern w:val="2"/>
          <w:sz w:val="24"/>
          <w:szCs w:val="24"/>
          <w:lang w:val="en-US"/>
          <w14:ligatures w14:val="standardContextual"/>
        </w:rPr>
      </w:pPr>
      <w:hyperlink w:anchor="_Toc144374723" w:history="1">
        <w:r w:rsidR="000D5757" w:rsidRPr="00264BA7">
          <w:rPr>
            <w:rStyle w:val="Hyperlink"/>
            <w:noProof/>
            <w:lang w:val="en-US"/>
          </w:rPr>
          <w:t>External Bulk RNA-seq PRP profile</w:t>
        </w:r>
        <w:r w:rsidR="000D5757" w:rsidRPr="00264BA7">
          <w:rPr>
            <w:rStyle w:val="Hyperlink"/>
            <w:noProof/>
            <w:vertAlign w:val="superscript"/>
            <w:lang w:val="en-US"/>
          </w:rPr>
          <w:t>4</w:t>
        </w:r>
        <w:r w:rsidR="000D5757" w:rsidRPr="00264BA7">
          <w:rPr>
            <w:rStyle w:val="Hyperlink"/>
            <w:noProof/>
            <w:lang w:val="en-US"/>
          </w:rPr>
          <w:t xml:space="preserve"> analysis</w:t>
        </w:r>
        <w:r w:rsidR="000D5757">
          <w:rPr>
            <w:noProof/>
            <w:webHidden/>
          </w:rPr>
          <w:tab/>
        </w:r>
        <w:r w:rsidR="000D5757">
          <w:rPr>
            <w:noProof/>
            <w:webHidden/>
          </w:rPr>
          <w:fldChar w:fldCharType="begin"/>
        </w:r>
        <w:r w:rsidR="000D5757">
          <w:rPr>
            <w:noProof/>
            <w:webHidden/>
          </w:rPr>
          <w:instrText xml:space="preserve"> PAGEREF _Toc144374723 \h </w:instrText>
        </w:r>
        <w:r w:rsidR="000D5757">
          <w:rPr>
            <w:noProof/>
            <w:webHidden/>
          </w:rPr>
        </w:r>
        <w:r w:rsidR="000D5757">
          <w:rPr>
            <w:noProof/>
            <w:webHidden/>
          </w:rPr>
          <w:fldChar w:fldCharType="separate"/>
        </w:r>
        <w:r w:rsidR="000D5757">
          <w:rPr>
            <w:noProof/>
            <w:webHidden/>
          </w:rPr>
          <w:t>8</w:t>
        </w:r>
        <w:r w:rsidR="000D5757">
          <w:rPr>
            <w:noProof/>
            <w:webHidden/>
          </w:rPr>
          <w:fldChar w:fldCharType="end"/>
        </w:r>
      </w:hyperlink>
    </w:p>
    <w:p w14:paraId="3E892303" w14:textId="314EBBD3" w:rsidR="000D5757" w:rsidRDefault="00000000">
      <w:pPr>
        <w:pStyle w:val="TOC3"/>
        <w:tabs>
          <w:tab w:val="right" w:leader="dot" w:pos="9019"/>
        </w:tabs>
        <w:rPr>
          <w:rFonts w:eastAsiaTheme="minorEastAsia" w:cstheme="minorBidi"/>
          <w:i w:val="0"/>
          <w:iCs w:val="0"/>
          <w:noProof/>
          <w:kern w:val="2"/>
          <w:sz w:val="24"/>
          <w:szCs w:val="24"/>
          <w:lang w:val="en-US"/>
          <w14:ligatures w14:val="standardContextual"/>
        </w:rPr>
      </w:pPr>
      <w:hyperlink w:anchor="_Toc144374724" w:history="1">
        <w:r w:rsidR="000D5757" w:rsidRPr="00264BA7">
          <w:rPr>
            <w:rStyle w:val="Hyperlink"/>
            <w:noProof/>
            <w:lang w:val="en-US"/>
          </w:rPr>
          <w:t>Data Acquisition and Processing</w:t>
        </w:r>
        <w:r w:rsidR="000D5757">
          <w:rPr>
            <w:noProof/>
            <w:webHidden/>
          </w:rPr>
          <w:tab/>
        </w:r>
        <w:r w:rsidR="000D5757">
          <w:rPr>
            <w:noProof/>
            <w:webHidden/>
          </w:rPr>
          <w:fldChar w:fldCharType="begin"/>
        </w:r>
        <w:r w:rsidR="000D5757">
          <w:rPr>
            <w:noProof/>
            <w:webHidden/>
          </w:rPr>
          <w:instrText xml:space="preserve"> PAGEREF _Toc144374724 \h </w:instrText>
        </w:r>
        <w:r w:rsidR="000D5757">
          <w:rPr>
            <w:noProof/>
            <w:webHidden/>
          </w:rPr>
        </w:r>
        <w:r w:rsidR="000D5757">
          <w:rPr>
            <w:noProof/>
            <w:webHidden/>
          </w:rPr>
          <w:fldChar w:fldCharType="separate"/>
        </w:r>
        <w:r w:rsidR="000D5757">
          <w:rPr>
            <w:noProof/>
            <w:webHidden/>
          </w:rPr>
          <w:t>8</w:t>
        </w:r>
        <w:r w:rsidR="000D5757">
          <w:rPr>
            <w:noProof/>
            <w:webHidden/>
          </w:rPr>
          <w:fldChar w:fldCharType="end"/>
        </w:r>
      </w:hyperlink>
    </w:p>
    <w:p w14:paraId="2E1108CD" w14:textId="4B683570" w:rsidR="000D5757" w:rsidRDefault="00000000">
      <w:pPr>
        <w:pStyle w:val="TOC3"/>
        <w:tabs>
          <w:tab w:val="right" w:leader="dot" w:pos="9019"/>
        </w:tabs>
        <w:rPr>
          <w:rFonts w:eastAsiaTheme="minorEastAsia" w:cstheme="minorBidi"/>
          <w:i w:val="0"/>
          <w:iCs w:val="0"/>
          <w:noProof/>
          <w:kern w:val="2"/>
          <w:sz w:val="24"/>
          <w:szCs w:val="24"/>
          <w:lang w:val="en-US"/>
          <w14:ligatures w14:val="standardContextual"/>
        </w:rPr>
      </w:pPr>
      <w:hyperlink w:anchor="_Toc144374725" w:history="1">
        <w:r w:rsidR="000D5757" w:rsidRPr="00264BA7">
          <w:rPr>
            <w:rStyle w:val="Hyperlink"/>
            <w:noProof/>
            <w:lang w:val="en-US"/>
          </w:rPr>
          <w:t>Analysis of DE Results with IPA</w:t>
        </w:r>
        <w:r w:rsidR="000D5757">
          <w:rPr>
            <w:noProof/>
            <w:webHidden/>
          </w:rPr>
          <w:tab/>
        </w:r>
        <w:r w:rsidR="000D5757">
          <w:rPr>
            <w:noProof/>
            <w:webHidden/>
          </w:rPr>
          <w:fldChar w:fldCharType="begin"/>
        </w:r>
        <w:r w:rsidR="000D5757">
          <w:rPr>
            <w:noProof/>
            <w:webHidden/>
          </w:rPr>
          <w:instrText xml:space="preserve"> PAGEREF _Toc144374725 \h </w:instrText>
        </w:r>
        <w:r w:rsidR="000D5757">
          <w:rPr>
            <w:noProof/>
            <w:webHidden/>
          </w:rPr>
        </w:r>
        <w:r w:rsidR="000D5757">
          <w:rPr>
            <w:noProof/>
            <w:webHidden/>
          </w:rPr>
          <w:fldChar w:fldCharType="separate"/>
        </w:r>
        <w:r w:rsidR="000D5757">
          <w:rPr>
            <w:noProof/>
            <w:webHidden/>
          </w:rPr>
          <w:t>8</w:t>
        </w:r>
        <w:r w:rsidR="000D5757">
          <w:rPr>
            <w:noProof/>
            <w:webHidden/>
          </w:rPr>
          <w:fldChar w:fldCharType="end"/>
        </w:r>
      </w:hyperlink>
    </w:p>
    <w:p w14:paraId="5E8B6ABA" w14:textId="76983304" w:rsidR="000D5757" w:rsidRDefault="00000000">
      <w:pPr>
        <w:pStyle w:val="TOC3"/>
        <w:tabs>
          <w:tab w:val="right" w:leader="dot" w:pos="9019"/>
        </w:tabs>
        <w:rPr>
          <w:rFonts w:eastAsiaTheme="minorEastAsia" w:cstheme="minorBidi"/>
          <w:i w:val="0"/>
          <w:iCs w:val="0"/>
          <w:noProof/>
          <w:kern w:val="2"/>
          <w:sz w:val="24"/>
          <w:szCs w:val="24"/>
          <w:lang w:val="en-US"/>
          <w14:ligatures w14:val="standardContextual"/>
        </w:rPr>
      </w:pPr>
      <w:hyperlink w:anchor="_Toc144374726" w:history="1">
        <w:r w:rsidR="000D5757" w:rsidRPr="00264BA7">
          <w:rPr>
            <w:rStyle w:val="Hyperlink"/>
            <w:noProof/>
            <w:lang w:val="en-US"/>
          </w:rPr>
          <w:t>Correlation Analysis</w:t>
        </w:r>
        <w:r w:rsidR="000D5757">
          <w:rPr>
            <w:noProof/>
            <w:webHidden/>
          </w:rPr>
          <w:tab/>
        </w:r>
        <w:r w:rsidR="000D5757">
          <w:rPr>
            <w:noProof/>
            <w:webHidden/>
          </w:rPr>
          <w:fldChar w:fldCharType="begin"/>
        </w:r>
        <w:r w:rsidR="000D5757">
          <w:rPr>
            <w:noProof/>
            <w:webHidden/>
          </w:rPr>
          <w:instrText xml:space="preserve"> PAGEREF _Toc144374726 \h </w:instrText>
        </w:r>
        <w:r w:rsidR="000D5757">
          <w:rPr>
            <w:noProof/>
            <w:webHidden/>
          </w:rPr>
        </w:r>
        <w:r w:rsidR="000D5757">
          <w:rPr>
            <w:noProof/>
            <w:webHidden/>
          </w:rPr>
          <w:fldChar w:fldCharType="separate"/>
        </w:r>
        <w:r w:rsidR="000D5757">
          <w:rPr>
            <w:noProof/>
            <w:webHidden/>
          </w:rPr>
          <w:t>8</w:t>
        </w:r>
        <w:r w:rsidR="000D5757">
          <w:rPr>
            <w:noProof/>
            <w:webHidden/>
          </w:rPr>
          <w:fldChar w:fldCharType="end"/>
        </w:r>
      </w:hyperlink>
    </w:p>
    <w:p w14:paraId="258A3BA3" w14:textId="18D65A85" w:rsidR="000D5757" w:rsidRDefault="00000000">
      <w:pPr>
        <w:pStyle w:val="TOC3"/>
        <w:tabs>
          <w:tab w:val="right" w:leader="dot" w:pos="9019"/>
        </w:tabs>
        <w:rPr>
          <w:rFonts w:eastAsiaTheme="minorEastAsia" w:cstheme="minorBidi"/>
          <w:i w:val="0"/>
          <w:iCs w:val="0"/>
          <w:noProof/>
          <w:kern w:val="2"/>
          <w:sz w:val="24"/>
          <w:szCs w:val="24"/>
          <w:lang w:val="en-US"/>
          <w14:ligatures w14:val="standardContextual"/>
        </w:rPr>
      </w:pPr>
      <w:hyperlink w:anchor="_Toc144374727" w:history="1">
        <w:r w:rsidR="000D5757" w:rsidRPr="00264BA7">
          <w:rPr>
            <w:rStyle w:val="Hyperlink"/>
            <w:noProof/>
            <w:lang w:val="en-US"/>
          </w:rPr>
          <w:t>DE and correlation analysis crossover</w:t>
        </w:r>
        <w:r w:rsidR="000D5757">
          <w:rPr>
            <w:noProof/>
            <w:webHidden/>
          </w:rPr>
          <w:tab/>
        </w:r>
        <w:r w:rsidR="000D5757">
          <w:rPr>
            <w:noProof/>
            <w:webHidden/>
          </w:rPr>
          <w:fldChar w:fldCharType="begin"/>
        </w:r>
        <w:r w:rsidR="000D5757">
          <w:rPr>
            <w:noProof/>
            <w:webHidden/>
          </w:rPr>
          <w:instrText xml:space="preserve"> PAGEREF _Toc144374727 \h </w:instrText>
        </w:r>
        <w:r w:rsidR="000D5757">
          <w:rPr>
            <w:noProof/>
            <w:webHidden/>
          </w:rPr>
        </w:r>
        <w:r w:rsidR="000D5757">
          <w:rPr>
            <w:noProof/>
            <w:webHidden/>
          </w:rPr>
          <w:fldChar w:fldCharType="separate"/>
        </w:r>
        <w:r w:rsidR="000D5757">
          <w:rPr>
            <w:noProof/>
            <w:webHidden/>
          </w:rPr>
          <w:t>8</w:t>
        </w:r>
        <w:r w:rsidR="000D5757">
          <w:rPr>
            <w:noProof/>
            <w:webHidden/>
          </w:rPr>
          <w:fldChar w:fldCharType="end"/>
        </w:r>
      </w:hyperlink>
    </w:p>
    <w:p w14:paraId="431E9C6E" w14:textId="42DBC1E3" w:rsidR="000D5757" w:rsidRDefault="00000000">
      <w:pPr>
        <w:pStyle w:val="TOC3"/>
        <w:tabs>
          <w:tab w:val="right" w:leader="dot" w:pos="9019"/>
        </w:tabs>
        <w:rPr>
          <w:rFonts w:eastAsiaTheme="minorEastAsia" w:cstheme="minorBidi"/>
          <w:i w:val="0"/>
          <w:iCs w:val="0"/>
          <w:noProof/>
          <w:kern w:val="2"/>
          <w:sz w:val="24"/>
          <w:szCs w:val="24"/>
          <w:lang w:val="en-US"/>
          <w14:ligatures w14:val="standardContextual"/>
        </w:rPr>
      </w:pPr>
      <w:hyperlink w:anchor="_Toc144374728" w:history="1">
        <w:r w:rsidR="000D5757" w:rsidRPr="00264BA7">
          <w:rPr>
            <w:rStyle w:val="Hyperlink"/>
            <w:noProof/>
            <w:lang w:val="en-US"/>
          </w:rPr>
          <w:t>Over Representation Analysis and Protein-Protein Interaction Network Analysis</w:t>
        </w:r>
        <w:r w:rsidR="000D5757">
          <w:rPr>
            <w:noProof/>
            <w:webHidden/>
          </w:rPr>
          <w:tab/>
        </w:r>
        <w:r w:rsidR="000D5757">
          <w:rPr>
            <w:noProof/>
            <w:webHidden/>
          </w:rPr>
          <w:fldChar w:fldCharType="begin"/>
        </w:r>
        <w:r w:rsidR="000D5757">
          <w:rPr>
            <w:noProof/>
            <w:webHidden/>
          </w:rPr>
          <w:instrText xml:space="preserve"> PAGEREF _Toc144374728 \h </w:instrText>
        </w:r>
        <w:r w:rsidR="000D5757">
          <w:rPr>
            <w:noProof/>
            <w:webHidden/>
          </w:rPr>
        </w:r>
        <w:r w:rsidR="000D5757">
          <w:rPr>
            <w:noProof/>
            <w:webHidden/>
          </w:rPr>
          <w:fldChar w:fldCharType="separate"/>
        </w:r>
        <w:r w:rsidR="000D5757">
          <w:rPr>
            <w:noProof/>
            <w:webHidden/>
          </w:rPr>
          <w:t>8</w:t>
        </w:r>
        <w:r w:rsidR="000D5757">
          <w:rPr>
            <w:noProof/>
            <w:webHidden/>
          </w:rPr>
          <w:fldChar w:fldCharType="end"/>
        </w:r>
      </w:hyperlink>
    </w:p>
    <w:p w14:paraId="0863F4FE" w14:textId="1C661033" w:rsidR="000D5757" w:rsidRDefault="00000000">
      <w:pPr>
        <w:pStyle w:val="TOC2"/>
        <w:rPr>
          <w:rFonts w:eastAsiaTheme="minorEastAsia" w:cstheme="minorBidi"/>
          <w:smallCaps w:val="0"/>
          <w:noProof/>
          <w:kern w:val="2"/>
          <w:sz w:val="24"/>
          <w:szCs w:val="24"/>
          <w:lang w:val="en-US"/>
          <w14:ligatures w14:val="standardContextual"/>
        </w:rPr>
      </w:pPr>
      <w:hyperlink w:anchor="_Toc144374729" w:history="1">
        <w:r w:rsidR="000D5757" w:rsidRPr="00264BA7">
          <w:rPr>
            <w:rStyle w:val="Hyperlink"/>
            <w:noProof/>
            <w:lang w:val="en-US"/>
          </w:rPr>
          <w:t>Treatment transcriptomic response</w:t>
        </w:r>
        <w:r w:rsidR="000D5757">
          <w:rPr>
            <w:noProof/>
            <w:webHidden/>
          </w:rPr>
          <w:tab/>
        </w:r>
        <w:r w:rsidR="000D5757">
          <w:rPr>
            <w:noProof/>
            <w:webHidden/>
          </w:rPr>
          <w:fldChar w:fldCharType="begin"/>
        </w:r>
        <w:r w:rsidR="000D5757">
          <w:rPr>
            <w:noProof/>
            <w:webHidden/>
          </w:rPr>
          <w:instrText xml:space="preserve"> PAGEREF _Toc144374729 \h </w:instrText>
        </w:r>
        <w:r w:rsidR="000D5757">
          <w:rPr>
            <w:noProof/>
            <w:webHidden/>
          </w:rPr>
        </w:r>
        <w:r w:rsidR="000D5757">
          <w:rPr>
            <w:noProof/>
            <w:webHidden/>
          </w:rPr>
          <w:fldChar w:fldCharType="separate"/>
        </w:r>
        <w:r w:rsidR="000D5757">
          <w:rPr>
            <w:noProof/>
            <w:webHidden/>
          </w:rPr>
          <w:t>9</w:t>
        </w:r>
        <w:r w:rsidR="000D5757">
          <w:rPr>
            <w:noProof/>
            <w:webHidden/>
          </w:rPr>
          <w:fldChar w:fldCharType="end"/>
        </w:r>
      </w:hyperlink>
    </w:p>
    <w:p w14:paraId="7DBA5D41" w14:textId="6D44A701" w:rsidR="000D5757" w:rsidRDefault="00000000">
      <w:pPr>
        <w:pStyle w:val="TOC3"/>
        <w:tabs>
          <w:tab w:val="right" w:leader="dot" w:pos="9019"/>
        </w:tabs>
        <w:rPr>
          <w:rFonts w:eastAsiaTheme="minorEastAsia" w:cstheme="minorBidi"/>
          <w:i w:val="0"/>
          <w:iCs w:val="0"/>
          <w:noProof/>
          <w:kern w:val="2"/>
          <w:sz w:val="24"/>
          <w:szCs w:val="24"/>
          <w:lang w:val="en-US"/>
          <w14:ligatures w14:val="standardContextual"/>
        </w:rPr>
      </w:pPr>
      <w:hyperlink w:anchor="_Toc144374730" w:history="1">
        <w:r w:rsidR="000D5757" w:rsidRPr="00264BA7">
          <w:rPr>
            <w:rStyle w:val="Hyperlink"/>
            <w:noProof/>
            <w:lang w:val="en-US"/>
          </w:rPr>
          <w:t>Data Extraction and Labeling</w:t>
        </w:r>
        <w:r w:rsidR="000D5757">
          <w:rPr>
            <w:noProof/>
            <w:webHidden/>
          </w:rPr>
          <w:tab/>
        </w:r>
        <w:r w:rsidR="000D5757">
          <w:rPr>
            <w:noProof/>
            <w:webHidden/>
          </w:rPr>
          <w:fldChar w:fldCharType="begin"/>
        </w:r>
        <w:r w:rsidR="000D5757">
          <w:rPr>
            <w:noProof/>
            <w:webHidden/>
          </w:rPr>
          <w:instrText xml:space="preserve"> PAGEREF _Toc144374730 \h </w:instrText>
        </w:r>
        <w:r w:rsidR="000D5757">
          <w:rPr>
            <w:noProof/>
            <w:webHidden/>
          </w:rPr>
        </w:r>
        <w:r w:rsidR="000D5757">
          <w:rPr>
            <w:noProof/>
            <w:webHidden/>
          </w:rPr>
          <w:fldChar w:fldCharType="separate"/>
        </w:r>
        <w:r w:rsidR="000D5757">
          <w:rPr>
            <w:noProof/>
            <w:webHidden/>
          </w:rPr>
          <w:t>9</w:t>
        </w:r>
        <w:r w:rsidR="000D5757">
          <w:rPr>
            <w:noProof/>
            <w:webHidden/>
          </w:rPr>
          <w:fldChar w:fldCharType="end"/>
        </w:r>
      </w:hyperlink>
    </w:p>
    <w:p w14:paraId="71989486" w14:textId="406E0575" w:rsidR="000D5757" w:rsidRDefault="00000000">
      <w:pPr>
        <w:pStyle w:val="TOC3"/>
        <w:tabs>
          <w:tab w:val="right" w:leader="dot" w:pos="9019"/>
        </w:tabs>
        <w:rPr>
          <w:rFonts w:eastAsiaTheme="minorEastAsia" w:cstheme="minorBidi"/>
          <w:i w:val="0"/>
          <w:iCs w:val="0"/>
          <w:noProof/>
          <w:kern w:val="2"/>
          <w:sz w:val="24"/>
          <w:szCs w:val="24"/>
          <w:lang w:val="en-US"/>
          <w14:ligatures w14:val="standardContextual"/>
        </w:rPr>
      </w:pPr>
      <w:hyperlink w:anchor="_Toc144374731" w:history="1">
        <w:r w:rsidR="000D5757" w:rsidRPr="00264BA7">
          <w:rPr>
            <w:rStyle w:val="Hyperlink"/>
            <w:noProof/>
            <w:lang w:val="en-US"/>
          </w:rPr>
          <w:t>DE Analysis</w:t>
        </w:r>
        <w:r w:rsidR="000D5757">
          <w:rPr>
            <w:noProof/>
            <w:webHidden/>
          </w:rPr>
          <w:tab/>
        </w:r>
        <w:r w:rsidR="000D5757">
          <w:rPr>
            <w:noProof/>
            <w:webHidden/>
          </w:rPr>
          <w:fldChar w:fldCharType="begin"/>
        </w:r>
        <w:r w:rsidR="000D5757">
          <w:rPr>
            <w:noProof/>
            <w:webHidden/>
          </w:rPr>
          <w:instrText xml:space="preserve"> PAGEREF _Toc144374731 \h </w:instrText>
        </w:r>
        <w:r w:rsidR="000D5757">
          <w:rPr>
            <w:noProof/>
            <w:webHidden/>
          </w:rPr>
        </w:r>
        <w:r w:rsidR="000D5757">
          <w:rPr>
            <w:noProof/>
            <w:webHidden/>
          </w:rPr>
          <w:fldChar w:fldCharType="separate"/>
        </w:r>
        <w:r w:rsidR="000D5757">
          <w:rPr>
            <w:noProof/>
            <w:webHidden/>
          </w:rPr>
          <w:t>9</w:t>
        </w:r>
        <w:r w:rsidR="000D5757">
          <w:rPr>
            <w:noProof/>
            <w:webHidden/>
          </w:rPr>
          <w:fldChar w:fldCharType="end"/>
        </w:r>
      </w:hyperlink>
    </w:p>
    <w:p w14:paraId="0586D9EF" w14:textId="19BF54FF" w:rsidR="000D5757" w:rsidRDefault="00000000">
      <w:pPr>
        <w:pStyle w:val="TOC3"/>
        <w:tabs>
          <w:tab w:val="right" w:leader="dot" w:pos="9019"/>
        </w:tabs>
        <w:rPr>
          <w:rFonts w:eastAsiaTheme="minorEastAsia" w:cstheme="minorBidi"/>
          <w:i w:val="0"/>
          <w:iCs w:val="0"/>
          <w:noProof/>
          <w:kern w:val="2"/>
          <w:sz w:val="24"/>
          <w:szCs w:val="24"/>
          <w:lang w:val="en-US"/>
          <w14:ligatures w14:val="standardContextual"/>
        </w:rPr>
      </w:pPr>
      <w:hyperlink w:anchor="_Toc144374732" w:history="1">
        <w:r w:rsidR="000D5757" w:rsidRPr="00264BA7">
          <w:rPr>
            <w:rStyle w:val="Hyperlink"/>
            <w:noProof/>
            <w:lang w:val="en-US"/>
          </w:rPr>
          <w:t>Processing of DE Results</w:t>
        </w:r>
        <w:r w:rsidR="000D5757">
          <w:rPr>
            <w:noProof/>
            <w:webHidden/>
          </w:rPr>
          <w:tab/>
        </w:r>
        <w:r w:rsidR="000D5757">
          <w:rPr>
            <w:noProof/>
            <w:webHidden/>
          </w:rPr>
          <w:fldChar w:fldCharType="begin"/>
        </w:r>
        <w:r w:rsidR="000D5757">
          <w:rPr>
            <w:noProof/>
            <w:webHidden/>
          </w:rPr>
          <w:instrText xml:space="preserve"> PAGEREF _Toc144374732 \h </w:instrText>
        </w:r>
        <w:r w:rsidR="000D5757">
          <w:rPr>
            <w:noProof/>
            <w:webHidden/>
          </w:rPr>
        </w:r>
        <w:r w:rsidR="000D5757">
          <w:rPr>
            <w:noProof/>
            <w:webHidden/>
          </w:rPr>
          <w:fldChar w:fldCharType="separate"/>
        </w:r>
        <w:r w:rsidR="000D5757">
          <w:rPr>
            <w:noProof/>
            <w:webHidden/>
          </w:rPr>
          <w:t>9</w:t>
        </w:r>
        <w:r w:rsidR="000D5757">
          <w:rPr>
            <w:noProof/>
            <w:webHidden/>
          </w:rPr>
          <w:fldChar w:fldCharType="end"/>
        </w:r>
      </w:hyperlink>
    </w:p>
    <w:p w14:paraId="2163660A" w14:textId="261C99F4" w:rsidR="000D5757" w:rsidRDefault="00000000">
      <w:pPr>
        <w:pStyle w:val="TOC3"/>
        <w:tabs>
          <w:tab w:val="right" w:leader="dot" w:pos="9019"/>
        </w:tabs>
        <w:rPr>
          <w:rFonts w:eastAsiaTheme="minorEastAsia" w:cstheme="minorBidi"/>
          <w:i w:val="0"/>
          <w:iCs w:val="0"/>
          <w:noProof/>
          <w:kern w:val="2"/>
          <w:sz w:val="24"/>
          <w:szCs w:val="24"/>
          <w:lang w:val="en-US"/>
          <w14:ligatures w14:val="standardContextual"/>
        </w:rPr>
      </w:pPr>
      <w:hyperlink w:anchor="_Toc144374733" w:history="1">
        <w:r w:rsidR="000D5757" w:rsidRPr="00264BA7">
          <w:rPr>
            <w:rStyle w:val="Hyperlink"/>
            <w:noProof/>
            <w:lang w:val="en-US"/>
          </w:rPr>
          <w:t>Gene Set Enrichment Analysis</w:t>
        </w:r>
        <w:r w:rsidR="000D5757">
          <w:rPr>
            <w:noProof/>
            <w:webHidden/>
          </w:rPr>
          <w:tab/>
        </w:r>
        <w:r w:rsidR="000D5757">
          <w:rPr>
            <w:noProof/>
            <w:webHidden/>
          </w:rPr>
          <w:fldChar w:fldCharType="begin"/>
        </w:r>
        <w:r w:rsidR="000D5757">
          <w:rPr>
            <w:noProof/>
            <w:webHidden/>
          </w:rPr>
          <w:instrText xml:space="preserve"> PAGEREF _Toc144374733 \h </w:instrText>
        </w:r>
        <w:r w:rsidR="000D5757">
          <w:rPr>
            <w:noProof/>
            <w:webHidden/>
          </w:rPr>
        </w:r>
        <w:r w:rsidR="000D5757">
          <w:rPr>
            <w:noProof/>
            <w:webHidden/>
          </w:rPr>
          <w:fldChar w:fldCharType="separate"/>
        </w:r>
        <w:r w:rsidR="000D5757">
          <w:rPr>
            <w:noProof/>
            <w:webHidden/>
          </w:rPr>
          <w:t>9</w:t>
        </w:r>
        <w:r w:rsidR="000D5757">
          <w:rPr>
            <w:noProof/>
            <w:webHidden/>
          </w:rPr>
          <w:fldChar w:fldCharType="end"/>
        </w:r>
      </w:hyperlink>
    </w:p>
    <w:p w14:paraId="7D4E5AA8" w14:textId="7A95DC3F" w:rsidR="000D5757" w:rsidRDefault="00000000">
      <w:pPr>
        <w:pStyle w:val="TOC3"/>
        <w:tabs>
          <w:tab w:val="right" w:leader="dot" w:pos="9019"/>
        </w:tabs>
        <w:rPr>
          <w:rFonts w:eastAsiaTheme="minorEastAsia" w:cstheme="minorBidi"/>
          <w:i w:val="0"/>
          <w:iCs w:val="0"/>
          <w:noProof/>
          <w:kern w:val="2"/>
          <w:sz w:val="24"/>
          <w:szCs w:val="24"/>
          <w:lang w:val="en-US"/>
          <w14:ligatures w14:val="standardContextual"/>
        </w:rPr>
      </w:pPr>
      <w:hyperlink w:anchor="_Toc144374734" w:history="1">
        <w:r w:rsidR="000D5757" w:rsidRPr="00264BA7">
          <w:rPr>
            <w:rStyle w:val="Hyperlink"/>
            <w:noProof/>
            <w:lang w:val="en-US"/>
          </w:rPr>
          <w:t>Naming convention</w:t>
        </w:r>
        <w:r w:rsidR="000D5757">
          <w:rPr>
            <w:noProof/>
            <w:webHidden/>
          </w:rPr>
          <w:tab/>
        </w:r>
        <w:r w:rsidR="000D5757">
          <w:rPr>
            <w:noProof/>
            <w:webHidden/>
          </w:rPr>
          <w:fldChar w:fldCharType="begin"/>
        </w:r>
        <w:r w:rsidR="000D5757">
          <w:rPr>
            <w:noProof/>
            <w:webHidden/>
          </w:rPr>
          <w:instrText xml:space="preserve"> PAGEREF _Toc144374734 \h </w:instrText>
        </w:r>
        <w:r w:rsidR="000D5757">
          <w:rPr>
            <w:noProof/>
            <w:webHidden/>
          </w:rPr>
        </w:r>
        <w:r w:rsidR="000D5757">
          <w:rPr>
            <w:noProof/>
            <w:webHidden/>
          </w:rPr>
          <w:fldChar w:fldCharType="separate"/>
        </w:r>
        <w:r w:rsidR="000D5757">
          <w:rPr>
            <w:noProof/>
            <w:webHidden/>
          </w:rPr>
          <w:t>9</w:t>
        </w:r>
        <w:r w:rsidR="000D5757">
          <w:rPr>
            <w:noProof/>
            <w:webHidden/>
          </w:rPr>
          <w:fldChar w:fldCharType="end"/>
        </w:r>
      </w:hyperlink>
    </w:p>
    <w:p w14:paraId="41F8D4BE" w14:textId="7775AFB4" w:rsidR="000D5757" w:rsidRDefault="00000000">
      <w:pPr>
        <w:pStyle w:val="TOC2"/>
        <w:rPr>
          <w:rFonts w:eastAsiaTheme="minorEastAsia" w:cstheme="minorBidi"/>
          <w:smallCaps w:val="0"/>
          <w:noProof/>
          <w:kern w:val="2"/>
          <w:sz w:val="24"/>
          <w:szCs w:val="24"/>
          <w:lang w:val="en-US"/>
          <w14:ligatures w14:val="standardContextual"/>
        </w:rPr>
      </w:pPr>
      <w:hyperlink w:anchor="_Toc144374735" w:history="1">
        <w:r w:rsidR="000D5757" w:rsidRPr="00264BA7">
          <w:rPr>
            <w:rStyle w:val="Hyperlink"/>
            <w:i/>
            <w:noProof/>
            <w:lang w:val="en-US"/>
          </w:rPr>
          <w:t>In vitro</w:t>
        </w:r>
        <w:r w:rsidR="000D5757" w:rsidRPr="00264BA7">
          <w:rPr>
            <w:rStyle w:val="Hyperlink"/>
            <w:noProof/>
            <w:lang w:val="en-US"/>
          </w:rPr>
          <w:t xml:space="preserve"> stimulation of keratinocytes</w:t>
        </w:r>
        <w:r w:rsidR="000D5757">
          <w:rPr>
            <w:noProof/>
            <w:webHidden/>
          </w:rPr>
          <w:tab/>
        </w:r>
        <w:r w:rsidR="000D5757">
          <w:rPr>
            <w:noProof/>
            <w:webHidden/>
          </w:rPr>
          <w:fldChar w:fldCharType="begin"/>
        </w:r>
        <w:r w:rsidR="000D5757">
          <w:rPr>
            <w:noProof/>
            <w:webHidden/>
          </w:rPr>
          <w:instrText xml:space="preserve"> PAGEREF _Toc144374735 \h </w:instrText>
        </w:r>
        <w:r w:rsidR="000D5757">
          <w:rPr>
            <w:noProof/>
            <w:webHidden/>
          </w:rPr>
        </w:r>
        <w:r w:rsidR="000D5757">
          <w:rPr>
            <w:noProof/>
            <w:webHidden/>
          </w:rPr>
          <w:fldChar w:fldCharType="separate"/>
        </w:r>
        <w:r w:rsidR="000D5757">
          <w:rPr>
            <w:noProof/>
            <w:webHidden/>
          </w:rPr>
          <w:t>10</w:t>
        </w:r>
        <w:r w:rsidR="000D5757">
          <w:rPr>
            <w:noProof/>
            <w:webHidden/>
          </w:rPr>
          <w:fldChar w:fldCharType="end"/>
        </w:r>
      </w:hyperlink>
    </w:p>
    <w:p w14:paraId="020664A7" w14:textId="4FB4E7A7" w:rsidR="000D5757" w:rsidRDefault="00000000">
      <w:pPr>
        <w:pStyle w:val="TOC2"/>
        <w:rPr>
          <w:rFonts w:eastAsiaTheme="minorEastAsia" w:cstheme="minorBidi"/>
          <w:smallCaps w:val="0"/>
          <w:noProof/>
          <w:kern w:val="2"/>
          <w:sz w:val="24"/>
          <w:szCs w:val="24"/>
          <w:lang w:val="en-US"/>
          <w14:ligatures w14:val="standardContextual"/>
        </w:rPr>
      </w:pPr>
      <w:hyperlink w:anchor="_Toc144374736" w:history="1">
        <w:r w:rsidR="000D5757" w:rsidRPr="00264BA7">
          <w:rPr>
            <w:rStyle w:val="Hyperlink"/>
            <w:noProof/>
            <w:lang w:val="en-US"/>
          </w:rPr>
          <w:t>Single cell dissection of CARD14 gain of function mutation in mice dataset.</w:t>
        </w:r>
        <w:r w:rsidR="000D5757">
          <w:rPr>
            <w:noProof/>
            <w:webHidden/>
          </w:rPr>
          <w:tab/>
        </w:r>
        <w:r w:rsidR="000D5757">
          <w:rPr>
            <w:noProof/>
            <w:webHidden/>
          </w:rPr>
          <w:fldChar w:fldCharType="begin"/>
        </w:r>
        <w:r w:rsidR="000D5757">
          <w:rPr>
            <w:noProof/>
            <w:webHidden/>
          </w:rPr>
          <w:instrText xml:space="preserve"> PAGEREF _Toc144374736 \h </w:instrText>
        </w:r>
        <w:r w:rsidR="000D5757">
          <w:rPr>
            <w:noProof/>
            <w:webHidden/>
          </w:rPr>
        </w:r>
        <w:r w:rsidR="000D5757">
          <w:rPr>
            <w:noProof/>
            <w:webHidden/>
          </w:rPr>
          <w:fldChar w:fldCharType="separate"/>
        </w:r>
        <w:r w:rsidR="000D5757">
          <w:rPr>
            <w:noProof/>
            <w:webHidden/>
          </w:rPr>
          <w:t>10</w:t>
        </w:r>
        <w:r w:rsidR="000D5757">
          <w:rPr>
            <w:noProof/>
            <w:webHidden/>
          </w:rPr>
          <w:fldChar w:fldCharType="end"/>
        </w:r>
      </w:hyperlink>
    </w:p>
    <w:p w14:paraId="4A501629" w14:textId="6489A03D" w:rsidR="000D5757" w:rsidRDefault="00000000">
      <w:pPr>
        <w:pStyle w:val="TOC1"/>
        <w:rPr>
          <w:rFonts w:eastAsiaTheme="minorEastAsia" w:cstheme="minorBidi"/>
          <w:b w:val="0"/>
          <w:bCs w:val="0"/>
          <w:caps w:val="0"/>
          <w:noProof/>
          <w:kern w:val="2"/>
          <w:sz w:val="24"/>
          <w:szCs w:val="24"/>
          <w:lang w:val="en-US"/>
          <w14:ligatures w14:val="standardContextual"/>
        </w:rPr>
      </w:pPr>
      <w:hyperlink w:anchor="_Toc144374737" w:history="1">
        <w:r w:rsidR="000D5757" w:rsidRPr="00264BA7">
          <w:rPr>
            <w:rStyle w:val="Hyperlink"/>
            <w:noProof/>
            <w:lang w:val="en-US"/>
          </w:rPr>
          <w:t>Supplementary tables</w:t>
        </w:r>
        <w:r w:rsidR="000D5757">
          <w:rPr>
            <w:noProof/>
            <w:webHidden/>
          </w:rPr>
          <w:tab/>
        </w:r>
        <w:r w:rsidR="000D5757">
          <w:rPr>
            <w:noProof/>
            <w:webHidden/>
          </w:rPr>
          <w:fldChar w:fldCharType="begin"/>
        </w:r>
        <w:r w:rsidR="000D5757">
          <w:rPr>
            <w:noProof/>
            <w:webHidden/>
          </w:rPr>
          <w:instrText xml:space="preserve"> PAGEREF _Toc144374737 \h </w:instrText>
        </w:r>
        <w:r w:rsidR="000D5757">
          <w:rPr>
            <w:noProof/>
            <w:webHidden/>
          </w:rPr>
        </w:r>
        <w:r w:rsidR="000D5757">
          <w:rPr>
            <w:noProof/>
            <w:webHidden/>
          </w:rPr>
          <w:fldChar w:fldCharType="separate"/>
        </w:r>
        <w:r w:rsidR="000D5757">
          <w:rPr>
            <w:noProof/>
            <w:webHidden/>
          </w:rPr>
          <w:t>11</w:t>
        </w:r>
        <w:r w:rsidR="000D5757">
          <w:rPr>
            <w:noProof/>
            <w:webHidden/>
          </w:rPr>
          <w:fldChar w:fldCharType="end"/>
        </w:r>
      </w:hyperlink>
    </w:p>
    <w:p w14:paraId="7D6F0546" w14:textId="419F5752" w:rsidR="000D5757" w:rsidRDefault="00000000">
      <w:pPr>
        <w:pStyle w:val="TOC2"/>
        <w:rPr>
          <w:rFonts w:eastAsiaTheme="minorEastAsia" w:cstheme="minorBidi"/>
          <w:smallCaps w:val="0"/>
          <w:noProof/>
          <w:kern w:val="2"/>
          <w:sz w:val="24"/>
          <w:szCs w:val="24"/>
          <w:lang w:val="en-US"/>
          <w14:ligatures w14:val="standardContextual"/>
        </w:rPr>
      </w:pPr>
      <w:hyperlink w:anchor="_Toc144374738" w:history="1">
        <w:r w:rsidR="000D5757" w:rsidRPr="00264BA7">
          <w:rPr>
            <w:rStyle w:val="Hyperlink"/>
            <w:noProof/>
            <w:lang w:val="en-US"/>
          </w:rPr>
          <w:t>Table S1</w:t>
        </w:r>
        <w:r w:rsidR="000D5757">
          <w:rPr>
            <w:noProof/>
            <w:webHidden/>
          </w:rPr>
          <w:tab/>
        </w:r>
        <w:r w:rsidR="000D5757">
          <w:rPr>
            <w:noProof/>
            <w:webHidden/>
          </w:rPr>
          <w:fldChar w:fldCharType="begin"/>
        </w:r>
        <w:r w:rsidR="000D5757">
          <w:rPr>
            <w:noProof/>
            <w:webHidden/>
          </w:rPr>
          <w:instrText xml:space="preserve"> PAGEREF _Toc144374738 \h </w:instrText>
        </w:r>
        <w:r w:rsidR="000D5757">
          <w:rPr>
            <w:noProof/>
            <w:webHidden/>
          </w:rPr>
        </w:r>
        <w:r w:rsidR="000D5757">
          <w:rPr>
            <w:noProof/>
            <w:webHidden/>
          </w:rPr>
          <w:fldChar w:fldCharType="separate"/>
        </w:r>
        <w:r w:rsidR="000D5757">
          <w:rPr>
            <w:noProof/>
            <w:webHidden/>
          </w:rPr>
          <w:t>11</w:t>
        </w:r>
        <w:r w:rsidR="000D5757">
          <w:rPr>
            <w:noProof/>
            <w:webHidden/>
          </w:rPr>
          <w:fldChar w:fldCharType="end"/>
        </w:r>
      </w:hyperlink>
    </w:p>
    <w:p w14:paraId="272A523B" w14:textId="435A976E" w:rsidR="000D5757" w:rsidRDefault="00000000">
      <w:pPr>
        <w:pStyle w:val="TOC2"/>
        <w:rPr>
          <w:rFonts w:eastAsiaTheme="minorEastAsia" w:cstheme="minorBidi"/>
          <w:smallCaps w:val="0"/>
          <w:noProof/>
          <w:kern w:val="2"/>
          <w:sz w:val="24"/>
          <w:szCs w:val="24"/>
          <w:lang w:val="en-US"/>
          <w14:ligatures w14:val="standardContextual"/>
        </w:rPr>
      </w:pPr>
      <w:hyperlink w:anchor="_Toc144374739" w:history="1">
        <w:r w:rsidR="000D5757" w:rsidRPr="00264BA7">
          <w:rPr>
            <w:rStyle w:val="Hyperlink"/>
            <w:noProof/>
            <w:lang w:val="en-US"/>
          </w:rPr>
          <w:t>Table S2.</w:t>
        </w:r>
        <w:r w:rsidR="000D5757">
          <w:rPr>
            <w:noProof/>
            <w:webHidden/>
          </w:rPr>
          <w:tab/>
        </w:r>
        <w:r w:rsidR="000D5757">
          <w:rPr>
            <w:noProof/>
            <w:webHidden/>
          </w:rPr>
          <w:fldChar w:fldCharType="begin"/>
        </w:r>
        <w:r w:rsidR="000D5757">
          <w:rPr>
            <w:noProof/>
            <w:webHidden/>
          </w:rPr>
          <w:instrText xml:space="preserve"> PAGEREF _Toc144374739 \h </w:instrText>
        </w:r>
        <w:r w:rsidR="000D5757">
          <w:rPr>
            <w:noProof/>
            <w:webHidden/>
          </w:rPr>
        </w:r>
        <w:r w:rsidR="000D5757">
          <w:rPr>
            <w:noProof/>
            <w:webHidden/>
          </w:rPr>
          <w:fldChar w:fldCharType="separate"/>
        </w:r>
        <w:r w:rsidR="000D5757">
          <w:rPr>
            <w:noProof/>
            <w:webHidden/>
          </w:rPr>
          <w:t>12</w:t>
        </w:r>
        <w:r w:rsidR="000D5757">
          <w:rPr>
            <w:noProof/>
            <w:webHidden/>
          </w:rPr>
          <w:fldChar w:fldCharType="end"/>
        </w:r>
      </w:hyperlink>
    </w:p>
    <w:p w14:paraId="1DA16865" w14:textId="7CD4D779" w:rsidR="000D5757" w:rsidRDefault="00000000">
      <w:pPr>
        <w:pStyle w:val="TOC1"/>
        <w:rPr>
          <w:rFonts w:eastAsiaTheme="minorEastAsia" w:cstheme="minorBidi"/>
          <w:b w:val="0"/>
          <w:bCs w:val="0"/>
          <w:caps w:val="0"/>
          <w:noProof/>
          <w:kern w:val="2"/>
          <w:sz w:val="24"/>
          <w:szCs w:val="24"/>
          <w:lang w:val="en-US"/>
          <w14:ligatures w14:val="standardContextual"/>
        </w:rPr>
      </w:pPr>
      <w:hyperlink w:anchor="_Toc144374740" w:history="1">
        <w:r w:rsidR="000D5757" w:rsidRPr="00264BA7">
          <w:rPr>
            <w:rStyle w:val="Hyperlink"/>
            <w:noProof/>
            <w:lang w:val="en-US"/>
          </w:rPr>
          <w:t>Supplementary References</w:t>
        </w:r>
        <w:r w:rsidR="000D5757">
          <w:rPr>
            <w:noProof/>
            <w:webHidden/>
          </w:rPr>
          <w:tab/>
        </w:r>
        <w:r w:rsidR="000D5757">
          <w:rPr>
            <w:noProof/>
            <w:webHidden/>
          </w:rPr>
          <w:fldChar w:fldCharType="begin"/>
        </w:r>
        <w:r w:rsidR="000D5757">
          <w:rPr>
            <w:noProof/>
            <w:webHidden/>
          </w:rPr>
          <w:instrText xml:space="preserve"> PAGEREF _Toc144374740 \h </w:instrText>
        </w:r>
        <w:r w:rsidR="000D5757">
          <w:rPr>
            <w:noProof/>
            <w:webHidden/>
          </w:rPr>
        </w:r>
        <w:r w:rsidR="000D5757">
          <w:rPr>
            <w:noProof/>
            <w:webHidden/>
          </w:rPr>
          <w:fldChar w:fldCharType="separate"/>
        </w:r>
        <w:r w:rsidR="000D5757">
          <w:rPr>
            <w:noProof/>
            <w:webHidden/>
          </w:rPr>
          <w:t>13</w:t>
        </w:r>
        <w:r w:rsidR="000D5757">
          <w:rPr>
            <w:noProof/>
            <w:webHidden/>
          </w:rPr>
          <w:fldChar w:fldCharType="end"/>
        </w:r>
      </w:hyperlink>
    </w:p>
    <w:p w14:paraId="0AC16ED7" w14:textId="542E9EB1" w:rsidR="00F969C4" w:rsidRDefault="000E4817">
      <w:pPr>
        <w:rPr>
          <w:rFonts w:ascii="Calibri" w:eastAsia="Calibri" w:hAnsi="Calibri" w:cs="Calibri"/>
          <w:lang w:val="en-US"/>
        </w:rPr>
      </w:pPr>
      <w:r>
        <w:rPr>
          <w:rFonts w:ascii="Calibri" w:eastAsia="Calibri" w:hAnsi="Calibri" w:cs="Calibri"/>
          <w:lang w:val="en-US"/>
        </w:rPr>
        <w:fldChar w:fldCharType="end"/>
      </w:r>
    </w:p>
    <w:p w14:paraId="7FF9427F" w14:textId="77777777" w:rsidR="000E4817" w:rsidRDefault="000E4817">
      <w:pPr>
        <w:rPr>
          <w:rFonts w:ascii="Calibri" w:eastAsia="Calibri" w:hAnsi="Calibri" w:cs="Calibri"/>
          <w:lang w:val="en-US"/>
        </w:rPr>
      </w:pPr>
      <w:r>
        <w:rPr>
          <w:rFonts w:ascii="Calibri" w:eastAsia="Calibri" w:hAnsi="Calibri" w:cs="Calibri"/>
          <w:lang w:val="en-US"/>
        </w:rPr>
        <w:br w:type="page"/>
      </w:r>
    </w:p>
    <w:p w14:paraId="4BA2473C" w14:textId="1B99EC1F" w:rsidR="0004508F" w:rsidRPr="000004F0" w:rsidRDefault="00A434EF" w:rsidP="000004F0">
      <w:pPr>
        <w:pStyle w:val="Heading1"/>
        <w:rPr>
          <w:caps/>
          <w:sz w:val="32"/>
          <w:szCs w:val="32"/>
          <w:lang w:val="en-US"/>
        </w:rPr>
      </w:pPr>
      <w:bookmarkStart w:id="0" w:name="_Toc144374712"/>
      <w:r w:rsidRPr="000004F0">
        <w:rPr>
          <w:caps/>
          <w:sz w:val="32"/>
          <w:szCs w:val="32"/>
          <w:lang w:val="en-US"/>
        </w:rPr>
        <w:lastRenderedPageBreak/>
        <w:t>List of investigators</w:t>
      </w:r>
      <w:bookmarkEnd w:id="0"/>
    </w:p>
    <w:p w14:paraId="1DD7EE3D" w14:textId="7180656C" w:rsidR="0004508F" w:rsidRPr="00A62450" w:rsidRDefault="0004508F" w:rsidP="0004508F">
      <w:pPr>
        <w:rPr>
          <w:rFonts w:ascii="Calibri" w:eastAsia="Calibri" w:hAnsi="Calibri" w:cs="Calibri"/>
          <w:highlight w:val="white"/>
          <w:lang w:val="en-US"/>
        </w:rPr>
      </w:pPr>
      <w:r w:rsidRPr="00534DA6">
        <w:rPr>
          <w:rFonts w:ascii="Calibri" w:eastAsia="Calibri" w:hAnsi="Calibri" w:cs="Calibri"/>
          <w:lang w:val="en-US"/>
        </w:rPr>
        <w:t xml:space="preserve">Eloi Schmauch </w:t>
      </w:r>
      <w:r w:rsidRPr="00534DA6">
        <w:rPr>
          <w:rFonts w:ascii="Calibri" w:eastAsia="Calibri" w:hAnsi="Calibri" w:cs="Calibri"/>
          <w:vertAlign w:val="superscript"/>
          <w:lang w:val="en-US"/>
        </w:rPr>
        <w:t>1,2,3</w:t>
      </w:r>
      <w:r w:rsidRPr="00534DA6">
        <w:rPr>
          <w:rFonts w:ascii="Calibri" w:eastAsia="Calibri" w:hAnsi="Calibri" w:cs="Calibri"/>
          <w:lang w:val="en-US"/>
        </w:rPr>
        <w:t xml:space="preserve"> *, Yannik Severin </w:t>
      </w:r>
      <w:r w:rsidRPr="00534DA6">
        <w:rPr>
          <w:rFonts w:ascii="Calibri" w:eastAsia="Calibri" w:hAnsi="Calibri" w:cs="Calibri"/>
          <w:vertAlign w:val="superscript"/>
          <w:lang w:val="en-US"/>
        </w:rPr>
        <w:t>4</w:t>
      </w:r>
      <w:r w:rsidRPr="00534DA6">
        <w:rPr>
          <w:rFonts w:ascii="Calibri" w:eastAsia="Calibri" w:hAnsi="Calibri" w:cs="Calibri"/>
          <w:lang w:val="en-US"/>
        </w:rPr>
        <w:t xml:space="preserve"> *, Xianying Xing </w:t>
      </w:r>
      <w:r w:rsidRPr="00534DA6">
        <w:rPr>
          <w:rFonts w:ascii="Calibri" w:eastAsia="Calibri" w:hAnsi="Calibri" w:cs="Calibri"/>
          <w:vertAlign w:val="superscript"/>
          <w:lang w:val="en-US"/>
        </w:rPr>
        <w:t>5</w:t>
      </w:r>
      <w:r w:rsidRPr="00534DA6">
        <w:rPr>
          <w:rFonts w:ascii="Calibri" w:eastAsia="Calibri" w:hAnsi="Calibri" w:cs="Calibri"/>
          <w:highlight w:val="white"/>
          <w:lang w:val="en-US"/>
        </w:rPr>
        <w:t xml:space="preserve">, Aaron </w:t>
      </w:r>
      <w:r w:rsidRPr="00A57A79">
        <w:rPr>
          <w:rFonts w:ascii="Calibri" w:eastAsia="Calibri" w:hAnsi="Calibri" w:cs="Calibri"/>
          <w:lang w:val="en-US"/>
        </w:rPr>
        <w:t>Mangold</w:t>
      </w:r>
      <w:r w:rsidRPr="00A57A79">
        <w:rPr>
          <w:rFonts w:ascii="Calibri" w:eastAsia="Calibri" w:hAnsi="Calibri" w:cs="Calibri"/>
          <w:vertAlign w:val="superscript"/>
          <w:lang w:val="en-US"/>
        </w:rPr>
        <w:t>6</w:t>
      </w:r>
      <w:r w:rsidRPr="00A57A79">
        <w:rPr>
          <w:rFonts w:ascii="Calibri" w:eastAsia="Calibri" w:hAnsi="Calibri" w:cs="Calibri"/>
          <w:lang w:val="en-US"/>
        </w:rPr>
        <w:t>,</w:t>
      </w:r>
      <w:r w:rsidRPr="00534DA6">
        <w:rPr>
          <w:rFonts w:ascii="Calibri" w:eastAsia="Calibri" w:hAnsi="Calibri" w:cs="Calibri"/>
          <w:highlight w:val="white"/>
          <w:lang w:val="en-US"/>
        </w:rPr>
        <w:t xml:space="preserve"> </w:t>
      </w:r>
      <w:r w:rsidRPr="00534DA6">
        <w:rPr>
          <w:rFonts w:ascii="Calibri" w:eastAsia="Calibri" w:hAnsi="Calibri" w:cs="Calibri"/>
          <w:lang w:val="en-US"/>
        </w:rPr>
        <w:t xml:space="preserve">Curdin Conrad </w:t>
      </w:r>
      <w:r w:rsidRPr="00534DA6">
        <w:rPr>
          <w:rFonts w:ascii="Calibri" w:eastAsia="Calibri" w:hAnsi="Calibri" w:cs="Calibri"/>
          <w:vertAlign w:val="superscript"/>
          <w:lang w:val="en-US"/>
        </w:rPr>
        <w:t>7</w:t>
      </w:r>
      <w:r w:rsidRPr="00534DA6">
        <w:rPr>
          <w:rFonts w:ascii="Calibri" w:eastAsia="Calibri" w:hAnsi="Calibri" w:cs="Calibri"/>
          <w:lang w:val="en-US"/>
        </w:rPr>
        <w:t xml:space="preserve">, Pål Johannsen </w:t>
      </w:r>
      <w:r w:rsidRPr="00534DA6">
        <w:rPr>
          <w:rFonts w:ascii="Calibri" w:eastAsia="Calibri" w:hAnsi="Calibri" w:cs="Calibri"/>
          <w:vertAlign w:val="superscript"/>
          <w:lang w:val="en-US"/>
        </w:rPr>
        <w:t>8</w:t>
      </w:r>
      <w:r w:rsidRPr="00534DA6">
        <w:rPr>
          <w:rFonts w:ascii="Calibri" w:eastAsia="Calibri" w:hAnsi="Calibri" w:cs="Calibri"/>
          <w:lang w:val="en-US"/>
        </w:rPr>
        <w:t xml:space="preserve">, </w:t>
      </w:r>
      <w:r w:rsidRPr="00534DA6">
        <w:rPr>
          <w:rFonts w:ascii="Calibri" w:eastAsia="Calibri" w:hAnsi="Calibri" w:cs="Calibri"/>
          <w:highlight w:val="white"/>
          <w:lang w:val="en-US"/>
        </w:rPr>
        <w:t>J. Michelle Kahlenberg</w:t>
      </w:r>
      <w:r w:rsidRPr="00534DA6">
        <w:rPr>
          <w:rFonts w:ascii="Calibri" w:eastAsia="Calibri" w:hAnsi="Calibri" w:cs="Calibri"/>
          <w:lang w:val="en-US"/>
        </w:rPr>
        <w:t xml:space="preserve"> </w:t>
      </w:r>
      <w:r w:rsidRPr="00534DA6">
        <w:rPr>
          <w:rFonts w:ascii="Calibri" w:eastAsia="Calibri" w:hAnsi="Calibri" w:cs="Calibri"/>
          <w:vertAlign w:val="superscript"/>
          <w:lang w:val="en-US"/>
        </w:rPr>
        <w:t>5</w:t>
      </w:r>
      <w:r w:rsidRPr="00534DA6">
        <w:rPr>
          <w:rFonts w:ascii="Calibri" w:eastAsia="Calibri" w:hAnsi="Calibri" w:cs="Calibri"/>
          <w:highlight w:val="white"/>
          <w:lang w:val="en-US"/>
        </w:rPr>
        <w:t xml:space="preserve">, </w:t>
      </w:r>
      <w:r w:rsidRPr="00534DA6">
        <w:rPr>
          <w:rFonts w:ascii="Calibri" w:eastAsia="Calibri" w:hAnsi="Calibri" w:cs="Calibri"/>
          <w:lang w:val="en-US"/>
        </w:rPr>
        <w:t xml:space="preserve">Mark Mellett </w:t>
      </w:r>
      <w:r w:rsidRPr="00534DA6">
        <w:rPr>
          <w:rFonts w:ascii="Calibri" w:eastAsia="Calibri" w:hAnsi="Calibri" w:cs="Calibri"/>
          <w:vertAlign w:val="superscript"/>
          <w:lang w:val="en-US"/>
        </w:rPr>
        <w:t>8</w:t>
      </w:r>
      <w:r w:rsidRPr="00534DA6">
        <w:rPr>
          <w:rFonts w:ascii="Calibri" w:eastAsia="Calibri" w:hAnsi="Calibri" w:cs="Calibri"/>
          <w:lang w:val="en-US"/>
        </w:rPr>
        <w:t xml:space="preserve">, Alexander Navarini </w:t>
      </w:r>
      <w:r w:rsidRPr="00534DA6">
        <w:rPr>
          <w:rFonts w:ascii="Calibri" w:eastAsia="Calibri" w:hAnsi="Calibri" w:cs="Calibri"/>
          <w:vertAlign w:val="superscript"/>
          <w:lang w:val="en-US"/>
        </w:rPr>
        <w:t>9</w:t>
      </w:r>
      <w:r w:rsidRPr="00534DA6">
        <w:rPr>
          <w:rFonts w:ascii="Calibri" w:eastAsia="Calibri" w:hAnsi="Calibri" w:cs="Calibri"/>
          <w:lang w:val="en-US"/>
        </w:rPr>
        <w:t xml:space="preserve">, Stefan Nobbe </w:t>
      </w:r>
      <w:r w:rsidRPr="00534DA6">
        <w:rPr>
          <w:rFonts w:ascii="Calibri" w:eastAsia="Calibri" w:hAnsi="Calibri" w:cs="Calibri"/>
          <w:vertAlign w:val="superscript"/>
          <w:lang w:val="en-US"/>
        </w:rPr>
        <w:t>8,10</w:t>
      </w:r>
      <w:r w:rsidRPr="00534DA6">
        <w:rPr>
          <w:rFonts w:ascii="Calibri" w:eastAsia="Calibri" w:hAnsi="Calibri" w:cs="Calibri"/>
          <w:lang w:val="en-US"/>
        </w:rPr>
        <w:t xml:space="preserve">, Mrinal K. Sarkar </w:t>
      </w:r>
      <w:r w:rsidRPr="00534DA6">
        <w:rPr>
          <w:rFonts w:ascii="Calibri" w:eastAsia="Calibri" w:hAnsi="Calibri" w:cs="Calibri"/>
          <w:vertAlign w:val="superscript"/>
          <w:lang w:val="en-US"/>
        </w:rPr>
        <w:t>5</w:t>
      </w:r>
      <w:r w:rsidRPr="00534DA6">
        <w:rPr>
          <w:rFonts w:ascii="Calibri" w:eastAsia="Calibri" w:hAnsi="Calibri" w:cs="Calibri"/>
          <w:lang w:val="en-US"/>
        </w:rPr>
        <w:t xml:space="preserve">, Abhigyan Satyam </w:t>
      </w:r>
      <w:r w:rsidRPr="00534DA6">
        <w:rPr>
          <w:rFonts w:ascii="Calibri" w:eastAsia="Calibri" w:hAnsi="Calibri" w:cs="Calibri"/>
          <w:vertAlign w:val="superscript"/>
          <w:lang w:val="en-US"/>
        </w:rPr>
        <w:t>11</w:t>
      </w:r>
      <w:r w:rsidRPr="00534DA6">
        <w:rPr>
          <w:rFonts w:ascii="Calibri" w:eastAsia="Calibri" w:hAnsi="Calibri" w:cs="Calibri"/>
          <w:lang w:val="en-US"/>
        </w:rPr>
        <w:t xml:space="preserve">, Lam C. Tsoi </w:t>
      </w:r>
      <w:r w:rsidRPr="00534DA6">
        <w:rPr>
          <w:rFonts w:ascii="Calibri" w:eastAsia="Calibri" w:hAnsi="Calibri" w:cs="Calibri"/>
          <w:vertAlign w:val="superscript"/>
          <w:lang w:val="en-US"/>
        </w:rPr>
        <w:t>5</w:t>
      </w:r>
      <w:r w:rsidRPr="00534DA6">
        <w:rPr>
          <w:rFonts w:ascii="Calibri" w:eastAsia="Calibri" w:hAnsi="Calibri" w:cs="Calibri"/>
          <w:lang w:val="en-US"/>
        </w:rPr>
        <w:t xml:space="preserve">, Lars E. French </w:t>
      </w:r>
      <w:r w:rsidRPr="00534DA6">
        <w:rPr>
          <w:rFonts w:ascii="Calibri" w:eastAsia="Calibri" w:hAnsi="Calibri" w:cs="Calibri"/>
          <w:vertAlign w:val="superscript"/>
          <w:lang w:val="en-US"/>
        </w:rPr>
        <w:t>12,13</w:t>
      </w:r>
      <w:r w:rsidRPr="00534DA6">
        <w:rPr>
          <w:rFonts w:ascii="Calibri" w:eastAsia="Calibri" w:hAnsi="Calibri" w:cs="Calibri"/>
          <w:lang w:val="en-US"/>
        </w:rPr>
        <w:t>, Suvi Linna</w:t>
      </w:r>
      <w:r w:rsidR="000004F0">
        <w:rPr>
          <w:rFonts w:ascii="Calibri" w:eastAsia="Calibri" w:hAnsi="Calibri" w:cs="Calibri"/>
          <w:lang w:val="en-US"/>
        </w:rPr>
        <w:t>-</w:t>
      </w:r>
      <w:r w:rsidRPr="00534DA6">
        <w:rPr>
          <w:rFonts w:ascii="Calibri" w:eastAsia="Calibri" w:hAnsi="Calibri" w:cs="Calibri"/>
          <w:lang w:val="en-US"/>
        </w:rPr>
        <w:t xml:space="preserve">Kuosmanen </w:t>
      </w:r>
      <w:r w:rsidRPr="00534DA6">
        <w:rPr>
          <w:rFonts w:ascii="Calibri" w:eastAsia="Calibri" w:hAnsi="Calibri" w:cs="Calibri"/>
          <w:vertAlign w:val="superscript"/>
          <w:lang w:val="en-US"/>
        </w:rPr>
        <w:t>1,3</w:t>
      </w:r>
      <w:r w:rsidRPr="00534DA6">
        <w:rPr>
          <w:rFonts w:ascii="Calibri" w:eastAsia="Calibri" w:hAnsi="Calibri" w:cs="Calibri"/>
          <w:lang w:val="en-US"/>
        </w:rPr>
        <w:t xml:space="preserve">, Minna U Kaikkonen </w:t>
      </w:r>
      <w:r w:rsidRPr="00534DA6">
        <w:rPr>
          <w:rFonts w:ascii="Calibri" w:eastAsia="Calibri" w:hAnsi="Calibri" w:cs="Calibri"/>
          <w:vertAlign w:val="superscript"/>
          <w:lang w:val="en-US"/>
        </w:rPr>
        <w:t>3</w:t>
      </w:r>
      <w:r w:rsidRPr="00534DA6">
        <w:rPr>
          <w:rFonts w:ascii="Calibri" w:eastAsia="Calibri" w:hAnsi="Calibri" w:cs="Calibri"/>
          <w:lang w:val="en-US"/>
        </w:rPr>
        <w:t xml:space="preserve">, Berend Snijder </w:t>
      </w:r>
      <w:r w:rsidRPr="00534DA6">
        <w:rPr>
          <w:rFonts w:ascii="Calibri" w:eastAsia="Calibri" w:hAnsi="Calibri" w:cs="Calibri"/>
          <w:vertAlign w:val="superscript"/>
          <w:lang w:val="en-US"/>
        </w:rPr>
        <w:t>4</w:t>
      </w:r>
      <w:r w:rsidRPr="00534DA6">
        <w:rPr>
          <w:rFonts w:ascii="Calibri" w:eastAsia="Calibri" w:hAnsi="Calibri" w:cs="Calibri"/>
          <w:lang w:val="en-US"/>
        </w:rPr>
        <w:t xml:space="preserve">, Manolis Kellis </w:t>
      </w:r>
      <w:r w:rsidRPr="00534DA6">
        <w:rPr>
          <w:rFonts w:ascii="Calibri" w:eastAsia="Calibri" w:hAnsi="Calibri" w:cs="Calibri"/>
          <w:vertAlign w:val="superscript"/>
          <w:lang w:val="en-US"/>
        </w:rPr>
        <w:t>1,2</w:t>
      </w:r>
      <w:r w:rsidRPr="00534DA6">
        <w:rPr>
          <w:rFonts w:ascii="Calibri" w:eastAsia="Calibri" w:hAnsi="Calibri" w:cs="Calibri"/>
          <w:lang w:val="en-US"/>
        </w:rPr>
        <w:t xml:space="preserve">, Johann E. Gudjonsson </w:t>
      </w:r>
      <w:r w:rsidRPr="00534DA6">
        <w:rPr>
          <w:rFonts w:ascii="Calibri" w:eastAsia="Calibri" w:hAnsi="Calibri" w:cs="Calibri"/>
          <w:vertAlign w:val="superscript"/>
          <w:lang w:val="en-US"/>
        </w:rPr>
        <w:t>5, 14</w:t>
      </w:r>
      <w:r w:rsidRPr="00534DA6">
        <w:rPr>
          <w:rFonts w:ascii="Calibri" w:eastAsia="Calibri" w:hAnsi="Calibri" w:cs="Calibri"/>
          <w:lang w:val="en-US"/>
        </w:rPr>
        <w:t xml:space="preserve">, George C. Tsokos </w:t>
      </w:r>
      <w:r w:rsidRPr="00534DA6">
        <w:rPr>
          <w:rFonts w:ascii="Calibri" w:eastAsia="Calibri" w:hAnsi="Calibri" w:cs="Calibri"/>
          <w:vertAlign w:val="superscript"/>
          <w:lang w:val="en-US"/>
        </w:rPr>
        <w:t>11</w:t>
      </w:r>
      <w:r w:rsidRPr="00534DA6">
        <w:rPr>
          <w:rFonts w:ascii="Calibri" w:eastAsia="Calibri" w:hAnsi="Calibri" w:cs="Calibri"/>
          <w:lang w:val="en-US"/>
        </w:rPr>
        <w:t>,</w:t>
      </w:r>
      <w:r w:rsidR="00A62450">
        <w:rPr>
          <w:rFonts w:ascii="Calibri" w:eastAsia="Calibri" w:hAnsi="Calibri" w:cs="Calibri"/>
          <w:lang w:val="en-US"/>
        </w:rPr>
        <w:t xml:space="preserve"> </w:t>
      </w:r>
      <w:r w:rsidRPr="00534DA6">
        <w:rPr>
          <w:rFonts w:ascii="Calibri" w:eastAsia="Calibri" w:hAnsi="Calibri" w:cs="Calibri"/>
          <w:lang w:val="en-US"/>
        </w:rPr>
        <w:t xml:space="preserve">Emmanuel Contassot </w:t>
      </w:r>
      <w:r w:rsidRPr="00534DA6">
        <w:rPr>
          <w:rFonts w:ascii="Calibri" w:eastAsia="Calibri" w:hAnsi="Calibri" w:cs="Calibri"/>
          <w:vertAlign w:val="superscript"/>
          <w:lang w:val="en-US"/>
        </w:rPr>
        <w:t>9</w:t>
      </w:r>
      <w:r w:rsidR="00931D78">
        <w:rPr>
          <w:rFonts w:ascii="Calibri" w:eastAsia="Calibri" w:hAnsi="Calibri" w:cs="Calibri"/>
          <w:vertAlign w:val="superscript"/>
          <w:lang w:val="en-US"/>
        </w:rPr>
        <w:t xml:space="preserve"> </w:t>
      </w:r>
      <w:r w:rsidR="00931D78" w:rsidRPr="00534DA6">
        <w:rPr>
          <w:rFonts w:ascii="Calibri" w:eastAsia="Calibri" w:hAnsi="Calibri" w:cs="Calibri"/>
          <w:lang w:val="en-US"/>
        </w:rPr>
        <w:t>*</w:t>
      </w:r>
      <w:r w:rsidRPr="00534DA6">
        <w:rPr>
          <w:rFonts w:ascii="Calibri" w:eastAsia="Calibri" w:hAnsi="Calibri" w:cs="Calibri"/>
          <w:lang w:val="en-US"/>
        </w:rPr>
        <w:t xml:space="preserve">, Antonios G. A. Kolios </w:t>
      </w:r>
      <w:r w:rsidRPr="00534DA6">
        <w:rPr>
          <w:rFonts w:ascii="Calibri" w:eastAsia="Calibri" w:hAnsi="Calibri" w:cs="Calibri"/>
          <w:vertAlign w:val="superscript"/>
          <w:lang w:val="en-US"/>
        </w:rPr>
        <w:t>8,11,15</w:t>
      </w:r>
    </w:p>
    <w:p w14:paraId="7FDB6C94" w14:textId="77777777" w:rsidR="0004508F" w:rsidRPr="00534DA6" w:rsidRDefault="0004508F" w:rsidP="0004508F">
      <w:pPr>
        <w:jc w:val="both"/>
        <w:rPr>
          <w:rFonts w:ascii="Calibri" w:eastAsia="Calibri" w:hAnsi="Calibri" w:cs="Calibri"/>
          <w:lang w:val="en-US"/>
        </w:rPr>
      </w:pPr>
      <w:r w:rsidRPr="00534DA6">
        <w:rPr>
          <w:sz w:val="20"/>
          <w:szCs w:val="20"/>
          <w:lang w:val="en-US"/>
        </w:rPr>
        <w:t>* contributed equally</w:t>
      </w:r>
    </w:p>
    <w:p w14:paraId="1FE1627A" w14:textId="77777777" w:rsidR="0004508F" w:rsidRPr="00534DA6" w:rsidRDefault="0004508F" w:rsidP="0004508F">
      <w:pPr>
        <w:rPr>
          <w:rFonts w:ascii="Calibri" w:eastAsia="Calibri" w:hAnsi="Calibri" w:cs="Calibri"/>
          <w:b/>
          <w:color w:val="FF0000"/>
          <w:highlight w:val="yellow"/>
          <w:lang w:val="en-US"/>
        </w:rPr>
      </w:pPr>
    </w:p>
    <w:p w14:paraId="248BADC6" w14:textId="77777777" w:rsidR="0004508F" w:rsidRPr="00F969C4" w:rsidRDefault="0004508F" w:rsidP="0004508F">
      <w:pPr>
        <w:rPr>
          <w:sz w:val="16"/>
          <w:szCs w:val="16"/>
          <w:lang w:val="en-US"/>
        </w:rPr>
      </w:pPr>
      <w:r w:rsidRPr="00F969C4">
        <w:rPr>
          <w:sz w:val="16"/>
          <w:szCs w:val="16"/>
          <w:vertAlign w:val="superscript"/>
          <w:lang w:val="en-US"/>
        </w:rPr>
        <w:t>1</w:t>
      </w:r>
      <w:r w:rsidRPr="00F969C4">
        <w:rPr>
          <w:sz w:val="16"/>
          <w:szCs w:val="16"/>
          <w:lang w:val="en-US"/>
        </w:rPr>
        <w:t xml:space="preserve"> Broad Institute of MIT and Harvard, Cambridge, United States of America</w:t>
      </w:r>
    </w:p>
    <w:p w14:paraId="1D965B66" w14:textId="77777777" w:rsidR="0004508F" w:rsidRPr="00F969C4" w:rsidRDefault="0004508F" w:rsidP="0004508F">
      <w:pPr>
        <w:rPr>
          <w:sz w:val="16"/>
          <w:szCs w:val="16"/>
          <w:lang w:val="en-US"/>
        </w:rPr>
      </w:pPr>
      <w:r w:rsidRPr="00F969C4">
        <w:rPr>
          <w:sz w:val="16"/>
          <w:szCs w:val="16"/>
          <w:vertAlign w:val="superscript"/>
          <w:lang w:val="en-US"/>
        </w:rPr>
        <w:t>2</w:t>
      </w:r>
      <w:r w:rsidRPr="00F969C4">
        <w:rPr>
          <w:sz w:val="16"/>
          <w:szCs w:val="16"/>
          <w:lang w:val="en-US"/>
        </w:rPr>
        <w:t xml:space="preserve"> Computer Science and Artificial Intelligence Laboratory, Massachusetts Institute of Technology, Cambridge, United States of America</w:t>
      </w:r>
    </w:p>
    <w:p w14:paraId="2C3D230F" w14:textId="77777777" w:rsidR="0004508F" w:rsidRPr="00F969C4" w:rsidRDefault="0004508F" w:rsidP="0004508F">
      <w:pPr>
        <w:rPr>
          <w:sz w:val="16"/>
          <w:szCs w:val="16"/>
          <w:lang w:val="en-US"/>
        </w:rPr>
      </w:pPr>
      <w:r w:rsidRPr="00F969C4">
        <w:rPr>
          <w:sz w:val="16"/>
          <w:szCs w:val="16"/>
          <w:vertAlign w:val="superscript"/>
          <w:lang w:val="en-US"/>
        </w:rPr>
        <w:t>3</w:t>
      </w:r>
      <w:r w:rsidRPr="00F969C4">
        <w:rPr>
          <w:sz w:val="16"/>
          <w:szCs w:val="16"/>
          <w:lang w:val="en-US"/>
        </w:rPr>
        <w:t xml:space="preserve"> A.I. Virtanen Institute for Molecular Sciences, University of Eastern Finland, Kuopio, Finland</w:t>
      </w:r>
    </w:p>
    <w:p w14:paraId="4076C978" w14:textId="77777777" w:rsidR="0004508F" w:rsidRPr="00F969C4" w:rsidRDefault="0004508F" w:rsidP="0004508F">
      <w:pPr>
        <w:jc w:val="both"/>
        <w:rPr>
          <w:sz w:val="16"/>
          <w:szCs w:val="16"/>
          <w:lang w:val="en-US"/>
        </w:rPr>
      </w:pPr>
      <w:r w:rsidRPr="00F969C4">
        <w:rPr>
          <w:sz w:val="16"/>
          <w:szCs w:val="16"/>
          <w:vertAlign w:val="superscript"/>
          <w:lang w:val="en-US"/>
        </w:rPr>
        <w:t>4</w:t>
      </w:r>
      <w:r w:rsidRPr="00F969C4">
        <w:rPr>
          <w:sz w:val="16"/>
          <w:szCs w:val="16"/>
          <w:lang w:val="en-US"/>
        </w:rPr>
        <w:t xml:space="preserve"> Institute of Molecular Systems Biology, Department of Biology, ETH Zurich, 8049 Zurich, Switzerland</w:t>
      </w:r>
    </w:p>
    <w:p w14:paraId="281BE453" w14:textId="77777777" w:rsidR="0004508F" w:rsidRPr="00F969C4" w:rsidRDefault="0004508F" w:rsidP="0004508F">
      <w:pPr>
        <w:rPr>
          <w:color w:val="212121"/>
          <w:sz w:val="16"/>
          <w:szCs w:val="16"/>
          <w:highlight w:val="white"/>
          <w:lang w:val="en-US"/>
        </w:rPr>
      </w:pPr>
      <w:r w:rsidRPr="00F969C4">
        <w:rPr>
          <w:color w:val="212121"/>
          <w:sz w:val="16"/>
          <w:szCs w:val="16"/>
          <w:highlight w:val="white"/>
          <w:vertAlign w:val="superscript"/>
          <w:lang w:val="en-US"/>
        </w:rPr>
        <w:t>5</w:t>
      </w:r>
      <w:r w:rsidRPr="00F969C4">
        <w:rPr>
          <w:color w:val="212121"/>
          <w:sz w:val="16"/>
          <w:szCs w:val="16"/>
          <w:highlight w:val="white"/>
          <w:lang w:val="en-US"/>
        </w:rPr>
        <w:t xml:space="preserve"> Departments of Internal Medicine and Dermatology, University of Michigan, Ann Arbor, Michigan USA 48109</w:t>
      </w:r>
    </w:p>
    <w:p w14:paraId="511314ED" w14:textId="77777777" w:rsidR="0004508F" w:rsidRPr="00F969C4" w:rsidRDefault="0004508F" w:rsidP="0004508F">
      <w:pPr>
        <w:jc w:val="both"/>
        <w:rPr>
          <w:rFonts w:ascii="Calibri" w:eastAsia="Calibri" w:hAnsi="Calibri" w:cs="Calibri"/>
          <w:color w:val="212121"/>
          <w:sz w:val="16"/>
          <w:szCs w:val="16"/>
          <w:highlight w:val="white"/>
          <w:lang w:val="en-US"/>
        </w:rPr>
      </w:pPr>
      <w:r w:rsidRPr="00F969C4">
        <w:rPr>
          <w:sz w:val="16"/>
          <w:szCs w:val="16"/>
          <w:vertAlign w:val="superscript"/>
          <w:lang w:val="en-US"/>
        </w:rPr>
        <w:t>6</w:t>
      </w:r>
      <w:r w:rsidRPr="00F969C4">
        <w:rPr>
          <w:rFonts w:ascii="Calibri" w:eastAsia="Calibri" w:hAnsi="Calibri" w:cs="Calibri"/>
          <w:sz w:val="16"/>
          <w:szCs w:val="16"/>
          <w:lang w:val="en-US"/>
        </w:rPr>
        <w:t xml:space="preserve"> </w:t>
      </w:r>
      <w:r w:rsidRPr="00F969C4">
        <w:rPr>
          <w:rFonts w:ascii="Calibri" w:eastAsia="Calibri" w:hAnsi="Calibri" w:cs="Calibri"/>
          <w:color w:val="212121"/>
          <w:sz w:val="16"/>
          <w:szCs w:val="16"/>
          <w:highlight w:val="white"/>
          <w:lang w:val="en-US"/>
        </w:rPr>
        <w:t>Department of Dermatology, Mayo Clinic Arizona, Scottsdale, AZ, USA</w:t>
      </w:r>
    </w:p>
    <w:p w14:paraId="64169A98" w14:textId="77777777" w:rsidR="0004508F" w:rsidRPr="00F969C4" w:rsidRDefault="0004508F" w:rsidP="0004508F">
      <w:pPr>
        <w:jc w:val="both"/>
        <w:rPr>
          <w:sz w:val="16"/>
          <w:szCs w:val="16"/>
          <w:lang w:val="en-US"/>
        </w:rPr>
      </w:pPr>
      <w:r w:rsidRPr="00F969C4">
        <w:rPr>
          <w:sz w:val="16"/>
          <w:szCs w:val="16"/>
          <w:vertAlign w:val="superscript"/>
          <w:lang w:val="en-US"/>
        </w:rPr>
        <w:t>7</w:t>
      </w:r>
      <w:r w:rsidRPr="00F969C4">
        <w:rPr>
          <w:sz w:val="16"/>
          <w:szCs w:val="16"/>
          <w:lang w:val="en-US"/>
        </w:rPr>
        <w:t xml:space="preserve"> Department of Dermatology, </w:t>
      </w:r>
      <w:r w:rsidRPr="00F969C4">
        <w:rPr>
          <w:color w:val="212121"/>
          <w:sz w:val="16"/>
          <w:szCs w:val="16"/>
          <w:highlight w:val="white"/>
          <w:lang w:val="en-US"/>
        </w:rPr>
        <w:t>CHUV University Hospital and University of Lausanne (UNIL)</w:t>
      </w:r>
      <w:r w:rsidRPr="00F969C4">
        <w:rPr>
          <w:sz w:val="16"/>
          <w:szCs w:val="16"/>
          <w:lang w:val="en-US"/>
        </w:rPr>
        <w:t>, Lausanne, Switzerland</w:t>
      </w:r>
    </w:p>
    <w:p w14:paraId="52359288" w14:textId="77777777" w:rsidR="0004508F" w:rsidRPr="00F969C4" w:rsidRDefault="0004508F" w:rsidP="0004508F">
      <w:pPr>
        <w:jc w:val="both"/>
        <w:rPr>
          <w:sz w:val="16"/>
          <w:szCs w:val="16"/>
          <w:lang w:val="en-US"/>
        </w:rPr>
      </w:pPr>
      <w:r w:rsidRPr="00F969C4">
        <w:rPr>
          <w:sz w:val="16"/>
          <w:szCs w:val="16"/>
          <w:vertAlign w:val="superscript"/>
          <w:lang w:val="en-US"/>
        </w:rPr>
        <w:t>8</w:t>
      </w:r>
      <w:r w:rsidRPr="00F969C4">
        <w:rPr>
          <w:sz w:val="16"/>
          <w:szCs w:val="16"/>
          <w:lang w:val="en-US"/>
        </w:rPr>
        <w:t xml:space="preserve"> Department of Dermatology, University of Zurich and University Hospital Zurich, Zurich, Switzerland.</w:t>
      </w:r>
    </w:p>
    <w:p w14:paraId="6C435906" w14:textId="77777777" w:rsidR="0004508F" w:rsidRPr="00F969C4" w:rsidRDefault="0004508F" w:rsidP="0004508F">
      <w:pPr>
        <w:jc w:val="both"/>
        <w:rPr>
          <w:sz w:val="16"/>
          <w:szCs w:val="16"/>
          <w:lang w:val="en-US"/>
        </w:rPr>
      </w:pPr>
      <w:r w:rsidRPr="00F969C4">
        <w:rPr>
          <w:sz w:val="16"/>
          <w:szCs w:val="16"/>
          <w:vertAlign w:val="superscript"/>
          <w:lang w:val="en-US"/>
        </w:rPr>
        <w:t>9</w:t>
      </w:r>
      <w:r w:rsidRPr="00F969C4">
        <w:rPr>
          <w:sz w:val="16"/>
          <w:szCs w:val="16"/>
          <w:lang w:val="en-US"/>
        </w:rPr>
        <w:t xml:space="preserve"> Department of Biomedicine and Dermatology Department, University Hospital of Basel, 4031 Basel, Switzerland </w:t>
      </w:r>
    </w:p>
    <w:p w14:paraId="6EBB316A" w14:textId="77777777" w:rsidR="0004508F" w:rsidRPr="00F969C4" w:rsidRDefault="0004508F" w:rsidP="0004508F">
      <w:pPr>
        <w:jc w:val="both"/>
        <w:rPr>
          <w:sz w:val="16"/>
          <w:szCs w:val="16"/>
          <w:lang w:val="en-US"/>
        </w:rPr>
      </w:pPr>
      <w:r w:rsidRPr="00F969C4">
        <w:rPr>
          <w:sz w:val="16"/>
          <w:szCs w:val="16"/>
          <w:vertAlign w:val="superscript"/>
          <w:lang w:val="en-US"/>
        </w:rPr>
        <w:t>10</w:t>
      </w:r>
      <w:r w:rsidRPr="00F969C4">
        <w:rPr>
          <w:sz w:val="16"/>
          <w:szCs w:val="16"/>
          <w:lang w:val="en-US"/>
        </w:rPr>
        <w:t xml:space="preserve"> Department of Dermatology, Cantonal Hospital Frauenfeld, Frauenfeld, Switzerland</w:t>
      </w:r>
    </w:p>
    <w:p w14:paraId="1E63A1A0" w14:textId="77777777" w:rsidR="0004508F" w:rsidRPr="00F969C4" w:rsidRDefault="0004508F" w:rsidP="0004508F">
      <w:pPr>
        <w:jc w:val="both"/>
        <w:rPr>
          <w:sz w:val="16"/>
          <w:szCs w:val="16"/>
          <w:lang w:val="en-US"/>
        </w:rPr>
      </w:pPr>
      <w:r w:rsidRPr="00F969C4">
        <w:rPr>
          <w:sz w:val="16"/>
          <w:szCs w:val="16"/>
          <w:vertAlign w:val="superscript"/>
          <w:lang w:val="en-US"/>
        </w:rPr>
        <w:t>11</w:t>
      </w:r>
      <w:r w:rsidRPr="00F969C4">
        <w:rPr>
          <w:sz w:val="16"/>
          <w:szCs w:val="16"/>
          <w:lang w:val="en-US"/>
        </w:rPr>
        <w:t xml:space="preserve"> Department of Medicine, Beth Israel Deaconess Medical Center, Harvard Medical School, Boston, MA, USA</w:t>
      </w:r>
    </w:p>
    <w:p w14:paraId="6F3C432D" w14:textId="77777777" w:rsidR="0004508F" w:rsidRPr="00F969C4" w:rsidRDefault="0004508F" w:rsidP="0004508F">
      <w:pPr>
        <w:jc w:val="both"/>
        <w:rPr>
          <w:sz w:val="16"/>
          <w:szCs w:val="16"/>
          <w:lang w:val="en-US"/>
        </w:rPr>
      </w:pPr>
      <w:r w:rsidRPr="00F969C4">
        <w:rPr>
          <w:sz w:val="16"/>
          <w:szCs w:val="16"/>
          <w:vertAlign w:val="superscript"/>
          <w:lang w:val="en-US"/>
        </w:rPr>
        <w:t>12</w:t>
      </w:r>
      <w:r w:rsidRPr="00F969C4">
        <w:rPr>
          <w:sz w:val="16"/>
          <w:szCs w:val="16"/>
          <w:lang w:val="en-US"/>
        </w:rPr>
        <w:t xml:space="preserve"> Department of Dermatology and Allergology, Ludwig Maximilian University of Munich, Munich, Germany</w:t>
      </w:r>
    </w:p>
    <w:p w14:paraId="75E9FD32" w14:textId="77777777" w:rsidR="0004508F" w:rsidRPr="00F969C4" w:rsidRDefault="0004508F" w:rsidP="0004508F">
      <w:pPr>
        <w:jc w:val="both"/>
        <w:rPr>
          <w:sz w:val="16"/>
          <w:szCs w:val="16"/>
          <w:lang w:val="en-US"/>
        </w:rPr>
      </w:pPr>
      <w:r w:rsidRPr="00F969C4">
        <w:rPr>
          <w:sz w:val="16"/>
          <w:szCs w:val="16"/>
          <w:vertAlign w:val="superscript"/>
          <w:lang w:val="en-US"/>
        </w:rPr>
        <w:t xml:space="preserve">13 </w:t>
      </w:r>
      <w:r w:rsidRPr="00F969C4">
        <w:rPr>
          <w:sz w:val="16"/>
          <w:szCs w:val="16"/>
          <w:lang w:val="en-US"/>
        </w:rPr>
        <w:t>Dr. Philip Frost, Department of Dermatology and Cutaneous Surgery, University of Miami Miller School of Medicine, Miami, FL</w:t>
      </w:r>
    </w:p>
    <w:p w14:paraId="2CA35E14" w14:textId="77777777" w:rsidR="0004508F" w:rsidRPr="00F969C4" w:rsidRDefault="0004508F" w:rsidP="0004508F">
      <w:pPr>
        <w:jc w:val="both"/>
        <w:rPr>
          <w:sz w:val="16"/>
          <w:szCs w:val="16"/>
          <w:lang w:val="en-US"/>
        </w:rPr>
      </w:pPr>
      <w:r w:rsidRPr="00F969C4">
        <w:rPr>
          <w:sz w:val="16"/>
          <w:szCs w:val="16"/>
          <w:vertAlign w:val="superscript"/>
          <w:lang w:val="en-US"/>
        </w:rPr>
        <w:t xml:space="preserve">14 </w:t>
      </w:r>
      <w:r w:rsidRPr="00F969C4">
        <w:rPr>
          <w:sz w:val="16"/>
          <w:szCs w:val="16"/>
          <w:lang w:val="en-US"/>
        </w:rPr>
        <w:t>Taubman Medical Research Institute, University of Michigan, Ann Arbor, Michigan, USA, 48109</w:t>
      </w:r>
    </w:p>
    <w:p w14:paraId="125CE2EF" w14:textId="77777777" w:rsidR="0004508F" w:rsidRPr="00F969C4" w:rsidRDefault="0004508F" w:rsidP="0004508F">
      <w:pPr>
        <w:jc w:val="both"/>
        <w:rPr>
          <w:sz w:val="16"/>
          <w:szCs w:val="16"/>
          <w:lang w:val="en-US"/>
        </w:rPr>
      </w:pPr>
      <w:r w:rsidRPr="00F969C4">
        <w:rPr>
          <w:sz w:val="16"/>
          <w:szCs w:val="16"/>
          <w:vertAlign w:val="superscript"/>
          <w:lang w:val="en-US"/>
        </w:rPr>
        <w:t xml:space="preserve">15 </w:t>
      </w:r>
      <w:r w:rsidRPr="00F969C4">
        <w:rPr>
          <w:sz w:val="16"/>
          <w:szCs w:val="16"/>
          <w:lang w:val="en-US"/>
        </w:rPr>
        <w:t>University of Zurich, Zurich, Switzerland</w:t>
      </w:r>
    </w:p>
    <w:p w14:paraId="107AB11C" w14:textId="77777777" w:rsidR="0004508F" w:rsidRDefault="0004508F" w:rsidP="0004508F">
      <w:pPr>
        <w:rPr>
          <w:rFonts w:ascii="Calibri" w:eastAsia="Calibri" w:hAnsi="Calibri" w:cs="Calibri"/>
          <w:lang w:val="en-US"/>
        </w:rPr>
      </w:pPr>
    </w:p>
    <w:p w14:paraId="4319A923" w14:textId="4B24A343" w:rsidR="003B5ED1" w:rsidRPr="00534DA6" w:rsidRDefault="003B5ED1" w:rsidP="0004508F">
      <w:pPr>
        <w:rPr>
          <w:rFonts w:ascii="Calibri" w:eastAsia="Calibri" w:hAnsi="Calibri" w:cs="Calibri"/>
          <w:lang w:val="en-US"/>
        </w:rPr>
      </w:pPr>
      <w:r>
        <w:rPr>
          <w:rFonts w:ascii="Calibri" w:eastAsia="Calibri" w:hAnsi="Calibri" w:cs="Calibri"/>
          <w:lang w:val="en-US"/>
        </w:rPr>
        <w:t>The authors declare no conflict of interest</w:t>
      </w:r>
      <w:r w:rsidR="005A1AA8">
        <w:rPr>
          <w:rFonts w:ascii="Calibri" w:eastAsia="Calibri" w:hAnsi="Calibri" w:cs="Calibri"/>
          <w:lang w:val="en-US"/>
        </w:rPr>
        <w:t xml:space="preserve"> related to this work</w:t>
      </w:r>
      <w:r>
        <w:rPr>
          <w:rFonts w:ascii="Calibri" w:eastAsia="Calibri" w:hAnsi="Calibri" w:cs="Calibri"/>
          <w:lang w:val="en-US"/>
        </w:rPr>
        <w:t>.</w:t>
      </w:r>
    </w:p>
    <w:p w14:paraId="5BEA1B26" w14:textId="77777777" w:rsidR="0004508F" w:rsidRDefault="0004508F">
      <w:pPr>
        <w:rPr>
          <w:sz w:val="40"/>
          <w:szCs w:val="40"/>
          <w:lang w:val="en-US"/>
        </w:rPr>
      </w:pPr>
      <w:r>
        <w:rPr>
          <w:lang w:val="en-US"/>
        </w:rPr>
        <w:br w:type="page"/>
      </w:r>
    </w:p>
    <w:p w14:paraId="000000A3" w14:textId="031BC2C1" w:rsidR="0046705A" w:rsidRPr="000004F0" w:rsidRDefault="00E67B44" w:rsidP="000E4817">
      <w:pPr>
        <w:pStyle w:val="Heading1"/>
        <w:rPr>
          <w:caps/>
          <w:sz w:val="32"/>
          <w:lang w:val="en-US"/>
        </w:rPr>
      </w:pPr>
      <w:bookmarkStart w:id="1" w:name="_83dbw34phiw8" w:colFirst="0" w:colLast="0"/>
      <w:bookmarkStart w:id="2" w:name="_Toc144374713"/>
      <w:bookmarkEnd w:id="1"/>
      <w:r w:rsidRPr="000004F0">
        <w:rPr>
          <w:caps/>
          <w:sz w:val="32"/>
          <w:lang w:val="en-US"/>
        </w:rPr>
        <w:lastRenderedPageBreak/>
        <w:t xml:space="preserve">Supplementary </w:t>
      </w:r>
      <w:r w:rsidR="000C581B" w:rsidRPr="000004F0">
        <w:rPr>
          <w:caps/>
          <w:sz w:val="32"/>
          <w:lang w:val="en-US"/>
        </w:rPr>
        <w:t>Results</w:t>
      </w:r>
      <w:bookmarkEnd w:id="2"/>
    </w:p>
    <w:p w14:paraId="000000A4" w14:textId="70628BF8" w:rsidR="0046705A" w:rsidRPr="00534DA6" w:rsidRDefault="00E67B44" w:rsidP="000E4817">
      <w:pPr>
        <w:pStyle w:val="Heading2"/>
        <w:rPr>
          <w:lang w:val="en-US"/>
        </w:rPr>
      </w:pPr>
      <w:bookmarkStart w:id="3" w:name="_6lqv32jl09hh" w:colFirst="0" w:colLast="0"/>
      <w:bookmarkStart w:id="4" w:name="_Toc144374714"/>
      <w:bookmarkEnd w:id="3"/>
      <w:r w:rsidRPr="00534DA6">
        <w:rPr>
          <w:lang w:val="en-US"/>
        </w:rPr>
        <w:t xml:space="preserve">Further </w:t>
      </w:r>
      <w:r w:rsidR="009503D4">
        <w:rPr>
          <w:lang w:val="en-US"/>
        </w:rPr>
        <w:t>clinical observations during anakinra treatment</w:t>
      </w:r>
      <w:bookmarkEnd w:id="4"/>
      <w:r w:rsidRPr="00534DA6">
        <w:rPr>
          <w:lang w:val="en-US"/>
        </w:rPr>
        <w:t xml:space="preserve"> </w:t>
      </w:r>
    </w:p>
    <w:p w14:paraId="000000A5" w14:textId="77777777" w:rsidR="0046705A" w:rsidRPr="00534DA6" w:rsidRDefault="00E67B44">
      <w:pPr>
        <w:spacing w:after="120"/>
        <w:ind w:firstLine="140"/>
        <w:jc w:val="both"/>
        <w:rPr>
          <w:rFonts w:ascii="Calibri" w:eastAsia="Calibri" w:hAnsi="Calibri" w:cs="Calibri"/>
          <w:sz w:val="24"/>
          <w:szCs w:val="24"/>
          <w:lang w:val="en-US"/>
        </w:rPr>
      </w:pPr>
      <w:r w:rsidRPr="00534DA6">
        <w:rPr>
          <w:rFonts w:ascii="Calibri" w:eastAsia="Calibri" w:hAnsi="Calibri" w:cs="Calibri"/>
          <w:sz w:val="24"/>
          <w:szCs w:val="24"/>
          <w:lang w:val="en-US"/>
        </w:rPr>
        <w:t xml:space="preserve">Disease duration of patient 1-3 was 36, 9 and 7 months, respectively. </w:t>
      </w:r>
    </w:p>
    <w:p w14:paraId="000000A6" w14:textId="77777777" w:rsidR="0046705A" w:rsidRPr="00534DA6" w:rsidRDefault="00E67B44">
      <w:pPr>
        <w:spacing w:after="120"/>
        <w:ind w:firstLine="140"/>
        <w:jc w:val="both"/>
        <w:rPr>
          <w:rFonts w:ascii="Calibri" w:eastAsia="Calibri" w:hAnsi="Calibri" w:cs="Calibri"/>
          <w:sz w:val="24"/>
          <w:szCs w:val="24"/>
          <w:lang w:val="en-US"/>
        </w:rPr>
      </w:pPr>
      <w:r w:rsidRPr="00534DA6">
        <w:rPr>
          <w:rFonts w:ascii="Calibri" w:eastAsia="Calibri" w:hAnsi="Calibri" w:cs="Calibri"/>
          <w:sz w:val="24"/>
          <w:szCs w:val="24"/>
          <w:lang w:val="en-US"/>
        </w:rPr>
        <w:t xml:space="preserve">Itch on a numeric rating scale (NRS) from baseline to week 8 reduced from 10/10 to 1/10 in patient 1 (90%) and from 5/10 to 0/10 (100%) in patient 2. Patient 3 did not have symptoms like itch (stable NRS 2/10 during treatment). </w:t>
      </w:r>
    </w:p>
    <w:p w14:paraId="000000A7" w14:textId="77777777" w:rsidR="0046705A" w:rsidRPr="00534DA6" w:rsidRDefault="00E67B44">
      <w:pPr>
        <w:spacing w:after="120"/>
        <w:ind w:firstLine="140"/>
        <w:jc w:val="both"/>
        <w:rPr>
          <w:rFonts w:ascii="Calibri" w:eastAsia="Calibri" w:hAnsi="Calibri" w:cs="Calibri"/>
          <w:sz w:val="24"/>
          <w:szCs w:val="24"/>
          <w:lang w:val="en-US"/>
        </w:rPr>
      </w:pPr>
      <w:r w:rsidRPr="00534DA6">
        <w:rPr>
          <w:rFonts w:ascii="Calibri" w:eastAsia="Calibri" w:hAnsi="Calibri" w:cs="Calibri"/>
          <w:sz w:val="24"/>
          <w:szCs w:val="24"/>
          <w:lang w:val="en-US"/>
        </w:rPr>
        <w:t xml:space="preserve">DLQI from baseline to week 12 reduced from 26 to 2 (92%) in patient 2, 27 to 24 (11%) in patient 1 and remained stable at 17 in patient 3. </w:t>
      </w:r>
    </w:p>
    <w:p w14:paraId="000000A8" w14:textId="77777777" w:rsidR="0046705A" w:rsidRPr="00534DA6" w:rsidRDefault="00E67B44">
      <w:pPr>
        <w:spacing w:after="120"/>
        <w:ind w:firstLine="140"/>
        <w:jc w:val="both"/>
        <w:rPr>
          <w:rFonts w:ascii="Calibri" w:eastAsia="Calibri" w:hAnsi="Calibri" w:cs="Calibri"/>
          <w:sz w:val="24"/>
          <w:szCs w:val="24"/>
          <w:lang w:val="en-US"/>
        </w:rPr>
      </w:pPr>
      <w:r w:rsidRPr="00534DA6">
        <w:rPr>
          <w:rFonts w:ascii="Calibri" w:eastAsia="Calibri" w:hAnsi="Calibri" w:cs="Calibri"/>
          <w:sz w:val="24"/>
          <w:szCs w:val="24"/>
          <w:lang w:val="en-US"/>
        </w:rPr>
        <w:t xml:space="preserve">Nail involvement was seen in patient 2 (pitting and distal onycholysis, all fingernails) which from week 6 on significantly improved until complete remission. </w:t>
      </w:r>
    </w:p>
    <w:p w14:paraId="000000A9" w14:textId="0EA9F11E" w:rsidR="0046705A" w:rsidRPr="00534DA6" w:rsidRDefault="00E67B44">
      <w:pPr>
        <w:spacing w:after="120"/>
        <w:ind w:firstLine="140"/>
        <w:jc w:val="both"/>
        <w:rPr>
          <w:rFonts w:ascii="Calibri" w:eastAsia="Calibri" w:hAnsi="Calibri" w:cs="Calibri"/>
          <w:sz w:val="24"/>
          <w:szCs w:val="24"/>
          <w:lang w:val="en-US"/>
        </w:rPr>
      </w:pPr>
      <w:r w:rsidRPr="00534DA6">
        <w:rPr>
          <w:rFonts w:ascii="Calibri" w:eastAsia="Calibri" w:hAnsi="Calibri" w:cs="Calibri"/>
          <w:sz w:val="24"/>
          <w:szCs w:val="24"/>
          <w:lang w:val="en-US"/>
        </w:rPr>
        <w:t xml:space="preserve">Patient 1 reported arthralgias in elbow, </w:t>
      </w:r>
      <w:r w:rsidR="00A77CAB" w:rsidRPr="00534DA6">
        <w:rPr>
          <w:rFonts w:ascii="Calibri" w:eastAsia="Calibri" w:hAnsi="Calibri" w:cs="Calibri"/>
          <w:sz w:val="24"/>
          <w:szCs w:val="24"/>
          <w:lang w:val="en-US"/>
        </w:rPr>
        <w:t>shoulder,</w:t>
      </w:r>
      <w:r w:rsidRPr="00534DA6">
        <w:rPr>
          <w:rFonts w:ascii="Calibri" w:eastAsia="Calibri" w:hAnsi="Calibri" w:cs="Calibri"/>
          <w:sz w:val="24"/>
          <w:szCs w:val="24"/>
          <w:lang w:val="en-US"/>
        </w:rPr>
        <w:t xml:space="preserve"> and hips, initially NRS 7/10, which almost vanished during anti-IL-1 treatments. </w:t>
      </w:r>
    </w:p>
    <w:p w14:paraId="000000AA" w14:textId="77777777" w:rsidR="0046705A" w:rsidRPr="00534DA6" w:rsidRDefault="00E67B44">
      <w:pPr>
        <w:spacing w:after="120"/>
        <w:ind w:firstLine="140"/>
        <w:jc w:val="both"/>
        <w:rPr>
          <w:rFonts w:ascii="Calibri" w:eastAsia="Calibri" w:hAnsi="Calibri" w:cs="Calibri"/>
          <w:sz w:val="24"/>
          <w:szCs w:val="24"/>
          <w:lang w:val="en-US"/>
        </w:rPr>
      </w:pPr>
      <w:r w:rsidRPr="00534DA6">
        <w:rPr>
          <w:rFonts w:ascii="Calibri" w:eastAsia="Calibri" w:hAnsi="Calibri" w:cs="Calibri"/>
          <w:sz w:val="24"/>
          <w:szCs w:val="24"/>
          <w:lang w:val="en-US"/>
        </w:rPr>
        <w:t>All patients reported photosensitivity and PRP worsened upon UVB phototherapy in patient 1-2.</w:t>
      </w:r>
    </w:p>
    <w:p w14:paraId="000000AB" w14:textId="77777777" w:rsidR="0046705A" w:rsidRPr="00534DA6" w:rsidRDefault="00E67B44" w:rsidP="000E4817">
      <w:pPr>
        <w:pStyle w:val="Heading2"/>
        <w:rPr>
          <w:lang w:val="en-US"/>
        </w:rPr>
      </w:pPr>
      <w:bookmarkStart w:id="5" w:name="_vt7ha0xe1oq6" w:colFirst="0" w:colLast="0"/>
      <w:bookmarkStart w:id="6" w:name="_Toc144374715"/>
      <w:bookmarkEnd w:id="5"/>
      <w:r w:rsidRPr="00534DA6">
        <w:rPr>
          <w:lang w:val="en-US"/>
        </w:rPr>
        <w:t>Adverse events</w:t>
      </w:r>
      <w:bookmarkEnd w:id="6"/>
    </w:p>
    <w:p w14:paraId="000000AD" w14:textId="0D43401B" w:rsidR="0046705A" w:rsidRPr="00534DA6" w:rsidRDefault="00E67B44" w:rsidP="000E4817">
      <w:pPr>
        <w:spacing w:after="120"/>
        <w:ind w:firstLine="140"/>
        <w:jc w:val="both"/>
        <w:rPr>
          <w:lang w:val="en-US"/>
        </w:rPr>
      </w:pPr>
      <w:r w:rsidRPr="00534DA6">
        <w:rPr>
          <w:rFonts w:ascii="Calibri" w:eastAsia="Calibri" w:hAnsi="Calibri" w:cs="Calibri"/>
          <w:sz w:val="24"/>
          <w:szCs w:val="24"/>
          <w:lang w:val="en-US"/>
        </w:rPr>
        <w:t xml:space="preserve">While patient 2 did not report any adverse events, patient 1 reported a mild tiredness in the first 3 days of treatment and a slightly painful injection site reaction (swelling) between week 2 – 6 which resolved almost completely afterwards. Patient 3 showed neglectable injection site reactions and a </w:t>
      </w:r>
      <w:r w:rsidR="009503D4">
        <w:rPr>
          <w:rFonts w:ascii="Calibri" w:eastAsia="Calibri" w:hAnsi="Calibri" w:cs="Calibri"/>
          <w:sz w:val="24"/>
          <w:szCs w:val="24"/>
          <w:lang w:val="en-US"/>
        </w:rPr>
        <w:t xml:space="preserve">transient </w:t>
      </w:r>
      <w:r w:rsidRPr="00534DA6">
        <w:rPr>
          <w:rFonts w:ascii="Calibri" w:eastAsia="Calibri" w:hAnsi="Calibri" w:cs="Calibri"/>
          <w:sz w:val="24"/>
          <w:szCs w:val="24"/>
          <w:lang w:val="en-US"/>
        </w:rPr>
        <w:t xml:space="preserve">PRP- or treatment-related eosinophilia. Concomitant acitretin in patient 2 was tapered with the beginning of anakinra and stopped after 8 weeks. </w:t>
      </w:r>
    </w:p>
    <w:p w14:paraId="000000AE" w14:textId="5CA16B3D" w:rsidR="0046705A" w:rsidRPr="00534DA6" w:rsidRDefault="00E67B44" w:rsidP="000E4817">
      <w:pPr>
        <w:pStyle w:val="Heading2"/>
        <w:rPr>
          <w:lang w:val="en-US"/>
        </w:rPr>
      </w:pPr>
      <w:bookmarkStart w:id="7" w:name="_wuvgot7412ar" w:colFirst="0" w:colLast="0"/>
      <w:bookmarkStart w:id="8" w:name="_Toc144374716"/>
      <w:bookmarkEnd w:id="7"/>
      <w:r w:rsidRPr="00534DA6">
        <w:rPr>
          <w:lang w:val="en-US"/>
        </w:rPr>
        <w:t>CARD14 and NOD2 are upregulated in PRP and signal through NF-</w:t>
      </w:r>
      <w:r w:rsidR="00DB5903" w:rsidRPr="00534DA6">
        <w:rPr>
          <w:rFonts w:ascii="Calibri" w:eastAsia="Calibri" w:hAnsi="Calibri" w:cs="Calibri"/>
          <w:lang w:val="en-US"/>
        </w:rPr>
        <w:t>κ</w:t>
      </w:r>
      <w:r w:rsidR="00DB5903" w:rsidRPr="00534DA6">
        <w:rPr>
          <w:lang w:val="en-US"/>
        </w:rPr>
        <w:t>B.</w:t>
      </w:r>
      <w:bookmarkEnd w:id="8"/>
    </w:p>
    <w:p w14:paraId="000000AF" w14:textId="1E7B7C4E" w:rsidR="0046705A" w:rsidRPr="00534DA6" w:rsidRDefault="00E67B44">
      <w:pPr>
        <w:spacing w:after="120"/>
        <w:ind w:firstLine="141"/>
        <w:jc w:val="both"/>
        <w:rPr>
          <w:rFonts w:ascii="Calibri" w:eastAsia="Calibri" w:hAnsi="Calibri" w:cs="Calibri"/>
          <w:sz w:val="24"/>
          <w:szCs w:val="24"/>
          <w:lang w:val="en-US"/>
        </w:rPr>
      </w:pPr>
      <w:r w:rsidRPr="00534DA6">
        <w:rPr>
          <w:rFonts w:ascii="Calibri" w:eastAsia="Calibri" w:hAnsi="Calibri" w:cs="Calibri"/>
          <w:sz w:val="24"/>
          <w:szCs w:val="24"/>
          <w:lang w:val="en-US"/>
        </w:rPr>
        <w:t>NOD2 and CARD14 are the CARD proteins (caspase recruitment domain) with the strongest DE signal in PRP (</w:t>
      </w:r>
      <w:r w:rsidRPr="00534DA6">
        <w:rPr>
          <w:rFonts w:ascii="Calibri" w:eastAsia="Calibri" w:hAnsi="Calibri" w:cs="Calibri"/>
          <w:b/>
          <w:sz w:val="24"/>
          <w:szCs w:val="24"/>
          <w:lang w:val="en-US"/>
        </w:rPr>
        <w:t>Figure S8C</w:t>
      </w:r>
      <w:r w:rsidRPr="00534DA6">
        <w:rPr>
          <w:rFonts w:ascii="Calibri" w:eastAsia="Calibri" w:hAnsi="Calibri" w:cs="Calibri"/>
          <w:sz w:val="24"/>
          <w:szCs w:val="24"/>
          <w:lang w:val="en-US"/>
        </w:rPr>
        <w:t>). Previous evidence strongly links CARD14 to PRP and both genes are known to induce NF-</w:t>
      </w:r>
      <w:r w:rsidR="00DD2B3A" w:rsidRPr="00534DA6">
        <w:rPr>
          <w:rFonts w:ascii="Calibri" w:eastAsia="Calibri" w:hAnsi="Calibri" w:cs="Calibri"/>
          <w:lang w:val="en-US"/>
        </w:rPr>
        <w:t>κB</w:t>
      </w:r>
      <w:r w:rsidR="00DD2B3A">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{"citationID":"xUGzYppY","properties":{"formattedCitation":"\\super 1\\nosupersub{}","plainCitation":"1","noteIndex":0},"citationItems":[{"id":1185,"uris":["http://zotero.org/users/5044956/items/QY57TQSM"],"itemData":{"id":1185,"type":"article-journal","abstract":"Pityriasis rubra pilaris (PRP) is a papulosquamous disorder phenotypically related to psoriasis. The disease has been occasionally shown to be inherited in an autosomal-dominant fashion. To identify the genetic cause of familial PRP, we ascertained four unrelated families affected by autosomal-dominant PRP. We initially mapped PRP to 17q25.3, a region overlapping with psoriasis susceptibility locus 2 (PSORS2 [MIM 602723]). Using a combination of linkage analysis followed by targeted whole-exome sequencing and candidate-gene screening, we identified three different heterozygous mutations in CARD14, which encodes caspase recruitment domain family, member 14. CARD14 was found to be specifically expressed in the skin. CARD14 is a known activator of nuclear factor kappa B signaling, which has been implicated in inflammatory disorders. Accordingly, CARD14 levels were increased, and p65 was found to be activated in the skin of PRP-affected individuals. The present data demonstrate that autosomal-dominant PRP is allelic to familial psoriasis, which was recently shown to also be caused by mutations in CARD14.","container-title":"American Journal of Human Genetics","DOI":"10.1016/j.ajhg.2012.05.010","ISSN":"1537-6605","issue":"1","journalAbbreviation":"Am J Hum Genet","language":"eng","note":"PMID: 22703878\nPMCID: PMC3397268","page":"163-170","source":"PubMed","title":"Familial pityriasis rubra pilaris is caused by mutations in CARD14","volume":"91","author":[{"family":"Fuchs-Telem","given":"Dana"},{"family":"Sarig","given":"Ofer"},{"family":"Steensel","given":"Maurice A. M.","non-dropping-particle":"van"},{"family":"Isakov","given":"Ofer"},{"family":"Israeli","given":"Shirli"},{"family":"Nousbeck","given":"Janna"},{"family":"Richard","given":"Katharina"},{"family":"Winnepenninckx","given":"Veronique"},{"family":"Vernooij","given":"Marigje"},{"family":"Shomron","given":"Noam"},{"family":"Uitto","given":"Jouni"},{"family":"Fleckman","given":"Philip"},{"family":"Richard","given":"Gabriele"},{"family":"Sprecher","given":"Eli"}],"issued":{"date-parts":[["2012",7,13]]}}}],"schema":"https://github.com/citation-style-language/schema/raw/master/csl-citation.json"} </w:instrText>
      </w:r>
      <w:r w:rsidR="00DD2B3A">
        <w:rPr>
          <w:rFonts w:ascii="Calibri" w:eastAsia="Calibri" w:hAnsi="Calibri" w:cs="Calibri"/>
          <w:sz w:val="24"/>
          <w:szCs w:val="24"/>
          <w:lang w:val="en-US"/>
        </w:rPr>
        <w:fldChar w:fldCharType="separate"/>
      </w:r>
      <w:r w:rsidR="00710A9B" w:rsidRPr="000004F0">
        <w:rPr>
          <w:rFonts w:ascii="Calibri" w:hAnsi="Calibri" w:cs="Calibri"/>
          <w:sz w:val="24"/>
          <w:vertAlign w:val="superscript"/>
          <w:lang w:val="en-US"/>
        </w:rPr>
        <w:t>1</w:t>
      </w:r>
      <w:r w:rsidR="00DD2B3A">
        <w:rPr>
          <w:rFonts w:ascii="Calibri" w:eastAsia="Calibri" w:hAnsi="Calibri" w:cs="Calibri"/>
          <w:sz w:val="24"/>
          <w:szCs w:val="24"/>
          <w:lang w:val="en-US"/>
        </w:rPr>
        <w:fldChar w:fldCharType="end"/>
      </w:r>
      <w:r w:rsidRPr="00534DA6">
        <w:rPr>
          <w:rFonts w:ascii="Calibri" w:eastAsia="Calibri" w:hAnsi="Calibri" w:cs="Calibri"/>
          <w:sz w:val="24"/>
          <w:szCs w:val="24"/>
          <w:lang w:val="en-US"/>
        </w:rPr>
        <w:t xml:space="preserve">. Both were significantly correlated with </w:t>
      </w:r>
      <w:r w:rsidRPr="00534DA6">
        <w:rPr>
          <w:rFonts w:ascii="Calibri" w:eastAsia="Calibri" w:hAnsi="Calibri" w:cs="Calibri"/>
          <w:i/>
          <w:sz w:val="24"/>
          <w:szCs w:val="24"/>
          <w:lang w:val="en-US"/>
        </w:rPr>
        <w:t>IL1B</w:t>
      </w:r>
      <w:r w:rsidRPr="00534DA6">
        <w:rPr>
          <w:rFonts w:ascii="Calibri" w:eastAsia="Calibri" w:hAnsi="Calibri" w:cs="Calibri"/>
          <w:sz w:val="24"/>
          <w:szCs w:val="24"/>
          <w:lang w:val="en-US"/>
        </w:rPr>
        <w:t xml:space="preserve"> and </w:t>
      </w:r>
      <w:r w:rsidRPr="00DD2B3A">
        <w:rPr>
          <w:rFonts w:ascii="Calibri" w:eastAsia="Calibri" w:hAnsi="Calibri" w:cs="Calibri"/>
          <w:sz w:val="24"/>
          <w:szCs w:val="24"/>
          <w:lang w:val="en-US"/>
        </w:rPr>
        <w:t>NF-</w:t>
      </w:r>
      <w:r w:rsidR="00DD2B3A" w:rsidRPr="00DD2B3A">
        <w:rPr>
          <w:rFonts w:ascii="Calibri" w:eastAsia="Calibri" w:hAnsi="Calibri" w:cs="Calibri"/>
          <w:sz w:val="24"/>
          <w:szCs w:val="24"/>
          <w:lang w:val="en-US"/>
        </w:rPr>
        <w:t>κB</w:t>
      </w:r>
      <w:r w:rsidRPr="00534DA6">
        <w:rPr>
          <w:rFonts w:ascii="Calibri" w:eastAsia="Calibri" w:hAnsi="Calibri" w:cs="Calibri"/>
          <w:sz w:val="24"/>
          <w:szCs w:val="24"/>
          <w:lang w:val="en-US"/>
        </w:rPr>
        <w:t xml:space="preserve"> associated genes (</w:t>
      </w:r>
      <w:r w:rsidRPr="00534DA6">
        <w:rPr>
          <w:rFonts w:ascii="Calibri" w:eastAsia="Calibri" w:hAnsi="Calibri" w:cs="Calibri"/>
          <w:b/>
          <w:sz w:val="24"/>
          <w:szCs w:val="24"/>
          <w:lang w:val="en-US"/>
        </w:rPr>
        <w:t>Figure S8D-E</w:t>
      </w:r>
      <w:r w:rsidRPr="00534DA6">
        <w:rPr>
          <w:rFonts w:ascii="Calibri" w:eastAsia="Calibri" w:hAnsi="Calibri" w:cs="Calibri"/>
          <w:sz w:val="24"/>
          <w:szCs w:val="24"/>
          <w:lang w:val="en-US"/>
        </w:rPr>
        <w:t>). NOD2 was also significantly upregulated in active lesional vs. active non-lesional or post-PRP</w:t>
      </w:r>
      <w:r w:rsidR="00DD2B3A">
        <w:rPr>
          <w:rFonts w:ascii="Calibri" w:eastAsia="Calibri" w:hAnsi="Calibri" w:cs="Calibri"/>
          <w:sz w:val="24"/>
          <w:szCs w:val="24"/>
          <w:lang w:val="en-US"/>
        </w:rPr>
        <w:t xml:space="preserve"> </w:t>
      </w:r>
      <w:r w:rsidRPr="00534DA6">
        <w:rPr>
          <w:rFonts w:ascii="Calibri" w:eastAsia="Calibri" w:hAnsi="Calibri" w:cs="Calibri"/>
          <w:sz w:val="24"/>
          <w:szCs w:val="24"/>
          <w:lang w:val="en-US"/>
        </w:rPr>
        <w:t>(CARD14 was not part of this targeted sequencing panel) (</w:t>
      </w:r>
      <w:r w:rsidRPr="00534DA6">
        <w:rPr>
          <w:rFonts w:ascii="Calibri" w:eastAsia="Calibri" w:hAnsi="Calibri" w:cs="Calibri"/>
          <w:b/>
          <w:sz w:val="24"/>
          <w:szCs w:val="24"/>
          <w:lang w:val="en-US"/>
        </w:rPr>
        <w:t>Figure S8F</w:t>
      </w:r>
      <w:r w:rsidRPr="00534DA6">
        <w:rPr>
          <w:rFonts w:ascii="Calibri" w:eastAsia="Calibri" w:hAnsi="Calibri" w:cs="Calibri"/>
          <w:sz w:val="24"/>
          <w:szCs w:val="24"/>
          <w:lang w:val="en-US"/>
        </w:rPr>
        <w:t xml:space="preserve">) and after IL-1β stimulation in keratinocytes </w:t>
      </w:r>
      <w:r w:rsidRPr="00534DA6">
        <w:rPr>
          <w:rFonts w:ascii="Calibri" w:eastAsia="Calibri" w:hAnsi="Calibri" w:cs="Calibri"/>
          <w:i/>
          <w:sz w:val="24"/>
          <w:szCs w:val="24"/>
          <w:lang w:val="en-US"/>
        </w:rPr>
        <w:t>in vitro</w:t>
      </w:r>
      <w:r w:rsidRPr="00534DA6">
        <w:rPr>
          <w:rFonts w:ascii="Calibri" w:eastAsia="Calibri" w:hAnsi="Calibri" w:cs="Calibri"/>
          <w:sz w:val="24"/>
          <w:szCs w:val="24"/>
          <w:lang w:val="en-US"/>
        </w:rPr>
        <w:t xml:space="preserve"> (</w:t>
      </w:r>
      <w:r w:rsidRPr="00534DA6">
        <w:rPr>
          <w:rFonts w:ascii="Calibri" w:eastAsia="Calibri" w:hAnsi="Calibri" w:cs="Calibri"/>
          <w:b/>
          <w:sz w:val="24"/>
          <w:szCs w:val="24"/>
          <w:lang w:val="en-US"/>
        </w:rPr>
        <w:t>Figure S7F</w:t>
      </w:r>
      <w:r w:rsidRPr="00534DA6">
        <w:rPr>
          <w:rFonts w:ascii="Calibri" w:eastAsia="Calibri" w:hAnsi="Calibri" w:cs="Calibri"/>
          <w:sz w:val="24"/>
          <w:szCs w:val="24"/>
          <w:lang w:val="en-US"/>
        </w:rPr>
        <w:t xml:space="preserve">). IPA prediction of the mechanistic network in PRP signal confirms the downstream activation of </w:t>
      </w:r>
      <w:r w:rsidR="00DD2B3A" w:rsidRPr="00DD2B3A">
        <w:rPr>
          <w:rFonts w:ascii="Calibri" w:eastAsia="Calibri" w:hAnsi="Calibri" w:cs="Calibri"/>
          <w:sz w:val="24"/>
          <w:szCs w:val="24"/>
          <w:lang w:val="en-US"/>
        </w:rPr>
        <w:t>NF-κB</w:t>
      </w:r>
      <w:r w:rsidR="00DD2B3A" w:rsidRPr="00534DA6">
        <w:rPr>
          <w:rFonts w:ascii="Calibri" w:eastAsia="Calibri" w:hAnsi="Calibri" w:cs="Calibri"/>
          <w:sz w:val="24"/>
          <w:szCs w:val="24"/>
          <w:lang w:val="en-US"/>
        </w:rPr>
        <w:t xml:space="preserve"> </w:t>
      </w:r>
      <w:r w:rsidRPr="00534DA6">
        <w:rPr>
          <w:rFonts w:ascii="Calibri" w:eastAsia="Calibri" w:hAnsi="Calibri" w:cs="Calibri"/>
          <w:sz w:val="24"/>
          <w:szCs w:val="24"/>
          <w:lang w:val="en-US"/>
        </w:rPr>
        <w:t>as being downstream of CARD14 and NOD2. Interestingly, that is also the case for BCL10, which is known to be activated by CARD14 and NOD2 (</w:t>
      </w:r>
      <w:r w:rsidRPr="00534DA6">
        <w:rPr>
          <w:rFonts w:ascii="Calibri" w:eastAsia="Calibri" w:hAnsi="Calibri" w:cs="Calibri"/>
          <w:b/>
          <w:sz w:val="24"/>
          <w:szCs w:val="24"/>
          <w:lang w:val="en-US"/>
        </w:rPr>
        <w:t>Figure S8E</w:t>
      </w:r>
      <w:r w:rsidRPr="00534DA6">
        <w:rPr>
          <w:rFonts w:ascii="Calibri" w:eastAsia="Calibri" w:hAnsi="Calibri" w:cs="Calibri"/>
          <w:sz w:val="24"/>
          <w:szCs w:val="24"/>
          <w:lang w:val="en-US"/>
        </w:rPr>
        <w:t>).</w:t>
      </w:r>
    </w:p>
    <w:p w14:paraId="000000B0" w14:textId="726781CE" w:rsidR="0046705A" w:rsidRPr="00534DA6" w:rsidRDefault="00E67B44" w:rsidP="000E4817">
      <w:pPr>
        <w:pStyle w:val="Heading2"/>
        <w:rPr>
          <w:lang w:val="en-US"/>
        </w:rPr>
      </w:pPr>
      <w:bookmarkStart w:id="9" w:name="_yh939zf1rv0r" w:colFirst="0" w:colLast="0"/>
      <w:bookmarkStart w:id="10" w:name="_Toc144374717"/>
      <w:bookmarkEnd w:id="9"/>
      <w:r w:rsidRPr="00534DA6">
        <w:rPr>
          <w:lang w:val="en-US"/>
        </w:rPr>
        <w:lastRenderedPageBreak/>
        <w:t xml:space="preserve">Caspase-1 is upregulated in PRP lesional </w:t>
      </w:r>
      <w:r w:rsidR="00DB5903" w:rsidRPr="00534DA6">
        <w:rPr>
          <w:lang w:val="en-US"/>
        </w:rPr>
        <w:t>skin.</w:t>
      </w:r>
      <w:bookmarkEnd w:id="10"/>
    </w:p>
    <w:p w14:paraId="000000B1" w14:textId="72EF30C5" w:rsidR="0046705A" w:rsidRPr="00534DA6" w:rsidRDefault="00E67B44" w:rsidP="00CA5FCF">
      <w:pPr>
        <w:spacing w:after="120"/>
        <w:ind w:firstLine="141"/>
        <w:jc w:val="both"/>
        <w:rPr>
          <w:rFonts w:ascii="Calibri" w:eastAsia="Calibri" w:hAnsi="Calibri" w:cs="Calibri"/>
          <w:sz w:val="24"/>
          <w:szCs w:val="24"/>
          <w:lang w:val="en-US"/>
        </w:rPr>
      </w:pPr>
      <w:r w:rsidRPr="00534DA6">
        <w:rPr>
          <w:rFonts w:ascii="Calibri" w:eastAsia="Calibri" w:hAnsi="Calibri" w:cs="Calibri"/>
          <w:sz w:val="24"/>
          <w:szCs w:val="24"/>
          <w:lang w:val="en-US"/>
        </w:rPr>
        <w:t>ASC-speck formation, an indicator of canonical inflammasome activation, was undetectable in patients 1</w:t>
      </w:r>
      <w:r w:rsidR="00CA5FCF">
        <w:rPr>
          <w:rFonts w:ascii="Calibri" w:eastAsia="Calibri" w:hAnsi="Calibri" w:cs="Calibri"/>
          <w:sz w:val="24"/>
          <w:szCs w:val="24"/>
          <w:lang w:val="en-US"/>
        </w:rPr>
        <w:t xml:space="preserve"> and </w:t>
      </w:r>
      <w:r w:rsidRPr="00534DA6">
        <w:rPr>
          <w:rFonts w:ascii="Calibri" w:eastAsia="Calibri" w:hAnsi="Calibri" w:cs="Calibri"/>
          <w:sz w:val="24"/>
          <w:szCs w:val="24"/>
          <w:lang w:val="en-US"/>
        </w:rPr>
        <w:t>2 a</w:t>
      </w:r>
      <w:r w:rsidR="00CA5FCF">
        <w:rPr>
          <w:rFonts w:ascii="Calibri" w:eastAsia="Calibri" w:hAnsi="Calibri" w:cs="Calibri"/>
          <w:sz w:val="24"/>
          <w:szCs w:val="24"/>
          <w:lang w:val="en-US"/>
        </w:rPr>
        <w:t>s well as in</w:t>
      </w:r>
      <w:r w:rsidRPr="00534DA6">
        <w:rPr>
          <w:rFonts w:ascii="Calibri" w:eastAsia="Calibri" w:hAnsi="Calibri" w:cs="Calibri"/>
          <w:sz w:val="24"/>
          <w:szCs w:val="24"/>
          <w:lang w:val="en-US"/>
        </w:rPr>
        <w:t xml:space="preserve"> 5 additional PRP patients (not shown)</w:t>
      </w:r>
      <w:r w:rsidR="00CA5FCF">
        <w:rPr>
          <w:rFonts w:ascii="Calibri" w:eastAsia="Calibri" w:hAnsi="Calibri" w:cs="Calibri"/>
          <w:sz w:val="24"/>
          <w:szCs w:val="24"/>
          <w:lang w:val="en-US"/>
        </w:rPr>
        <w:t>. C</w:t>
      </w:r>
      <w:r w:rsidRPr="00534DA6">
        <w:rPr>
          <w:rFonts w:ascii="Calibri" w:eastAsia="Calibri" w:hAnsi="Calibri" w:cs="Calibri"/>
          <w:sz w:val="24"/>
          <w:szCs w:val="24"/>
          <w:lang w:val="en-US"/>
        </w:rPr>
        <w:t>aspase-1 staining was reduced during treatment (</w:t>
      </w:r>
      <w:r w:rsidRPr="00534DA6">
        <w:rPr>
          <w:rFonts w:ascii="Calibri" w:eastAsia="Calibri" w:hAnsi="Calibri" w:cs="Calibri"/>
          <w:b/>
          <w:sz w:val="24"/>
          <w:szCs w:val="24"/>
          <w:lang w:val="en-US"/>
        </w:rPr>
        <w:t>Figure S5</w:t>
      </w:r>
      <w:r w:rsidR="00AF5606">
        <w:rPr>
          <w:rFonts w:ascii="Calibri" w:eastAsia="Calibri" w:hAnsi="Calibri" w:cs="Calibri"/>
          <w:b/>
          <w:sz w:val="24"/>
          <w:szCs w:val="24"/>
          <w:lang w:val="en-US"/>
        </w:rPr>
        <w:t>J</w:t>
      </w:r>
      <w:r w:rsidRPr="00534DA6">
        <w:rPr>
          <w:rFonts w:ascii="Calibri" w:eastAsia="Calibri" w:hAnsi="Calibri" w:cs="Calibri"/>
          <w:sz w:val="24"/>
          <w:szCs w:val="24"/>
          <w:lang w:val="en-US"/>
        </w:rPr>
        <w:t>). However, expression levels did not change during treatment between active vs. post-PRP or lesional and non-lesional skin (</w:t>
      </w:r>
      <w:r w:rsidRPr="00534DA6">
        <w:rPr>
          <w:rFonts w:ascii="Calibri" w:eastAsia="Calibri" w:hAnsi="Calibri" w:cs="Calibri"/>
          <w:b/>
          <w:sz w:val="24"/>
          <w:szCs w:val="24"/>
          <w:lang w:val="en-US"/>
        </w:rPr>
        <w:t>Figure S8G</w:t>
      </w:r>
      <w:r w:rsidRPr="00534DA6">
        <w:rPr>
          <w:rFonts w:ascii="Calibri" w:eastAsia="Calibri" w:hAnsi="Calibri" w:cs="Calibri"/>
          <w:sz w:val="24"/>
          <w:szCs w:val="24"/>
          <w:lang w:val="en-US"/>
        </w:rPr>
        <w:t>). Therefore, our findings suggest that IL-1β can be processed by caspase-1 in a manner that does not require the presence of ASC.</w:t>
      </w:r>
    </w:p>
    <w:p w14:paraId="000000B2" w14:textId="77777777" w:rsidR="0046705A" w:rsidRPr="00534DA6" w:rsidRDefault="0046705A">
      <w:pPr>
        <w:rPr>
          <w:lang w:val="en-US"/>
        </w:rPr>
      </w:pPr>
    </w:p>
    <w:p w14:paraId="000000B3" w14:textId="77777777" w:rsidR="0046705A" w:rsidRPr="00534DA6" w:rsidRDefault="0046705A">
      <w:pPr>
        <w:rPr>
          <w:lang w:val="en-US"/>
        </w:rPr>
      </w:pPr>
    </w:p>
    <w:p w14:paraId="441AE898" w14:textId="77777777" w:rsidR="000E4817" w:rsidRDefault="000E4817">
      <w:pPr>
        <w:rPr>
          <w:sz w:val="40"/>
          <w:szCs w:val="40"/>
          <w:lang w:val="en-US"/>
        </w:rPr>
      </w:pPr>
      <w:bookmarkStart w:id="11" w:name="_xyyz87ae4cga" w:colFirst="0" w:colLast="0"/>
      <w:bookmarkEnd w:id="11"/>
      <w:r>
        <w:rPr>
          <w:lang w:val="en-US"/>
        </w:rPr>
        <w:br w:type="page"/>
      </w:r>
    </w:p>
    <w:p w14:paraId="000000B4" w14:textId="3CB342EA" w:rsidR="0046705A" w:rsidRDefault="00E67B44" w:rsidP="000E4817">
      <w:pPr>
        <w:pStyle w:val="Heading1"/>
        <w:rPr>
          <w:caps/>
          <w:sz w:val="32"/>
          <w:lang w:val="en-US"/>
        </w:rPr>
      </w:pPr>
      <w:bookmarkStart w:id="12" w:name="_Toc144374718"/>
      <w:r w:rsidRPr="000004F0">
        <w:rPr>
          <w:caps/>
          <w:sz w:val="32"/>
          <w:lang w:val="en-US"/>
        </w:rPr>
        <w:lastRenderedPageBreak/>
        <w:t>Supplementary methods</w:t>
      </w:r>
      <w:bookmarkEnd w:id="12"/>
    </w:p>
    <w:p w14:paraId="6B656659" w14:textId="69C5812D" w:rsidR="00AF5606" w:rsidRDefault="00AF5606" w:rsidP="00AF5606">
      <w:pPr>
        <w:rPr>
          <w:lang w:val="en-US"/>
        </w:rPr>
      </w:pPr>
      <w:r w:rsidRPr="00AF5606">
        <w:rPr>
          <w:noProof/>
          <w:lang w:val="en-US"/>
        </w:rPr>
        <w:drawing>
          <wp:inline distT="0" distB="0" distL="0" distR="0" wp14:anchorId="58F994F4" wp14:editId="5A8ADF35">
            <wp:extent cx="5733415" cy="2840990"/>
            <wp:effectExtent l="0" t="0" r="0" b="3810"/>
            <wp:docPr id="1842512733" name="Picture 1" descr="A diagram of a biosynthesi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512733" name="Picture 1" descr="A diagram of a biosynthesis&#10;&#10;Description automatically generated"/>
                    <pic:cNvPicPr/>
                  </pic:nvPicPr>
                  <pic:blipFill>
                    <a:blip r:embed="rId8"/>
                    <a:stretch>
                      <a:fillRect/>
                    </a:stretch>
                  </pic:blipFill>
                  <pic:spPr>
                    <a:xfrm>
                      <a:off x="0" y="0"/>
                      <a:ext cx="5733415" cy="2840990"/>
                    </a:xfrm>
                    <a:prstGeom prst="rect">
                      <a:avLst/>
                    </a:prstGeom>
                  </pic:spPr>
                </pic:pic>
              </a:graphicData>
            </a:graphic>
          </wp:inline>
        </w:drawing>
      </w:r>
    </w:p>
    <w:p w14:paraId="278F5864" w14:textId="0106576D" w:rsidR="00AF5606" w:rsidRPr="00A77CAB" w:rsidRDefault="00AF5606" w:rsidP="00A77CAB">
      <w:pPr>
        <w:rPr>
          <w:i/>
          <w:iCs/>
          <w:lang w:val="en-US"/>
        </w:rPr>
      </w:pPr>
      <w:r>
        <w:rPr>
          <w:i/>
          <w:iCs/>
          <w:lang w:val="en-US"/>
        </w:rPr>
        <w:t xml:space="preserve">Sample collection and processing workflow for PRP and treatment associated transcriptomic </w:t>
      </w:r>
      <w:r w:rsidR="00DB5903">
        <w:rPr>
          <w:i/>
          <w:iCs/>
          <w:lang w:val="en-US"/>
        </w:rPr>
        <w:t>profiles.</w:t>
      </w:r>
    </w:p>
    <w:p w14:paraId="000000B5" w14:textId="77777777" w:rsidR="0046705A" w:rsidRPr="00534DA6" w:rsidRDefault="00E67B44" w:rsidP="000E4817">
      <w:pPr>
        <w:pStyle w:val="Heading2"/>
        <w:rPr>
          <w:lang w:val="en-US"/>
        </w:rPr>
      </w:pPr>
      <w:bookmarkStart w:id="13" w:name="_secsztedjzn6" w:colFirst="0" w:colLast="0"/>
      <w:bookmarkStart w:id="14" w:name="_Toc144374719"/>
      <w:bookmarkEnd w:id="13"/>
      <w:r w:rsidRPr="00534DA6">
        <w:rPr>
          <w:lang w:val="en-US"/>
        </w:rPr>
        <w:t>Clinical Data and Specimen Collection</w:t>
      </w:r>
      <w:bookmarkEnd w:id="14"/>
    </w:p>
    <w:p w14:paraId="000000B6" w14:textId="6F222878" w:rsidR="0046705A" w:rsidRPr="00534DA6" w:rsidRDefault="00E67B44">
      <w:pPr>
        <w:jc w:val="both"/>
        <w:rPr>
          <w:rFonts w:ascii="Calibri" w:eastAsia="Calibri" w:hAnsi="Calibri" w:cs="Calibri"/>
          <w:sz w:val="24"/>
          <w:szCs w:val="24"/>
          <w:lang w:val="en-US"/>
        </w:rPr>
      </w:pPr>
      <w:r w:rsidRPr="00534DA6">
        <w:rPr>
          <w:rFonts w:ascii="Calibri" w:eastAsia="Calibri" w:hAnsi="Calibri" w:cs="Calibri"/>
          <w:sz w:val="24"/>
          <w:szCs w:val="24"/>
          <w:lang w:val="en-US"/>
        </w:rPr>
        <w:t xml:space="preserve">Demographical data including medical history and samples from blood and </w:t>
      </w:r>
      <w:r w:rsidR="00931D78">
        <w:rPr>
          <w:rFonts w:ascii="Calibri" w:eastAsia="Calibri" w:hAnsi="Calibri" w:cs="Calibri"/>
          <w:sz w:val="24"/>
          <w:szCs w:val="24"/>
          <w:lang w:val="en-US"/>
        </w:rPr>
        <w:t xml:space="preserve">lesional </w:t>
      </w:r>
      <w:r w:rsidRPr="00534DA6">
        <w:rPr>
          <w:rFonts w:ascii="Calibri" w:eastAsia="Calibri" w:hAnsi="Calibri" w:cs="Calibri"/>
          <w:sz w:val="24"/>
          <w:szCs w:val="24"/>
          <w:lang w:val="en-US"/>
        </w:rPr>
        <w:t>skin</w:t>
      </w:r>
      <w:r w:rsidR="00931D78">
        <w:rPr>
          <w:rFonts w:ascii="Calibri" w:eastAsia="Calibri" w:hAnsi="Calibri" w:cs="Calibri"/>
          <w:sz w:val="24"/>
          <w:szCs w:val="24"/>
          <w:lang w:val="en-US"/>
        </w:rPr>
        <w:t xml:space="preserve"> (formalin-fixed paraffin embedded tissues)</w:t>
      </w:r>
      <w:r w:rsidRPr="00534DA6">
        <w:rPr>
          <w:rFonts w:ascii="Calibri" w:eastAsia="Calibri" w:hAnsi="Calibri" w:cs="Calibri"/>
          <w:sz w:val="24"/>
          <w:szCs w:val="24"/>
          <w:lang w:val="en-US"/>
        </w:rPr>
        <w:t xml:space="preserve"> were collected from 13 patients with a clinically and histologically confirmed diagnosis of PRP type I (adult-type) between 2012 and 2015 in the Department of Dermatology, University Hospital Zurich. </w:t>
      </w:r>
      <w:r w:rsidR="00931D78">
        <w:rPr>
          <w:rFonts w:ascii="Calibri" w:eastAsia="Calibri" w:hAnsi="Calibri" w:cs="Calibri"/>
          <w:sz w:val="24"/>
          <w:szCs w:val="24"/>
          <w:lang w:val="en-US"/>
        </w:rPr>
        <w:t xml:space="preserve">From 8 of those </w:t>
      </w:r>
      <w:proofErr w:type="gramStart"/>
      <w:r w:rsidR="00931D78">
        <w:rPr>
          <w:rFonts w:ascii="Calibri" w:eastAsia="Calibri" w:hAnsi="Calibri" w:cs="Calibri"/>
          <w:sz w:val="24"/>
          <w:szCs w:val="24"/>
          <w:lang w:val="en-US"/>
        </w:rPr>
        <w:t>patient</w:t>
      </w:r>
      <w:r w:rsidR="00A77CAB">
        <w:rPr>
          <w:rFonts w:ascii="Calibri" w:eastAsia="Calibri" w:hAnsi="Calibri" w:cs="Calibri"/>
          <w:sz w:val="24"/>
          <w:szCs w:val="24"/>
          <w:lang w:val="en-US"/>
        </w:rPr>
        <w:t>s</w:t>
      </w:r>
      <w:proofErr w:type="gramEnd"/>
      <w:r w:rsidR="00931D78">
        <w:rPr>
          <w:rFonts w:ascii="Calibri" w:eastAsia="Calibri" w:hAnsi="Calibri" w:cs="Calibri"/>
          <w:sz w:val="24"/>
          <w:szCs w:val="24"/>
          <w:lang w:val="en-US"/>
        </w:rPr>
        <w:t xml:space="preserve"> biopsies after resolution of skin disease (post-PRP) were obtained. </w:t>
      </w:r>
      <w:r w:rsidR="009503D4">
        <w:rPr>
          <w:rFonts w:ascii="Calibri" w:eastAsia="Calibri" w:hAnsi="Calibri" w:cs="Calibri"/>
          <w:sz w:val="24"/>
          <w:szCs w:val="24"/>
          <w:lang w:val="en-US"/>
        </w:rPr>
        <w:t xml:space="preserve">Additionally, </w:t>
      </w:r>
      <w:r w:rsidR="00931D78">
        <w:rPr>
          <w:rFonts w:ascii="Calibri" w:eastAsia="Calibri" w:hAnsi="Calibri" w:cs="Calibri"/>
          <w:sz w:val="24"/>
          <w:szCs w:val="24"/>
          <w:lang w:val="en-US"/>
        </w:rPr>
        <w:t xml:space="preserve">FFPE biopsies from </w:t>
      </w:r>
      <w:r w:rsidR="009503D4">
        <w:rPr>
          <w:rFonts w:ascii="Calibri" w:eastAsia="Calibri" w:hAnsi="Calibri" w:cs="Calibri"/>
          <w:sz w:val="24"/>
          <w:szCs w:val="24"/>
          <w:lang w:val="en-US"/>
        </w:rPr>
        <w:t xml:space="preserve">psoriasis </w:t>
      </w:r>
      <w:r w:rsidR="00931D78">
        <w:rPr>
          <w:rFonts w:ascii="Calibri" w:eastAsia="Calibri" w:hAnsi="Calibri" w:cs="Calibri"/>
          <w:sz w:val="24"/>
          <w:szCs w:val="24"/>
          <w:lang w:val="en-US"/>
        </w:rPr>
        <w:t xml:space="preserve">(n=6), </w:t>
      </w:r>
      <w:r w:rsidR="009503D4">
        <w:rPr>
          <w:rFonts w:ascii="Calibri" w:eastAsia="Calibri" w:hAnsi="Calibri" w:cs="Calibri"/>
          <w:sz w:val="24"/>
          <w:szCs w:val="24"/>
          <w:lang w:val="en-US"/>
        </w:rPr>
        <w:t xml:space="preserve">atopic dermatitis </w:t>
      </w:r>
      <w:r w:rsidR="00931D78">
        <w:rPr>
          <w:rFonts w:ascii="Calibri" w:eastAsia="Calibri" w:hAnsi="Calibri" w:cs="Calibri"/>
          <w:sz w:val="24"/>
          <w:szCs w:val="24"/>
          <w:lang w:val="en-US"/>
        </w:rPr>
        <w:t xml:space="preserve">(n=7) and healthy control (anonymized, n=8) </w:t>
      </w:r>
      <w:r w:rsidR="009503D4">
        <w:rPr>
          <w:rFonts w:ascii="Calibri" w:eastAsia="Calibri" w:hAnsi="Calibri" w:cs="Calibri"/>
          <w:sz w:val="24"/>
          <w:szCs w:val="24"/>
          <w:lang w:val="en-US"/>
        </w:rPr>
        <w:t xml:space="preserve">were obtained from the biobank of the Department of Dermatology, University Hospital Zurich. </w:t>
      </w:r>
      <w:r w:rsidR="00931D78">
        <w:rPr>
          <w:rFonts w:ascii="Calibri" w:eastAsia="Calibri" w:hAnsi="Calibri" w:cs="Calibri"/>
          <w:sz w:val="24"/>
          <w:szCs w:val="24"/>
          <w:lang w:val="en-US"/>
        </w:rPr>
        <w:t xml:space="preserve">Rarely a biopsy from non-lesional skin in a PRP patient was performed. </w:t>
      </w:r>
      <w:r w:rsidRPr="00534DA6">
        <w:rPr>
          <w:rFonts w:ascii="Calibri" w:eastAsia="Calibri" w:hAnsi="Calibri" w:cs="Calibri"/>
          <w:sz w:val="24"/>
          <w:szCs w:val="24"/>
          <w:lang w:val="en-US"/>
        </w:rPr>
        <w:t>The three patients on anti-IL-1/anti-IL-1β therapy were treated between 2019 and 2023. The study was approved by the local ethics committee.</w:t>
      </w:r>
    </w:p>
    <w:p w14:paraId="000000B8" w14:textId="6FD878D2" w:rsidR="0046705A" w:rsidRPr="00534DA6" w:rsidRDefault="00E67B44">
      <w:pPr>
        <w:jc w:val="both"/>
        <w:rPr>
          <w:rFonts w:ascii="Calibri" w:eastAsia="Calibri" w:hAnsi="Calibri" w:cs="Calibri"/>
          <w:sz w:val="24"/>
          <w:szCs w:val="24"/>
          <w:lang w:val="en-US"/>
        </w:rPr>
      </w:pPr>
      <w:r w:rsidRPr="00534DA6">
        <w:rPr>
          <w:rFonts w:ascii="Calibri" w:eastAsia="Calibri" w:hAnsi="Calibri" w:cs="Calibri"/>
          <w:sz w:val="24"/>
          <w:szCs w:val="24"/>
          <w:lang w:val="en-US"/>
        </w:rPr>
        <w:t xml:space="preserve">Clinical severity was assessed by </w:t>
      </w:r>
      <w:r w:rsidRPr="00534DA6">
        <w:rPr>
          <w:rFonts w:ascii="Calibri" w:eastAsia="Calibri" w:hAnsi="Calibri" w:cs="Calibri"/>
          <w:color w:val="212121"/>
          <w:sz w:val="24"/>
          <w:szCs w:val="24"/>
          <w:highlight w:val="white"/>
          <w:lang w:val="en-US"/>
        </w:rPr>
        <w:t>eczema area and severity index (</w:t>
      </w:r>
      <w:r w:rsidRPr="00534DA6">
        <w:rPr>
          <w:rFonts w:ascii="Calibri" w:eastAsia="Calibri" w:hAnsi="Calibri" w:cs="Calibri"/>
          <w:sz w:val="24"/>
          <w:szCs w:val="24"/>
          <w:lang w:val="en-US"/>
        </w:rPr>
        <w:t>EASI) in AD and by psoriasis area and severity index (PASI</w:t>
      </w:r>
      <w:r w:rsidR="00DD2B3A">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{"citationID":"pJX0RM84","properties":{"formattedCitation":"\\super 2\\nosupersub{}","plainCitation":"2","noteIndex":0},"citationItems":[{"id":1218,"uris":["http://zotero.org/users/5044956/items/5UGPWY83"],"itemData":{"id":1218,"type":"article-journal","abstract":"Ro 10-9359 is a retinoic acid derivative, selected for study because of a better tolerance than retinoic acid, shown in animal experiments. Doses of 25 mg b.i.d., 25 mg t.i.d. and 50 mg b.i.d. were administered orally to 27 patients suffering from severe chronic generalized psoriasis. The clinical efficacy was evaluated by means of a new index, psoriasis area and severity index (PASI) based on severity and area of psoriatic lesions. At doses of 25 mg t.i.d. or 50 mg b.i.d. Ro 10--9359 proved to be an extremely potent antipsoriatic drug. A more than 90% reduction of psoriatic lesions could be seen in 10 patients out of 20 after 4-8 weeks of treatment. This good effect lasted about 5 weeks after treatment. Side effects were frequent, but mostly mild and completely reversible after termination of treatment.","container-title":"Dermatologica","DOI":"10.1159/000250839","ISSN":"0011-9075","issue":"4","journalAbbreviation":"Dermatologica","language":"eng","note":"PMID: 357213","page":"238-244","source":"PubMed","title":"Severe psoriasis--oral therapy with a new retinoid","volume":"157","author":[{"family":"Fredriksson","given":"T."},{"family":"Pettersson","given":"U."}],"issued":{"date-parts":[["1978"]]}}}],"schema":"https://github.com/citation-style-language/schema/raw/master/csl-citation.json"} </w:instrText>
      </w:r>
      <w:r w:rsidR="00DD2B3A">
        <w:rPr>
          <w:rFonts w:ascii="Calibri" w:eastAsia="Calibri" w:hAnsi="Calibri" w:cs="Calibri"/>
          <w:sz w:val="24"/>
          <w:szCs w:val="24"/>
          <w:lang w:val="en-US"/>
        </w:rPr>
        <w:fldChar w:fldCharType="separate"/>
      </w:r>
      <w:r w:rsidR="00710A9B" w:rsidRPr="000004F0">
        <w:rPr>
          <w:rFonts w:ascii="Calibri" w:hAnsi="Calibri" w:cs="Calibri"/>
          <w:sz w:val="24"/>
          <w:vertAlign w:val="superscript"/>
          <w:lang w:val="en-US"/>
        </w:rPr>
        <w:t>2</w:t>
      </w:r>
      <w:r w:rsidR="00DD2B3A">
        <w:rPr>
          <w:rFonts w:ascii="Calibri" w:eastAsia="Calibri" w:hAnsi="Calibri" w:cs="Calibri"/>
          <w:sz w:val="24"/>
          <w:szCs w:val="24"/>
          <w:lang w:val="en-US"/>
        </w:rPr>
        <w:fldChar w:fldCharType="end"/>
      </w:r>
      <w:r w:rsidRPr="00534DA6">
        <w:rPr>
          <w:rFonts w:ascii="Calibri" w:eastAsia="Calibri" w:hAnsi="Calibri" w:cs="Calibri"/>
          <w:sz w:val="24"/>
          <w:szCs w:val="24"/>
          <w:lang w:val="en-US"/>
        </w:rPr>
        <w:t>) in psoriasis and PRP, as PRP shows the same clinical features as psoriasis (</w:t>
      </w:r>
      <w:r w:rsidRPr="00534DA6">
        <w:rPr>
          <w:rFonts w:ascii="Calibri" w:eastAsia="Calibri" w:hAnsi="Calibri" w:cs="Calibri"/>
          <w:b/>
          <w:sz w:val="24"/>
          <w:szCs w:val="24"/>
          <w:lang w:val="en-US"/>
        </w:rPr>
        <w:t xml:space="preserve">Supplementary Table </w:t>
      </w:r>
      <w:r w:rsidR="00A434EF">
        <w:rPr>
          <w:rFonts w:ascii="Calibri" w:eastAsia="Calibri" w:hAnsi="Calibri" w:cs="Calibri"/>
          <w:b/>
          <w:sz w:val="24"/>
          <w:szCs w:val="24"/>
          <w:lang w:val="en-US"/>
        </w:rPr>
        <w:t>S</w:t>
      </w:r>
      <w:r w:rsidRPr="00534DA6">
        <w:rPr>
          <w:rFonts w:ascii="Calibri" w:eastAsia="Calibri" w:hAnsi="Calibri" w:cs="Calibri"/>
          <w:b/>
          <w:sz w:val="24"/>
          <w:szCs w:val="24"/>
          <w:lang w:val="en-US"/>
        </w:rPr>
        <w:t>1</w:t>
      </w:r>
      <w:r w:rsidRPr="00534DA6">
        <w:rPr>
          <w:rFonts w:ascii="Calibri" w:eastAsia="Calibri" w:hAnsi="Calibri" w:cs="Calibri"/>
          <w:sz w:val="24"/>
          <w:szCs w:val="24"/>
          <w:lang w:val="en-US"/>
        </w:rPr>
        <w:t xml:space="preserve">). Severity by PASI is defined as mild &lt;10, moderate &gt;=10, severe &gt;= 20. Severity grading by EASI is defined as clear = 0, almost clear 0,1-1,0, mild = 1,1-7,0, moderate 7,1-21,0, severe 21,1-50,0 and very severe 50,1-72,0 </w:t>
      </w:r>
      <w:r w:rsidR="00DD2B3A">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{"citationID":"JElbomdo","properties":{"formattedCitation":"\\super 3\\nosupersub{}","plainCitation":"3","noteIndex":0},"citationItems":[{"id":1220,"uris":["http://zotero.org/users/5044956/items/6KWQSHLF"],"itemData":{"id":1220,"type":"article-journal","abstract":"BACKGROUND: The Eczema Area and Severity Index (EASI) is an investigator-assessed instrument measuring the severity of clinical signs in atopic dermatitis (AD). The EASI was identified as one of the best-validated outcome measures for AD; however, no previous studies address how to interpret the EASI score for clinical use.\nOBJECTIVES: To evaluate the interpretability and the ease of use of the EASI.\nMETHODS: A retrospective analysis of paediatric and adult patients with AD was performed. Interpretability was evaluated by stratifying the EASI scores according to the Investigator's Global Assessment. The severity strata displaying the highest kappa coefficient of agreement were then selected as the recommended EASI band. The time to administer the EASI was recorded in a subgroup of patients.\nRESULTS: The suggested severity strata for the EASI are as follows: 0 = clear; 0·1-1·0 = almost clear; 1·1-7·0 = mild; 7·1-21·0 = moderate; 21·1-50·0 = severe; 50·1-72·0 = very severe (κ = 0·75). The EASI was also found to be acceptable in terms of ease of use, with assessments by trained investigators taking approximately 6 min.\nCONCLUSIONS: Our study provides the first guide for interpreting the EASI score. It enables translation of the EASI numerical output into an AD global severity state that should be more meaningful to providers and patients. Along with a short administration time, the EASI demonstrates adequate feasibility, further supporting its use in clinical trials.","container-title":"The British Journal of Dermatology","DOI":"10.1111/bjd.13662","ISSN":"1365-2133","issue":"5","journalAbbreviation":"Br J Dermatol","language":"eng","note":"PMID: 25580670","page":"1353-1357","source":"PubMed","title":"What the Eczema Area and Severity Index score tells us about the severity of atopic dermatitis: an interpretability study","title-short":"What the Eczema Area and Severity Index score tells us about the severity of atopic dermatitis","volume":"172","author":[{"family":"Leshem","given":"Y. A."},{"family":"Hajar","given":"T."},{"family":"Hanifin","given":"J. M."},{"family":"Simpson","given":"E. L."}],"issued":{"date-parts":[["2015"]]}}}],"schema":"https://github.com/citation-style-language/schema/raw/master/csl-citation.json"} </w:instrText>
      </w:r>
      <w:r w:rsidR="00DD2B3A">
        <w:rPr>
          <w:rFonts w:ascii="Calibri" w:eastAsia="Calibri" w:hAnsi="Calibri" w:cs="Calibri"/>
          <w:sz w:val="24"/>
          <w:szCs w:val="24"/>
          <w:lang w:val="en-US"/>
        </w:rPr>
        <w:fldChar w:fldCharType="separate"/>
      </w:r>
      <w:r w:rsidR="00710A9B" w:rsidRPr="000004F0">
        <w:rPr>
          <w:rFonts w:ascii="Calibri" w:hAnsi="Calibri" w:cs="Calibri"/>
          <w:sz w:val="24"/>
          <w:vertAlign w:val="superscript"/>
          <w:lang w:val="en-US"/>
        </w:rPr>
        <w:t>3</w:t>
      </w:r>
      <w:r w:rsidR="00DD2B3A">
        <w:rPr>
          <w:rFonts w:ascii="Calibri" w:eastAsia="Calibri" w:hAnsi="Calibri" w:cs="Calibri"/>
          <w:sz w:val="24"/>
          <w:szCs w:val="24"/>
          <w:lang w:val="en-US"/>
        </w:rPr>
        <w:fldChar w:fldCharType="end"/>
      </w:r>
      <w:r w:rsidRPr="00534DA6">
        <w:rPr>
          <w:rFonts w:ascii="Calibri" w:eastAsia="Calibri" w:hAnsi="Calibri" w:cs="Calibri"/>
          <w:sz w:val="24"/>
          <w:szCs w:val="24"/>
          <w:lang w:val="en-US"/>
        </w:rPr>
        <w:t>.</w:t>
      </w:r>
    </w:p>
    <w:p w14:paraId="000000BA" w14:textId="7E10D559" w:rsidR="0046705A" w:rsidRPr="000E4817" w:rsidRDefault="00E67B44" w:rsidP="000E4817">
      <w:pPr>
        <w:pStyle w:val="Heading2"/>
        <w:rPr>
          <w:lang w:val="en-US"/>
        </w:rPr>
      </w:pPr>
      <w:bookmarkStart w:id="15" w:name="_j0q8mgczfwre" w:colFirst="0" w:colLast="0"/>
      <w:bookmarkStart w:id="16" w:name="_Toc144374720"/>
      <w:bookmarkEnd w:id="15"/>
      <w:r w:rsidRPr="00534DA6">
        <w:rPr>
          <w:lang w:val="en-US"/>
        </w:rPr>
        <w:t>Immunohistochemistry for IL-1β</w:t>
      </w:r>
      <w:bookmarkEnd w:id="16"/>
    </w:p>
    <w:p w14:paraId="000000BC" w14:textId="536B3DDD" w:rsidR="0046705A" w:rsidRPr="000E4817" w:rsidRDefault="00E67B44" w:rsidP="000E4817">
      <w:pPr>
        <w:jc w:val="both"/>
        <w:rPr>
          <w:rFonts w:ascii="Calibri" w:eastAsia="Calibri" w:hAnsi="Calibri" w:cs="Calibri"/>
          <w:sz w:val="24"/>
          <w:szCs w:val="24"/>
          <w:lang w:val="en-US"/>
        </w:rPr>
      </w:pPr>
      <w:r w:rsidRPr="00534DA6">
        <w:rPr>
          <w:rFonts w:ascii="Calibri" w:eastAsia="Calibri" w:hAnsi="Calibri" w:cs="Calibri"/>
          <w:sz w:val="24"/>
          <w:szCs w:val="24"/>
          <w:lang w:val="en-US"/>
        </w:rPr>
        <w:t xml:space="preserve">IL-1β immunohistochemical analysis was conducted on formalin-fixed paraffin-embedded (FFPE) skin sections obtained from patients. The sections were deparaffinized and subjected to antigen retrieval using sodium citrate buffer. To suppress the activity of endogenous peroxidase in the sections, 3% H2O2 was applied. Subsequently, the sections were blocked at </w:t>
      </w:r>
      <w:r w:rsidRPr="00534DA6">
        <w:rPr>
          <w:rFonts w:ascii="Calibri" w:eastAsia="Calibri" w:hAnsi="Calibri" w:cs="Calibri"/>
          <w:sz w:val="24"/>
          <w:szCs w:val="24"/>
          <w:lang w:val="en-US"/>
        </w:rPr>
        <w:lastRenderedPageBreak/>
        <w:t xml:space="preserve">room temperature for 60 minutes using a 5% BSA/PBS solution. The sections were then incubated overnight at 4°C with primary antibodies </w:t>
      </w:r>
      <w:r w:rsidR="00563A93">
        <w:rPr>
          <w:rFonts w:ascii="Calibri" w:eastAsia="Calibri" w:hAnsi="Calibri" w:cs="Calibri"/>
          <w:sz w:val="24"/>
          <w:szCs w:val="24"/>
          <w:lang w:val="en-US"/>
        </w:rPr>
        <w:t>–</w:t>
      </w:r>
      <w:r w:rsidRPr="00534DA6">
        <w:rPr>
          <w:rFonts w:ascii="Calibri" w:eastAsia="Calibri" w:hAnsi="Calibri" w:cs="Calibri"/>
          <w:sz w:val="24"/>
          <w:szCs w:val="24"/>
          <w:lang w:val="en-US"/>
        </w:rPr>
        <w:t xml:space="preserve"> goat IL-1β/IL-1F2 (Ala117-Ser269, R&amp;D Systems Cat # AF-201-SP, dilution 1:100) and mouse pan-cytokeratin antibody (C11, Santa Cruz Biotechnology Cat # sc-8018, dilution to 1:500). After washing, the sections were incubated for 90 minutes at room temperature in the dark with secondary antibodies (Invitrogen, Alexa Fluor® 488-rabbit anti-goat, dilution 1:200 and Alexa Fluor® 568-donkey anti-mouse, dilution 1:200) in a 5% BSA/PBS solution. Slides were washed and mounted in </w:t>
      </w:r>
      <w:proofErr w:type="spellStart"/>
      <w:r w:rsidRPr="00534DA6">
        <w:rPr>
          <w:rFonts w:ascii="Calibri" w:eastAsia="Calibri" w:hAnsi="Calibri" w:cs="Calibri"/>
          <w:sz w:val="24"/>
          <w:szCs w:val="24"/>
          <w:lang w:val="en-US"/>
        </w:rPr>
        <w:t>ProLong</w:t>
      </w:r>
      <w:proofErr w:type="spellEnd"/>
      <w:r w:rsidRPr="00534DA6">
        <w:rPr>
          <w:rFonts w:ascii="Calibri" w:eastAsia="Calibri" w:hAnsi="Calibri" w:cs="Calibri"/>
          <w:sz w:val="24"/>
          <w:szCs w:val="24"/>
          <w:lang w:val="en-US"/>
        </w:rPr>
        <w:t xml:space="preserve"> Gold Antifade </w:t>
      </w:r>
      <w:proofErr w:type="spellStart"/>
      <w:r w:rsidRPr="00534DA6">
        <w:rPr>
          <w:rFonts w:ascii="Calibri" w:eastAsia="Calibri" w:hAnsi="Calibri" w:cs="Calibri"/>
          <w:sz w:val="24"/>
          <w:szCs w:val="24"/>
          <w:lang w:val="en-US"/>
        </w:rPr>
        <w:t>Mountant</w:t>
      </w:r>
      <w:proofErr w:type="spellEnd"/>
      <w:r w:rsidRPr="00534DA6">
        <w:rPr>
          <w:rFonts w:ascii="Calibri" w:eastAsia="Calibri" w:hAnsi="Calibri" w:cs="Calibri"/>
          <w:sz w:val="24"/>
          <w:szCs w:val="24"/>
          <w:lang w:val="en-US"/>
        </w:rPr>
        <w:t xml:space="preserve"> with DAPI (Thermo Fischer Scientific). Image intensity measurements were performed using ImageJ software, analyzing 3-5 fields per skin tissue section. The relative image intensity was calculated as the mean intensity per selected image area.</w:t>
      </w:r>
    </w:p>
    <w:p w14:paraId="000000BD" w14:textId="77777777" w:rsidR="0046705A" w:rsidRPr="00534DA6" w:rsidRDefault="00E67B44" w:rsidP="000E4817">
      <w:pPr>
        <w:pStyle w:val="Heading2"/>
        <w:rPr>
          <w:lang w:val="en-US"/>
        </w:rPr>
      </w:pPr>
      <w:bookmarkStart w:id="17" w:name="_b880epd85x6c" w:colFirst="0" w:colLast="0"/>
      <w:bookmarkStart w:id="18" w:name="_Toc144374721"/>
      <w:bookmarkEnd w:id="17"/>
      <w:r w:rsidRPr="00534DA6">
        <w:rPr>
          <w:lang w:val="en-US"/>
        </w:rPr>
        <w:t>Immunohistochemistry for caspase-1 and CCL20</w:t>
      </w:r>
      <w:bookmarkEnd w:id="18"/>
    </w:p>
    <w:p w14:paraId="000000BF" w14:textId="3A040079" w:rsidR="0046705A" w:rsidRPr="00534DA6" w:rsidRDefault="00E67B44">
      <w:pPr>
        <w:jc w:val="both"/>
        <w:rPr>
          <w:rFonts w:ascii="Calibri" w:eastAsia="Calibri" w:hAnsi="Calibri" w:cs="Calibri"/>
          <w:sz w:val="24"/>
          <w:szCs w:val="24"/>
          <w:lang w:val="en-US"/>
        </w:rPr>
      </w:pPr>
      <w:r w:rsidRPr="00534DA6">
        <w:rPr>
          <w:rFonts w:ascii="Calibri" w:eastAsia="Calibri" w:hAnsi="Calibri" w:cs="Calibri"/>
          <w:sz w:val="24"/>
          <w:szCs w:val="24"/>
          <w:lang w:val="en-US"/>
        </w:rPr>
        <w:t>Biopsies obtained at baseline (week 0) and week 8 were fixed in formalin and subsequently embedded in paraffin. FFPE tissue sections were heated at 60°C for 30 minutes, deparaffinized, and rehydrated. Slides were placed in PH9 antigen retrieval buffer and heated at 125°C for 30 seconds in a pressure cooker water bath. After cooling, slides were treated with 3% H</w:t>
      </w:r>
      <w:r w:rsidRPr="00534DA6">
        <w:rPr>
          <w:rFonts w:ascii="Calibri" w:eastAsia="Calibri" w:hAnsi="Calibri" w:cs="Calibri"/>
          <w:sz w:val="24"/>
          <w:szCs w:val="24"/>
          <w:vertAlign w:val="subscript"/>
          <w:lang w:val="en-US"/>
        </w:rPr>
        <w:t>2</w:t>
      </w:r>
      <w:r w:rsidRPr="00534DA6">
        <w:rPr>
          <w:rFonts w:ascii="Calibri" w:eastAsia="Calibri" w:hAnsi="Calibri" w:cs="Calibri"/>
          <w:sz w:val="24"/>
          <w:szCs w:val="24"/>
          <w:lang w:val="en-US"/>
        </w:rPr>
        <w:t>O</w:t>
      </w:r>
      <w:r w:rsidRPr="00534DA6">
        <w:rPr>
          <w:rFonts w:ascii="Calibri" w:eastAsia="Calibri" w:hAnsi="Calibri" w:cs="Calibri"/>
          <w:sz w:val="24"/>
          <w:szCs w:val="24"/>
          <w:vertAlign w:val="subscript"/>
          <w:lang w:val="en-US"/>
        </w:rPr>
        <w:t>2</w:t>
      </w:r>
      <w:r w:rsidRPr="00534DA6">
        <w:rPr>
          <w:rFonts w:ascii="Calibri" w:eastAsia="Calibri" w:hAnsi="Calibri" w:cs="Calibri"/>
          <w:sz w:val="24"/>
          <w:szCs w:val="24"/>
          <w:lang w:val="en-US"/>
        </w:rPr>
        <w:t xml:space="preserve"> (5 minutes) and blocked using 10% goat serum (30 minutes). Overnight incubation at 4°C was then performed using anti-human primary antibodies anti-Caspase 1 (Atlas Antibodies, Cat # HPA003056) and anti-CCL20 (</w:t>
      </w:r>
      <w:proofErr w:type="spellStart"/>
      <w:r w:rsidRPr="00534DA6">
        <w:rPr>
          <w:rFonts w:ascii="Calibri" w:eastAsia="Calibri" w:hAnsi="Calibri" w:cs="Calibri"/>
          <w:sz w:val="24"/>
          <w:szCs w:val="24"/>
          <w:lang w:val="en-US"/>
        </w:rPr>
        <w:t>Sinobiological</w:t>
      </w:r>
      <w:proofErr w:type="spellEnd"/>
      <w:r w:rsidRPr="00534DA6">
        <w:rPr>
          <w:rFonts w:ascii="Calibri" w:eastAsia="Calibri" w:hAnsi="Calibri" w:cs="Calibri"/>
          <w:sz w:val="24"/>
          <w:szCs w:val="24"/>
          <w:lang w:val="en-US"/>
        </w:rPr>
        <w:t>, Cat # 10485-T24). Slides were then washed, and exposed to secondary antibody, peroxidase (30 minutes), and diaminobenzidine substrate. Counterstain with hematoxylin and dehydration was done, and slides were mounted and viewed under the microscope.</w:t>
      </w:r>
    </w:p>
    <w:p w14:paraId="000000C0" w14:textId="4BA361C9" w:rsidR="0046705A" w:rsidRPr="00534DA6" w:rsidRDefault="007E359D" w:rsidP="000E4817">
      <w:pPr>
        <w:pStyle w:val="Heading2"/>
        <w:rPr>
          <w:lang w:val="en-US"/>
        </w:rPr>
      </w:pPr>
      <w:bookmarkStart w:id="19" w:name="_wkacavt38n4x" w:colFirst="0" w:colLast="0"/>
      <w:bookmarkStart w:id="20" w:name="_Toc144374722"/>
      <w:bookmarkEnd w:id="19"/>
      <w:r w:rsidRPr="007E359D">
        <w:rPr>
          <w:lang w:val="en-US"/>
        </w:rPr>
        <w:t>Targeted RNA-sequencing</w:t>
      </w:r>
      <w:bookmarkEnd w:id="20"/>
      <w:r w:rsidRPr="007E359D">
        <w:rPr>
          <w:lang w:val="en-US"/>
        </w:rPr>
        <w:t xml:space="preserve"> </w:t>
      </w:r>
    </w:p>
    <w:p w14:paraId="000000C2" w14:textId="5E29AFAB" w:rsidR="0046705A" w:rsidRDefault="00E67B44">
      <w:pPr>
        <w:jc w:val="both"/>
        <w:rPr>
          <w:rFonts w:ascii="Calibri" w:eastAsia="Calibri" w:hAnsi="Calibri" w:cs="Calibri"/>
          <w:sz w:val="24"/>
          <w:szCs w:val="24"/>
          <w:lang w:val="en-US"/>
        </w:rPr>
      </w:pPr>
      <w:r w:rsidRPr="00534DA6">
        <w:rPr>
          <w:rFonts w:ascii="Calibri" w:eastAsia="Calibri" w:hAnsi="Calibri" w:cs="Calibri"/>
          <w:sz w:val="24"/>
          <w:szCs w:val="24"/>
          <w:lang w:val="en-US"/>
        </w:rPr>
        <w:t xml:space="preserve">RNA was extracted from FFPE skin biopsies (baseline and week 8) using the </w:t>
      </w:r>
      <w:proofErr w:type="spellStart"/>
      <w:r w:rsidRPr="00534DA6">
        <w:rPr>
          <w:rFonts w:ascii="Calibri" w:eastAsia="Calibri" w:hAnsi="Calibri" w:cs="Calibri"/>
          <w:sz w:val="24"/>
          <w:szCs w:val="24"/>
          <w:lang w:val="en-US"/>
        </w:rPr>
        <w:t>R</w:t>
      </w:r>
      <w:r w:rsidR="00563A93" w:rsidRPr="00534DA6">
        <w:rPr>
          <w:rFonts w:ascii="Calibri" w:eastAsia="Calibri" w:hAnsi="Calibri" w:cs="Calibri"/>
          <w:sz w:val="24"/>
          <w:szCs w:val="24"/>
          <w:lang w:val="en-US"/>
        </w:rPr>
        <w:t>n</w:t>
      </w:r>
      <w:r w:rsidRPr="00534DA6">
        <w:rPr>
          <w:rFonts w:ascii="Calibri" w:eastAsia="Calibri" w:hAnsi="Calibri" w:cs="Calibri"/>
          <w:sz w:val="24"/>
          <w:szCs w:val="24"/>
          <w:lang w:val="en-US"/>
        </w:rPr>
        <w:t>easy</w:t>
      </w:r>
      <w:proofErr w:type="spellEnd"/>
      <w:r w:rsidRPr="00534DA6">
        <w:rPr>
          <w:rFonts w:ascii="Calibri" w:eastAsia="Calibri" w:hAnsi="Calibri" w:cs="Calibri"/>
          <w:sz w:val="24"/>
          <w:szCs w:val="24"/>
          <w:lang w:val="en-US"/>
        </w:rPr>
        <w:t xml:space="preserve"> FFPE kit (Qiagen GmbH, Hilden, Germany) as per the manufacturer</w:t>
      </w:r>
      <w:r w:rsidR="00563A93">
        <w:rPr>
          <w:rFonts w:ascii="Calibri" w:eastAsia="Calibri" w:hAnsi="Calibri" w:cs="Calibri"/>
          <w:sz w:val="24"/>
          <w:szCs w:val="24"/>
          <w:lang w:val="en-US"/>
        </w:rPr>
        <w:t>’</w:t>
      </w:r>
      <w:r w:rsidRPr="00534DA6">
        <w:rPr>
          <w:rFonts w:ascii="Calibri" w:eastAsia="Calibri" w:hAnsi="Calibri" w:cs="Calibri"/>
          <w:sz w:val="24"/>
          <w:szCs w:val="24"/>
          <w:lang w:val="en-US"/>
        </w:rPr>
        <w:t xml:space="preserve">s instructions. RNA quality was </w:t>
      </w:r>
      <w:r w:rsidR="000E4817" w:rsidRPr="00534DA6">
        <w:rPr>
          <w:rFonts w:ascii="Calibri" w:eastAsia="Calibri" w:hAnsi="Calibri" w:cs="Calibri"/>
          <w:sz w:val="24"/>
          <w:szCs w:val="24"/>
          <w:lang w:val="en-US"/>
        </w:rPr>
        <w:t>checked,</w:t>
      </w:r>
      <w:r w:rsidRPr="00534DA6">
        <w:rPr>
          <w:rFonts w:ascii="Calibri" w:eastAsia="Calibri" w:hAnsi="Calibri" w:cs="Calibri"/>
          <w:sz w:val="24"/>
          <w:szCs w:val="24"/>
          <w:lang w:val="en-US"/>
        </w:rPr>
        <w:t xml:space="preserve"> and RNA was quantified using a </w:t>
      </w:r>
      <w:proofErr w:type="spellStart"/>
      <w:r w:rsidRPr="00534DA6">
        <w:rPr>
          <w:rFonts w:ascii="Calibri" w:eastAsia="Calibri" w:hAnsi="Calibri" w:cs="Calibri"/>
          <w:sz w:val="24"/>
          <w:szCs w:val="24"/>
          <w:lang w:val="en-US"/>
        </w:rPr>
        <w:t>NanoDrop</w:t>
      </w:r>
      <w:proofErr w:type="spellEnd"/>
      <w:r w:rsidRPr="00534DA6">
        <w:rPr>
          <w:rFonts w:ascii="Calibri" w:eastAsia="Calibri" w:hAnsi="Calibri" w:cs="Calibri"/>
          <w:sz w:val="24"/>
          <w:szCs w:val="24"/>
          <w:lang w:val="en-US"/>
        </w:rPr>
        <w:t xml:space="preserve"> spectrophotometer (</w:t>
      </w:r>
      <w:proofErr w:type="spellStart"/>
      <w:r w:rsidRPr="00534DA6">
        <w:rPr>
          <w:rFonts w:ascii="Calibri" w:eastAsia="Calibri" w:hAnsi="Calibri" w:cs="Calibri"/>
          <w:sz w:val="24"/>
          <w:szCs w:val="24"/>
          <w:lang w:val="en-US"/>
        </w:rPr>
        <w:t>NanoDrop</w:t>
      </w:r>
      <w:proofErr w:type="spellEnd"/>
      <w:r w:rsidRPr="00534DA6">
        <w:rPr>
          <w:rFonts w:ascii="Calibri" w:eastAsia="Calibri" w:hAnsi="Calibri" w:cs="Calibri"/>
          <w:sz w:val="24"/>
          <w:szCs w:val="24"/>
          <w:lang w:val="en-US"/>
        </w:rPr>
        <w:t xml:space="preserve"> Technologies, </w:t>
      </w:r>
      <w:proofErr w:type="spellStart"/>
      <w:r w:rsidRPr="00534DA6">
        <w:rPr>
          <w:rFonts w:ascii="Calibri" w:eastAsia="Calibri" w:hAnsi="Calibri" w:cs="Calibri"/>
          <w:sz w:val="24"/>
          <w:szCs w:val="24"/>
          <w:lang w:val="en-US"/>
        </w:rPr>
        <w:t>Oxfordshire</w:t>
      </w:r>
      <w:proofErr w:type="spellEnd"/>
      <w:r w:rsidRPr="00534DA6">
        <w:rPr>
          <w:rFonts w:ascii="Calibri" w:eastAsia="Calibri" w:hAnsi="Calibri" w:cs="Calibri"/>
          <w:sz w:val="24"/>
          <w:szCs w:val="24"/>
          <w:lang w:val="en-US"/>
        </w:rPr>
        <w:t xml:space="preserve">, UK). The RNA was then analyzed with the </w:t>
      </w:r>
      <w:proofErr w:type="spellStart"/>
      <w:r w:rsidRPr="00534DA6">
        <w:rPr>
          <w:rFonts w:ascii="Calibri" w:eastAsia="Calibri" w:hAnsi="Calibri" w:cs="Calibri"/>
          <w:sz w:val="24"/>
          <w:szCs w:val="24"/>
          <w:lang w:val="en-US"/>
        </w:rPr>
        <w:t>nCounter</w:t>
      </w:r>
      <w:proofErr w:type="spellEnd"/>
      <w:r w:rsidRPr="00534DA6">
        <w:rPr>
          <w:rFonts w:ascii="Calibri" w:eastAsia="Calibri" w:hAnsi="Calibri" w:cs="Calibri"/>
          <w:sz w:val="24"/>
          <w:szCs w:val="24"/>
          <w:lang w:val="en-US"/>
        </w:rPr>
        <w:t>® Human Immunology panel (</w:t>
      </w:r>
      <w:proofErr w:type="spellStart"/>
      <w:r w:rsidRPr="00534DA6">
        <w:rPr>
          <w:rFonts w:ascii="Calibri" w:eastAsia="Calibri" w:hAnsi="Calibri" w:cs="Calibri"/>
          <w:sz w:val="24"/>
          <w:szCs w:val="24"/>
          <w:lang w:val="en-US"/>
        </w:rPr>
        <w:t>Nanostring</w:t>
      </w:r>
      <w:proofErr w:type="spellEnd"/>
      <w:r w:rsidRPr="00534DA6">
        <w:rPr>
          <w:rFonts w:ascii="Calibri" w:eastAsia="Calibri" w:hAnsi="Calibri" w:cs="Calibri"/>
          <w:sz w:val="24"/>
          <w:szCs w:val="24"/>
          <w:lang w:val="en-US"/>
        </w:rPr>
        <w:t xml:space="preserve"> Technologies, Seattle, USA) following instructions from the supplier. </w:t>
      </w:r>
    </w:p>
    <w:p w14:paraId="1748ECDC" w14:textId="0C1FF14A" w:rsidR="007E359D" w:rsidRDefault="007E359D" w:rsidP="007E359D">
      <w:pPr>
        <w:jc w:val="both"/>
        <w:rPr>
          <w:rFonts w:ascii="Calibri" w:eastAsia="Calibri" w:hAnsi="Calibri" w:cs="Calibri"/>
          <w:sz w:val="24"/>
          <w:szCs w:val="24"/>
          <w:lang w:val="en-US"/>
        </w:rPr>
      </w:pPr>
      <w:r w:rsidRPr="00534DA6">
        <w:rPr>
          <w:rFonts w:ascii="Calibri" w:eastAsia="Calibri" w:hAnsi="Calibri" w:cs="Calibri"/>
          <w:sz w:val="24"/>
          <w:szCs w:val="24"/>
          <w:lang w:val="en-US"/>
        </w:rPr>
        <w:t xml:space="preserve">Statistical analyses and visualization of data were performed using </w:t>
      </w:r>
      <w:proofErr w:type="spellStart"/>
      <w:r w:rsidRPr="00534DA6">
        <w:rPr>
          <w:rFonts w:ascii="Calibri" w:eastAsia="Calibri" w:hAnsi="Calibri" w:cs="Calibri"/>
          <w:sz w:val="24"/>
          <w:szCs w:val="24"/>
          <w:lang w:val="en-US"/>
        </w:rPr>
        <w:t>R</w:t>
      </w:r>
      <w:r w:rsidR="00563A93" w:rsidRPr="00534DA6">
        <w:rPr>
          <w:rFonts w:ascii="Calibri" w:eastAsia="Calibri" w:hAnsi="Calibri" w:cs="Calibri"/>
          <w:sz w:val="24"/>
          <w:szCs w:val="24"/>
          <w:lang w:val="en-US"/>
        </w:rPr>
        <w:t>s</w:t>
      </w:r>
      <w:r w:rsidRPr="00534DA6">
        <w:rPr>
          <w:rFonts w:ascii="Calibri" w:eastAsia="Calibri" w:hAnsi="Calibri" w:cs="Calibri"/>
          <w:sz w:val="24"/>
          <w:szCs w:val="24"/>
          <w:lang w:val="en-US"/>
        </w:rPr>
        <w:t>tudio</w:t>
      </w:r>
      <w:proofErr w:type="spellEnd"/>
      <w:r w:rsidRPr="00534DA6">
        <w:rPr>
          <w:rFonts w:ascii="Calibri" w:eastAsia="Calibri" w:hAnsi="Calibri" w:cs="Calibri"/>
          <w:sz w:val="24"/>
          <w:szCs w:val="24"/>
          <w:lang w:val="en-US"/>
        </w:rPr>
        <w:t xml:space="preserve"> (v4.1.0) and GraphPad Prism (v9.0.0). Differential gene analysis was conducted using the R limma</w:t>
      </w:r>
      <w:r>
        <w:rPr>
          <w:rFonts w:ascii="Calibri" w:eastAsia="Calibri" w:hAnsi="Calibri" w:cs="Calibri"/>
          <w:sz w:val="24"/>
          <w:szCs w:val="24"/>
          <w:lang w:val="en-US"/>
        </w:rPr>
        <w:fldChar w:fldCharType="begin"/>
      </w:r>
      <w:r>
        <w:rPr>
          <w:rFonts w:ascii="Calibri" w:eastAsia="Calibri" w:hAnsi="Calibri" w:cs="Calibri"/>
          <w:sz w:val="24"/>
          <w:szCs w:val="24"/>
          <w:lang w:val="en-US"/>
        </w:rPr>
        <w:instrText xml:space="preserve"> ADDIN ZOTERO_ITEM CSL_CITATION {"citationID":"tggzXoLM","properties":{"formattedCitation":"\\super 13\\nosupersub{}","plainCitation":"13","noteIndex":0},"citationItems":[{"id":1233,"uris":["http://zotero.org/users/5044956/items/83LLD8SX"],"itemData":{"id":1233,"type":"article-journal","abstract":"limma is an R/Bioconductor software package that provides an integrated solution for analysing data from gene expression experiments. It contains rich features for handling complex experimental designs and for information borrowing to overcome the problem of small sample sizes. Over the past decade, limma has been a popular choice for gene discovery through differential expression analyses of microarray and high-throughput PCR data. The package contains particularly strong facilities for reading, normalizing and exploring such data. Recently, the capabilities of limma have been significantly expanded in two important directions. First, the package can now perform both differential expression and differential splicing analyses of RNA sequencing (RNA-seq) data. All the downstream analysis tools previously restricted to microarray data are now available for RNA-seq as well. These capabilities allow users to analyse both RNA-seq and microarray data with very similar pipelines. Second, the package is now able to go past the traditional gene-wise expression analyses in a variety of ways, analysing expression profiles in terms of co-regulated sets of genes or in terms of higher-order expression signatures. This provides enhanced possibilities for biological interpretation of gene expression differences. This article reviews the philosophy and design of the limma package, summarizing both new and historical features, with an emphasis on recent enhancements and features that have not been previously described.","container-title":"Nucleic Acids Research","DOI":"10.1093/nar/gkv007","ISSN":"1362-4962","issue":"7","journalAbbreviation":"Nucleic Acids Res","language":"eng","note":"PMID: 25605792\nPMCID: PMC4402510","page":"e47","source":"PubMed","title":"limma powers differential expression analyses for RNA-sequencing and microarray studies","volume":"43","author":[{"family":"Ritchie","given":"Matthew E."},{"family":"Phipson","given":"Belinda"},{"family":"Wu","given":"Di"},{"family":"Hu","given":"Yifang"},{"family":"Law","given":"Charity W."},{"family":"Shi","given":"Wei"},{"family":"Smyth","given":"Gordon K."}],"issued":{"date-parts":[["2015",4,20]]}}}],"schema":"https://github.com/citation-style-language/schema/raw/master/csl-citation.json"} </w:instrText>
      </w:r>
      <w:r>
        <w:rPr>
          <w:rFonts w:ascii="Calibri" w:eastAsia="Calibri" w:hAnsi="Calibri" w:cs="Calibri"/>
          <w:sz w:val="24"/>
          <w:szCs w:val="24"/>
          <w:lang w:val="en-US"/>
        </w:rPr>
        <w:fldChar w:fldCharType="separate"/>
      </w:r>
      <w:r w:rsidRPr="008E191C">
        <w:rPr>
          <w:rFonts w:ascii="Calibri" w:hAnsi="Calibri" w:cs="Calibri"/>
          <w:sz w:val="24"/>
          <w:vertAlign w:val="superscript"/>
          <w:lang w:val="en-US"/>
        </w:rPr>
        <w:t>13</w:t>
      </w:r>
      <w:r>
        <w:rPr>
          <w:rFonts w:ascii="Calibri" w:eastAsia="Calibri" w:hAnsi="Calibri" w:cs="Calibri"/>
          <w:sz w:val="24"/>
          <w:szCs w:val="24"/>
          <w:lang w:val="en-US"/>
        </w:rPr>
        <w:fldChar w:fldCharType="end"/>
      </w:r>
      <w:r w:rsidRPr="00534DA6">
        <w:rPr>
          <w:rFonts w:ascii="Calibri" w:eastAsia="Calibri" w:hAnsi="Calibri" w:cs="Calibri"/>
          <w:sz w:val="24"/>
          <w:szCs w:val="24"/>
          <w:lang w:val="en-US"/>
        </w:rPr>
        <w:t xml:space="preserve"> package v.3.48.0 and p-values were from multiple testing corrected using </w:t>
      </w:r>
      <w:proofErr w:type="spellStart"/>
      <w:r w:rsidRPr="00534DA6">
        <w:rPr>
          <w:rFonts w:ascii="Calibri" w:eastAsia="Calibri" w:hAnsi="Calibri" w:cs="Calibri"/>
          <w:sz w:val="24"/>
          <w:szCs w:val="24"/>
          <w:lang w:val="en-US"/>
        </w:rPr>
        <w:t>Benjamini</w:t>
      </w:r>
      <w:proofErr w:type="spellEnd"/>
      <w:r w:rsidRPr="00534DA6">
        <w:rPr>
          <w:rFonts w:ascii="Calibri" w:eastAsia="Calibri" w:hAnsi="Calibri" w:cs="Calibri"/>
          <w:sz w:val="24"/>
          <w:szCs w:val="24"/>
          <w:lang w:val="en-US"/>
        </w:rPr>
        <w:t xml:space="preserve"> and Hochberg</w:t>
      </w:r>
      <w:r>
        <w:rPr>
          <w:rFonts w:ascii="Calibri" w:eastAsia="Calibri" w:hAnsi="Calibri" w:cs="Calibri"/>
          <w:sz w:val="24"/>
          <w:szCs w:val="24"/>
          <w:lang w:val="en-US"/>
        </w:rPr>
        <w:fldChar w:fldCharType="begin"/>
      </w:r>
      <w:r>
        <w:rPr>
          <w:rFonts w:ascii="Calibri" w:eastAsia="Calibri" w:hAnsi="Calibri" w:cs="Calibri"/>
          <w:sz w:val="24"/>
          <w:szCs w:val="24"/>
          <w:lang w:val="en-US"/>
        </w:rPr>
        <w:instrText xml:space="preserve"> ADDIN ZOTERO_ITEM CSL_CITATION {"citationID":"cCeERQGo","properties":{"formattedCitation":"\\super 10\\nosupersub{}","plainCitation":"10","noteIndex":0},"citationItems":[{"id":1231,"uris":["http://zotero.org/users/5044956/items/E6LI6FLJ"],"itemData":{"id":1231,"type":"article-journal","abstract":"The common approach to the multiplicity problem calls for controlling the familywise error rate (FWER). This approach, though, has faults, and we point out a few. A different approach to problems of multiple significance testing is presented. It calls for controlling the expected proportion of falsely rejected hypotheses — the false discovery rate. This error rate is equivalent to the FWER when all hypotheses are true but is smaller otherwise. Therefore, in problems where the control of the false discovery rate rather than that of the FWER is desired, there is potential for a gain in power. A simple sequential Bonferronitype procedure is proved to control the false discovery rate for independent test statistics, and a simulation study shows that the gain in power is substantial. The use of the new procedure and the appropriateness of the criterion are illustrated with examples.","container-title":"Journal of the Royal Statistical Society: Series B (Methodological)","DOI":"10.1111/j.2517-6161.1995.tb02031.x","ISSN":"2517-6161","issue":"1","language":"en","license":"© 1995 Royal Statistical Society","note":"_eprint: https://onlinelibrary.wiley.com/doi/pdf/10.1111/j.2517-6161.1995.tb02031.x","page":"289-300","source":"Wiley Online Library","title":"Controlling the False Discovery Rate: A Practical and Powerful Approach to Multiple Testing","title-short":"Controlling the False Discovery Rate","volume":"57","author":[{"family":"Benjamini","given":"Yoav"},{"family":"Hochberg","given":"Yosef"}],"issued":{"date-parts":[["1995"]]}}}],"schema":"https://github.com/citation-style-language/schema/raw/master/csl-citation.json"} </w:instrText>
      </w:r>
      <w:r>
        <w:rPr>
          <w:rFonts w:ascii="Calibri" w:eastAsia="Calibri" w:hAnsi="Calibri" w:cs="Calibri"/>
          <w:sz w:val="24"/>
          <w:szCs w:val="24"/>
          <w:lang w:val="en-US"/>
        </w:rPr>
        <w:fldChar w:fldCharType="separate"/>
      </w:r>
      <w:r w:rsidRPr="000004F0">
        <w:rPr>
          <w:rFonts w:ascii="Calibri" w:hAnsi="Calibri" w:cs="Calibri"/>
          <w:sz w:val="24"/>
          <w:vertAlign w:val="superscript"/>
          <w:lang w:val="en-US"/>
        </w:rPr>
        <w:t>10</w:t>
      </w:r>
      <w:r>
        <w:rPr>
          <w:rFonts w:ascii="Calibri" w:eastAsia="Calibri" w:hAnsi="Calibri" w:cs="Calibri"/>
          <w:sz w:val="24"/>
          <w:szCs w:val="24"/>
          <w:lang w:val="en-US"/>
        </w:rPr>
        <w:fldChar w:fldCharType="end"/>
      </w:r>
      <w:r w:rsidRPr="00534DA6">
        <w:rPr>
          <w:rFonts w:ascii="Calibri" w:eastAsia="Calibri" w:hAnsi="Calibri" w:cs="Calibri"/>
          <w:sz w:val="24"/>
          <w:szCs w:val="24"/>
          <w:lang w:val="en-US"/>
        </w:rPr>
        <w:t xml:space="preserve"> False Discovery Rate. If not stated otherwise, all other p-values were calculated using unpaired two-tailed t-test. Significant differences were annotated with asterisks: P&lt;=0.</w:t>
      </w:r>
      <w:proofErr w:type="gramStart"/>
      <w:r w:rsidRPr="00534DA6">
        <w:rPr>
          <w:rFonts w:ascii="Calibri" w:eastAsia="Calibri" w:hAnsi="Calibri" w:cs="Calibri"/>
          <w:sz w:val="24"/>
          <w:szCs w:val="24"/>
          <w:lang w:val="en-US"/>
        </w:rPr>
        <w:t>05:*</w:t>
      </w:r>
      <w:proofErr w:type="gramEnd"/>
      <w:r w:rsidRPr="00534DA6">
        <w:rPr>
          <w:rFonts w:ascii="Calibri" w:eastAsia="Calibri" w:hAnsi="Calibri" w:cs="Calibri"/>
          <w:sz w:val="24"/>
          <w:szCs w:val="24"/>
          <w:lang w:val="en-US"/>
        </w:rPr>
        <w:t>, P&lt;0.01:**, P&lt;0.001:***, P&lt;0.0001:****.</w:t>
      </w:r>
    </w:p>
    <w:p w14:paraId="1B90A64F" w14:textId="77777777" w:rsidR="007E359D" w:rsidRPr="000E4817" w:rsidRDefault="007E359D">
      <w:pPr>
        <w:jc w:val="both"/>
        <w:rPr>
          <w:rFonts w:ascii="Calibri" w:eastAsia="Calibri" w:hAnsi="Calibri" w:cs="Calibri"/>
          <w:strike/>
          <w:sz w:val="24"/>
          <w:szCs w:val="24"/>
          <w:highlight w:val="yellow"/>
          <w:lang w:val="en-US"/>
        </w:rPr>
      </w:pPr>
    </w:p>
    <w:p w14:paraId="000000C3" w14:textId="3B486F20" w:rsidR="0046705A" w:rsidRPr="00534DA6" w:rsidRDefault="000E4817" w:rsidP="000E4817">
      <w:pPr>
        <w:pStyle w:val="Heading2"/>
        <w:rPr>
          <w:lang w:val="en-US"/>
        </w:rPr>
      </w:pPr>
      <w:bookmarkStart w:id="21" w:name="_9bk19wedw9v5" w:colFirst="0" w:colLast="0"/>
      <w:bookmarkStart w:id="22" w:name="_Toc144374723"/>
      <w:bookmarkEnd w:id="21"/>
      <w:r>
        <w:rPr>
          <w:lang w:val="en-US"/>
        </w:rPr>
        <w:lastRenderedPageBreak/>
        <w:t>External Bulk RNA</w:t>
      </w:r>
      <w:r w:rsidR="00E24D15">
        <w:rPr>
          <w:lang w:val="en-US"/>
        </w:rPr>
        <w:t>-</w:t>
      </w:r>
      <w:r>
        <w:rPr>
          <w:lang w:val="en-US"/>
        </w:rPr>
        <w:t>seq PRP profile</w:t>
      </w:r>
      <w:r>
        <w:rPr>
          <w:lang w:val="en-US"/>
        </w:rPr>
        <w:fldChar w:fldCharType="begin"/>
      </w:r>
      <w:r>
        <w:rPr>
          <w:lang w:val="en-US"/>
        </w:rPr>
        <w:instrText xml:space="preserve"> ADDIN ZOTERO_ITEM CSL_CITATION {"citationID":"a7LSqy9X","properties":{"formattedCitation":"\\super 4\\nosupersub{}","plainCitation":"4","noteIndex":0},"citationItems":[{"id":1150,"uris":["http://zotero.org/users/5044956/items/RNAHM22D"],"itemData":{"id":1150,"type":"article-journal","abstract":"BACKGROUND: The pathogenesis of pityriasis rubra pilaris (PRP) is not completely understood, but interleukin (IL)-17 has been shown to play a critical role. There are no reliable immunomodulatory agents to treat PRP. We conducted an open-label, single-arm clinical trial of secukinumab, a monoclonal antibody that inhibits IL-17A, for the treatment of PRP.\nOBJECTIVES: To evaluate the clinical efficacy of secukinumab and define the transcriptomic landscape of PRP and its response to IL-17A blockade.\nMETHODS: Twelve patients with PRP were recruited for an open-label trial of secukinumab. Patients received a 24-week course of secukinumab. The primary endpoint was a ≥ 75% reduction in Psoriasis Area and Severity Index (PASI 75) from baseline to week 28. Secondary endpoints included PASI 90, change in Physician's Global Assessment (PGA), and change in Dermatology Life Quality Index (DLQI). RNA sequencing was performed on lesional and nonlesional skin biopsies obtained at baseline and week 2. Sample groups were compared to identify differential gene expression and pathway enrichment. This trial was registered with ClinicalTrials.gov: 'Cosentyx (secukinumab) for the treatment of adult onset pityriasis rubra pilaris' - NCT03342573.\nRESULTS: At week 28, six of 11 patients (55%) achieved PASI 75, and three patients (27%) achieved PASI 90. PGA (P = 0.008) and DLQI scores (P = 0.010) showed significant improvement with treatment. No serious treatment-related adverse events were encountered. Treatment with secukinumab normalized transcriptional differences between lesional and nonlesional skin. Transcriptomic data from nonresponsive patients suggest that overactivity of innate immune pathways may be driving resistance to secukinumab.\nCONCLUSIONS: Secukinumab appears to be an effective treatment for PRP and warrants further investigation. PRP is a transcriptionally heterogeneous disease, reflecting its variable response to therapy. Agents targeting other IL-17 isoforms and innate immune mediators should be considered for future clinical trials. What is already known about this topic? The pathogenesis of pityriasis rubra pilaris is incompletely understood. Successful treatment has been reported with a variety of immunomodulatory agents, but disease is often refractory to therapy. Interleukin (IL)-17 is thought to drive keratinocyte proliferation and vascular dysfunction in this disease. A previous trial demonstrated efficacy of the anti-IL-17A drug ixekizumab for pityriasis rubra pilaris. What does this study add? Herein we describe the findings of a clinical trial of secukinumab, an anti-IL-17A monoclonal antibody, for the treatment of pityriasis rubra pilaris. Secukinumab was effective in treating pityriasis rubra pilaris. Our transcriptomic data give new insight into the expressional changes that occur in response to secukinumab and suggest mechanisms of treatment resistance.","container-title":"The British Journal of Dermatology","DOI":"10.1111/bjd.21708","ISSN":"1365-2133","issue":"5","journalAbbreviation":"Br J Dermatol","language":"eng","note":"PMID: 35701384","page":"650-658","source":"PubMed","title":"Secukinumab for the treatment of adult-onset pityriasis rubra pilaris: a single-arm clinical trial with transcriptomic analysis","title-short":"Secukinumab for the treatment of adult-onset pityriasis rubra pilaris","volume":"187","author":[{"family":"Boudreaux","given":"Blake W."},{"family":"Pincelli","given":"Thais P."},{"family":"Bhullar","given":"Puneet K."},{"family":"Patel","given":"Meera H."},{"family":"Brumfiel","given":"Caitlin M."},{"family":"Li","given":"Xing"},{"family":"Heckman","given":"Michael G."},{"family":"Pittelkow","given":"Mark R."},{"family":"Mangold","given":"Aaron R."},{"family":"Sluzevich","given":"Jason C."}],"issued":{"date-parts":[["2022",11]]}}}],"schema":"https://github.com/citation-style-language/schema/raw/master/csl-citation.json"} </w:instrText>
      </w:r>
      <w:r>
        <w:rPr>
          <w:lang w:val="en-US"/>
        </w:rPr>
        <w:fldChar w:fldCharType="separate"/>
      </w:r>
      <w:r w:rsidRPr="000004F0">
        <w:rPr>
          <w:vertAlign w:val="superscript"/>
          <w:lang w:val="en-US"/>
        </w:rPr>
        <w:t>4</w:t>
      </w:r>
      <w:r>
        <w:rPr>
          <w:lang w:val="en-US"/>
        </w:rPr>
        <w:fldChar w:fldCharType="end"/>
      </w:r>
      <w:r>
        <w:rPr>
          <w:lang w:val="en-US"/>
        </w:rPr>
        <w:t xml:space="preserve"> analysis</w:t>
      </w:r>
      <w:bookmarkEnd w:id="22"/>
    </w:p>
    <w:p w14:paraId="000000C4" w14:textId="77777777" w:rsidR="0046705A" w:rsidRPr="00534DA6" w:rsidRDefault="00E67B44" w:rsidP="000E4817">
      <w:pPr>
        <w:pStyle w:val="Heading3"/>
        <w:rPr>
          <w:lang w:val="en-US"/>
        </w:rPr>
      </w:pPr>
      <w:bookmarkStart w:id="23" w:name="_Toc144374724"/>
      <w:r w:rsidRPr="00534DA6">
        <w:rPr>
          <w:lang w:val="en-US"/>
        </w:rPr>
        <w:t>Data Acquisition and Processing</w:t>
      </w:r>
      <w:bookmarkEnd w:id="23"/>
    </w:p>
    <w:p w14:paraId="000000C5" w14:textId="7E89E813" w:rsidR="0046705A" w:rsidRPr="00534DA6" w:rsidRDefault="00E67B44">
      <w:pPr>
        <w:jc w:val="both"/>
        <w:rPr>
          <w:rFonts w:ascii="Calibri" w:eastAsia="Calibri" w:hAnsi="Calibri" w:cs="Calibri"/>
          <w:sz w:val="24"/>
          <w:szCs w:val="24"/>
          <w:lang w:val="en-US"/>
        </w:rPr>
      </w:pPr>
      <w:r w:rsidRPr="00534DA6">
        <w:rPr>
          <w:rFonts w:ascii="Calibri" w:eastAsia="Calibri" w:hAnsi="Calibri" w:cs="Calibri"/>
          <w:sz w:val="24"/>
          <w:szCs w:val="24"/>
          <w:lang w:val="en-US"/>
        </w:rPr>
        <w:t>The bulk-RNA-seq PRP cohort used in this study is derived from Boudreaux BW et al. (PMID</w:t>
      </w:r>
      <w:r w:rsidR="00DD2B3A">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{"citationID":"Prx73Cfx","properties":{"formattedCitation":"\\super 4\\nosupersub{}","plainCitation":"4","noteIndex":0},"citationItems":[{"id":1150,"uris":["http://zotero.org/users/5044956/items/RNAHM22D"],"itemData":{"id":1150,"type":"article-journal","abstract":"BACKGROUND: The pathogenesis of pityriasis rubra pilaris (PRP) is not completely understood, but interleukin (IL)-17 has been shown to play a critical role. There are no reliable immunomodulatory agents to treat PRP. We conducted an open-label, single-arm clinical trial of secukinumab, a monoclonal antibody that inhibits IL-17A, for the treatment of PRP.\nOBJECTIVES: To evaluate the clinical efficacy of secukinumab and define the transcriptomic landscape of PRP and its response to IL-17A blockade.\nMETHODS: Twelve patients with PRP were recruited for an open-label trial of secukinumab. Patients received a 24-week course of secukinumab. The primary endpoint was a ≥ 75% reduction in Psoriasis Area and Severity Index (PASI 75) from baseline to week 28. Secondary endpoints included PASI 90, change in Physician's Global Assessment (PGA), and change in Dermatology Life Quality Index (DLQI). RNA sequencing was performed on lesional and nonlesional skin biopsies obtained at baseline and week 2. Sample groups were compared to identify differential gene expression and pathway enrichment. This trial was registered with ClinicalTrials.gov: 'Cosentyx (secukinumab) for the treatment of adult onset pityriasis rubra pilaris' - NCT03342573.\nRESULTS: At week 28, six of 11 patients (55%) achieved PASI 75, and three patients (27%) achieved PASI 90. PGA (P = 0.008) and DLQI scores (P = 0.010) showed significant improvement with treatment. No serious treatment-related adverse events were encountered. Treatment with secukinumab normalized transcriptional differences between lesional and nonlesional skin. Transcriptomic data from nonresponsive patients suggest that overactivity of innate immune pathways may be driving resistance to secukinumab.\nCONCLUSIONS: Secukinumab appears to be an effective treatment for PRP and warrants further investigation. PRP is a transcriptionally heterogeneous disease, reflecting its variable response to therapy. Agents targeting other IL-17 isoforms and innate immune mediators should be considered for future clinical trials. What is already known about this topic? The pathogenesis of pityriasis rubra pilaris is incompletely understood. Successful treatment has been reported with a variety of immunomodulatory agents, but disease is often refractory to therapy. Interleukin (IL)-17 is thought to drive keratinocyte proliferation and vascular dysfunction in this disease. A previous trial demonstrated efficacy of the anti-IL-17A drug ixekizumab for pityriasis rubra pilaris. What does this study add? Herein we describe the findings of a clinical trial of secukinumab, an anti-IL-17A monoclonal antibody, for the treatment of pityriasis rubra pilaris. Secukinumab was effective in treating pityriasis rubra pilaris. Our transcriptomic data give new insight into the expressional changes that occur in response to secukinumab and suggest mechanisms of treatment resistance.","container-title":"The British Journal of Dermatology","DOI":"10.1111/bjd.21708","ISSN":"1365-2133","issue":"5","journalAbbreviation":"Br J Dermatol","language":"eng","note":"PMID: 35701384","page":"650-658","source":"PubMed","title":"Secukinumab for the treatment of adult-onset pityriasis rubra pilaris: a single-arm clinical trial with transcriptomic analysis","title-short":"Secukinumab for the treatment of adult-onset pityriasis rubra pilaris","volume":"187","author":[{"family":"Boudreaux","given":"Blake W."},{"family":"Pincelli","given":"Thais P."},{"family":"Bhullar","given":"Puneet K."},{"family":"Patel","given":"Meera H."},{"family":"Brumfiel","given":"Caitlin M."},{"family":"Li","given":"Xing"},{"family":"Heckman","given":"Michael G."},{"family":"Pittelkow","given":"Mark R."},{"family":"Mangold","given":"Aaron R."},{"family":"Sluzevich","given":"Jason C."}],"issued":{"date-parts":[["2022",11]]}}}],"schema":"https://github.com/citation-style-language/schema/raw/master/csl-citation.json"} </w:instrText>
      </w:r>
      <w:r w:rsidR="00DD2B3A">
        <w:rPr>
          <w:rFonts w:ascii="Calibri" w:eastAsia="Calibri" w:hAnsi="Calibri" w:cs="Calibri"/>
          <w:sz w:val="24"/>
          <w:szCs w:val="24"/>
          <w:lang w:val="en-US"/>
        </w:rPr>
        <w:fldChar w:fldCharType="separate"/>
      </w:r>
      <w:r w:rsidR="00710A9B" w:rsidRPr="000004F0">
        <w:rPr>
          <w:rFonts w:ascii="Calibri" w:hAnsi="Calibri" w:cs="Calibri"/>
          <w:sz w:val="24"/>
          <w:vertAlign w:val="superscript"/>
          <w:lang w:val="en-US"/>
        </w:rPr>
        <w:t>4</w:t>
      </w:r>
      <w:r w:rsidR="00DD2B3A">
        <w:rPr>
          <w:rFonts w:ascii="Calibri" w:eastAsia="Calibri" w:hAnsi="Calibri" w:cs="Calibri"/>
          <w:sz w:val="24"/>
          <w:szCs w:val="24"/>
          <w:lang w:val="en-US"/>
        </w:rPr>
        <w:fldChar w:fldCharType="end"/>
      </w:r>
      <w:r w:rsidRPr="00534DA6">
        <w:rPr>
          <w:rFonts w:ascii="Calibri" w:eastAsia="Calibri" w:hAnsi="Calibri" w:cs="Calibri"/>
          <w:sz w:val="24"/>
          <w:szCs w:val="24"/>
          <w:lang w:val="en-US"/>
        </w:rPr>
        <w:t>). A differential expression (DE) analysis was performed on lesional versus non-lesional tissue, only with samples before treatment. This was carried out with paired samples (by patient id) using DES</w:t>
      </w:r>
      <w:r w:rsidR="00DB5903">
        <w:rPr>
          <w:rFonts w:ascii="Calibri" w:eastAsia="Calibri" w:hAnsi="Calibri" w:cs="Calibri"/>
          <w:sz w:val="24"/>
          <w:szCs w:val="24"/>
          <w:lang w:val="en-US"/>
        </w:rPr>
        <w:t>eq</w:t>
      </w:r>
      <w:r w:rsidRPr="00534DA6">
        <w:rPr>
          <w:rFonts w:ascii="Calibri" w:eastAsia="Calibri" w:hAnsi="Calibri" w:cs="Calibri"/>
          <w:sz w:val="24"/>
          <w:szCs w:val="24"/>
          <w:lang w:val="en-US"/>
        </w:rPr>
        <w:t>2</w:t>
      </w:r>
      <w:r w:rsidR="00E825CC">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{"citationID":"sT9I0ub9","properties":{"formattedCitation":"\\super 5\\nosupersub{}","plainCitation":"5","noteIndex":0},"citationItems":[{"id":344,"uris":["http://zotero.org/users/5044956/items/SKQGGFYK"],"itemData":{"id":344,"type":"article-journal","abstract":"In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http://www.bioconductor.org/packages/release/bioc/html/DESeq2.html.","container-title":"Genome Biology","DOI":"10.1186/s13059-014-0550-8","ISSN":"1474-760X","issue":"12","journalAbbreviation":"Genome Biology","page":"550","source":"BioMed Central","title":"Moderated estimation of fold change and dispersion for RNA-seq data with DESeq2","volume":"15","author":[{"family":"Love","given":"Michael I."},{"family":"Huber","given":"Wolfgang"},{"family":"Anders","given":"Simon"}],"issued":{"date-parts":[["2014",12,5]]}}}],"schema":"https://github.com/citation-style-language/schema/raw/master/csl-citation.json"} </w:instrText>
      </w:r>
      <w:r w:rsidR="00E825CC">
        <w:rPr>
          <w:rFonts w:ascii="Calibri" w:eastAsia="Calibri" w:hAnsi="Calibri" w:cs="Calibri"/>
          <w:sz w:val="24"/>
          <w:szCs w:val="24"/>
          <w:lang w:val="en-US"/>
        </w:rPr>
        <w:fldChar w:fldCharType="separate"/>
      </w:r>
      <w:r w:rsidR="00710A9B" w:rsidRPr="000004F0">
        <w:rPr>
          <w:rFonts w:ascii="Calibri" w:hAnsi="Calibri" w:cs="Calibri"/>
          <w:sz w:val="24"/>
          <w:vertAlign w:val="superscript"/>
          <w:lang w:val="en-US"/>
        </w:rPr>
        <w:t>5</w:t>
      </w:r>
      <w:r w:rsidR="00E825CC">
        <w:rPr>
          <w:rFonts w:ascii="Calibri" w:eastAsia="Calibri" w:hAnsi="Calibri" w:cs="Calibri"/>
          <w:sz w:val="24"/>
          <w:szCs w:val="24"/>
          <w:lang w:val="en-US"/>
        </w:rPr>
        <w:fldChar w:fldCharType="end"/>
      </w:r>
      <w:r w:rsidRPr="00534DA6">
        <w:rPr>
          <w:rFonts w:ascii="Calibri" w:eastAsia="Calibri" w:hAnsi="Calibri" w:cs="Calibri"/>
          <w:sz w:val="24"/>
          <w:szCs w:val="24"/>
          <w:lang w:val="en-US"/>
        </w:rPr>
        <w:t>.</w:t>
      </w:r>
    </w:p>
    <w:p w14:paraId="000000C6" w14:textId="77777777" w:rsidR="0046705A" w:rsidRPr="00534DA6" w:rsidRDefault="00E67B44" w:rsidP="000E4817">
      <w:pPr>
        <w:pStyle w:val="Heading3"/>
        <w:rPr>
          <w:lang w:val="en-US"/>
        </w:rPr>
      </w:pPr>
      <w:bookmarkStart w:id="24" w:name="_Toc144374725"/>
      <w:r w:rsidRPr="00534DA6">
        <w:rPr>
          <w:lang w:val="en-US"/>
        </w:rPr>
        <w:t>Analysis of DE Results with IPA</w:t>
      </w:r>
      <w:bookmarkEnd w:id="24"/>
    </w:p>
    <w:p w14:paraId="000000C7" w14:textId="01762989" w:rsidR="0046705A" w:rsidRPr="00534DA6" w:rsidRDefault="00E67B44">
      <w:pPr>
        <w:jc w:val="both"/>
        <w:rPr>
          <w:rFonts w:ascii="Calibri" w:eastAsia="Calibri" w:hAnsi="Calibri" w:cs="Calibri"/>
          <w:sz w:val="24"/>
          <w:szCs w:val="24"/>
          <w:lang w:val="en-US"/>
        </w:rPr>
      </w:pPr>
      <w:r w:rsidRPr="00534DA6">
        <w:rPr>
          <w:rFonts w:ascii="Calibri" w:eastAsia="Calibri" w:hAnsi="Calibri" w:cs="Calibri"/>
          <w:sz w:val="24"/>
          <w:szCs w:val="24"/>
          <w:lang w:val="en-US"/>
        </w:rPr>
        <w:t xml:space="preserve">Post-processing, the DE results </w:t>
      </w:r>
      <w:r w:rsidR="00E825CC" w:rsidRPr="00E825CC">
        <w:rPr>
          <w:rFonts w:ascii="Calibri" w:eastAsia="Calibri" w:hAnsi="Calibri" w:cs="Calibri"/>
          <w:sz w:val="24"/>
          <w:szCs w:val="24"/>
          <w:lang w:val="en-US"/>
        </w:rPr>
        <w:t>were analyzed using IPA</w:t>
      </w:r>
      <w:r w:rsidR="00E825CC">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{"citationID":"n4gpNMMy","properties":{"formattedCitation":"\\super 6\\nosupersub{}","plainCitation":"6","noteIndex":0},"citationItems":[{"id":1228,"uris":["http://zotero.org/users/5044956/items/QIXRMUNK"],"itemData":{"id":1228,"type":"article-journal","abstract":"MOTIVATION: Prior biological knowledge greatly facilitates the meaningful interpretation of gene-expression data. Causal networks constructed from individual relationships curated from the literature are particularly suited for this task, since they create mechanistic hypotheses that explain the expression changes observed in datasets.\nRESULTS: We present and discuss a suite of algorithms and tools for inferring and scoring regulator networks upstream of gene-expression data based on a large-scale causal network derived from the Ingenuity Knowledge Base. We extend the method to predict downstream effects on biological functions and diseases and demonstrate the validity of our approach by applying it to example datasets.\nAVAILABILITY: The causal analytics tools 'Upstream Regulator Analysis', 'Mechanistic Networks', 'Causal Network Analysis' and 'Downstream Effects Analysis' are implemented and available within Ingenuity Pathway Analysis (IPA, http://www.ingenuity.com).\nSUPPLEMENTARY INFORMATION: Supplementary material is available at Bioinformatics online.","container-title":"Bioinformatics (Oxford, England)","DOI":"10.1093/bioinformatics/btt703","ISSN":"1367-4811","issue":"4","journalAbbreviation":"Bioinformatics","language":"eng","note":"PMID: 24336805\nPMCID: PMC3928520","page":"523-530","source":"PubMed","title":"Causal analysis approaches in Ingenuity Pathway Analysis","volume":"30","author":[{"family":"Krämer","given":"Andreas"},{"family":"Green","given":"Jeff"},{"family":"Pollard","given":"Jack"},{"family":"Tugendreich","given":"Stuart"}],"issued":{"date-parts":[["2014",2,15]]}}}],"schema":"https://github.com/citation-style-language/schema/raw/master/csl-citation.json"} </w:instrText>
      </w:r>
      <w:r w:rsidR="00E825CC">
        <w:rPr>
          <w:rFonts w:ascii="Calibri" w:eastAsia="Calibri" w:hAnsi="Calibri" w:cs="Calibri"/>
          <w:sz w:val="24"/>
          <w:szCs w:val="24"/>
          <w:lang w:val="en-US"/>
        </w:rPr>
        <w:fldChar w:fldCharType="separate"/>
      </w:r>
      <w:r w:rsidR="00710A9B" w:rsidRPr="000004F0">
        <w:rPr>
          <w:rFonts w:ascii="Calibri" w:hAnsi="Calibri" w:cs="Calibri"/>
          <w:sz w:val="24"/>
          <w:vertAlign w:val="superscript"/>
          <w:lang w:val="en-US"/>
        </w:rPr>
        <w:t>6</w:t>
      </w:r>
      <w:r w:rsidR="00E825CC">
        <w:rPr>
          <w:rFonts w:ascii="Calibri" w:eastAsia="Calibri" w:hAnsi="Calibri" w:cs="Calibri"/>
          <w:sz w:val="24"/>
          <w:szCs w:val="24"/>
          <w:lang w:val="en-US"/>
        </w:rPr>
        <w:fldChar w:fldCharType="end"/>
      </w:r>
      <w:r w:rsidR="00E825CC" w:rsidRPr="00E825CC">
        <w:rPr>
          <w:rFonts w:ascii="Calibri" w:eastAsia="Calibri" w:hAnsi="Calibri" w:cs="Calibri"/>
          <w:sz w:val="24"/>
          <w:szCs w:val="24"/>
          <w:lang w:val="en-US"/>
        </w:rPr>
        <w:t xml:space="preserve"> (QIAGEN Inc., </w:t>
      </w:r>
      <w:hyperlink r:id="rId9" w:history="1">
        <w:r w:rsidR="00E825CC" w:rsidRPr="00F37076">
          <w:rPr>
            <w:rStyle w:val="Hyperlink"/>
            <w:rFonts w:ascii="Calibri" w:eastAsia="Calibri" w:hAnsi="Calibri" w:cs="Calibri"/>
            <w:sz w:val="24"/>
            <w:szCs w:val="24"/>
            <w:lang w:val="en-US"/>
          </w:rPr>
          <w:t>https://www.qiagenbioinformatics.com/products/ingenuity-pathway-analysis</w:t>
        </w:r>
      </w:hyperlink>
      <w:r w:rsidR="00E825CC" w:rsidRPr="00E825CC">
        <w:rPr>
          <w:rFonts w:ascii="Calibri" w:eastAsia="Calibri" w:hAnsi="Calibri" w:cs="Calibri"/>
          <w:sz w:val="24"/>
          <w:szCs w:val="24"/>
          <w:lang w:val="en-US"/>
        </w:rPr>
        <w:t>).</w:t>
      </w:r>
      <w:r w:rsidRPr="00534DA6">
        <w:rPr>
          <w:rFonts w:ascii="Calibri" w:eastAsia="Calibri" w:hAnsi="Calibri" w:cs="Calibri"/>
          <w:sz w:val="24"/>
          <w:szCs w:val="24"/>
          <w:lang w:val="en-US"/>
        </w:rPr>
        <w:t xml:space="preserve"> </w:t>
      </w:r>
      <w:r w:rsidR="00E825CC">
        <w:rPr>
          <w:rFonts w:ascii="Calibri" w:eastAsia="Calibri" w:hAnsi="Calibri" w:cs="Calibri"/>
          <w:sz w:val="24"/>
          <w:szCs w:val="24"/>
          <w:lang w:val="en-US"/>
        </w:rPr>
        <w:t xml:space="preserve">In IPA, </w:t>
      </w:r>
      <w:r w:rsidRPr="00534DA6">
        <w:rPr>
          <w:rFonts w:ascii="Calibri" w:eastAsia="Calibri" w:hAnsi="Calibri" w:cs="Calibri"/>
          <w:sz w:val="24"/>
          <w:szCs w:val="24"/>
          <w:lang w:val="en-US"/>
        </w:rPr>
        <w:t>DE results were filtered, implementing a 0.5 cutoff for absolute log2 fold change (LFC) and a 0.1 threshold for adjusted p-value. The IPA software was utilized to extract the upstream regulators and mechanistic networks. It was also employed for enriching Ingenuity Canonical Pathways, annotating Diseases or Functions, and developing a summary network. The summary network was developed with a minimum setting for the number of nodes.</w:t>
      </w:r>
    </w:p>
    <w:p w14:paraId="000000C8" w14:textId="77777777" w:rsidR="0046705A" w:rsidRPr="00534DA6" w:rsidRDefault="00E67B44" w:rsidP="000E4817">
      <w:pPr>
        <w:pStyle w:val="Heading3"/>
        <w:rPr>
          <w:lang w:val="en-US"/>
        </w:rPr>
      </w:pPr>
      <w:bookmarkStart w:id="25" w:name="_Toc144374726"/>
      <w:r w:rsidRPr="00534DA6">
        <w:rPr>
          <w:lang w:val="en-US"/>
        </w:rPr>
        <w:t>Correlation Analysis</w:t>
      </w:r>
      <w:bookmarkEnd w:id="25"/>
    </w:p>
    <w:p w14:paraId="47C26A4B" w14:textId="74F19D10" w:rsidR="00157483" w:rsidRPr="00534DA6" w:rsidRDefault="00157483">
      <w:pPr>
        <w:jc w:val="both"/>
        <w:rPr>
          <w:rFonts w:ascii="Calibri" w:eastAsia="Calibri" w:hAnsi="Calibri" w:cs="Calibri"/>
          <w:sz w:val="24"/>
          <w:szCs w:val="24"/>
          <w:lang w:val="en-US"/>
        </w:rPr>
      </w:pPr>
      <w:r w:rsidRPr="00157483">
        <w:rPr>
          <w:rFonts w:ascii="Calibri" w:eastAsia="Calibri" w:hAnsi="Calibri" w:cs="Calibri"/>
          <w:sz w:val="24"/>
          <w:szCs w:val="24"/>
          <w:lang w:val="en-US"/>
        </w:rPr>
        <w:t xml:space="preserve">The whole bulk RNA-seq dataset was processed with DESeq, to normalize the counts using the </w:t>
      </w:r>
      <w:proofErr w:type="spellStart"/>
      <w:r w:rsidRPr="00157483">
        <w:rPr>
          <w:rFonts w:ascii="Calibri" w:eastAsia="Calibri" w:hAnsi="Calibri" w:cs="Calibri"/>
          <w:i/>
          <w:iCs/>
          <w:sz w:val="24"/>
          <w:szCs w:val="24"/>
          <w:lang w:val="en-US"/>
        </w:rPr>
        <w:t>normTransform</w:t>
      </w:r>
      <w:proofErr w:type="spellEnd"/>
      <w:r w:rsidRPr="00157483">
        <w:rPr>
          <w:rFonts w:ascii="Calibri" w:eastAsia="Calibri" w:hAnsi="Calibri" w:cs="Calibri"/>
          <w:sz w:val="24"/>
          <w:szCs w:val="24"/>
          <w:lang w:val="en-US"/>
        </w:rPr>
        <w:t xml:space="preserve"> function. Subsequently, a total of 1195 genes, which were both highly variable and had high expression levels, were isolated from the dataset. This gene selection was based on criteria where </w:t>
      </w:r>
      <w:proofErr w:type="gramStart"/>
      <w:r w:rsidRPr="00157483">
        <w:rPr>
          <w:rFonts w:ascii="Calibri" w:eastAsia="Calibri" w:hAnsi="Calibri" w:cs="Calibri"/>
          <w:sz w:val="24"/>
          <w:szCs w:val="24"/>
          <w:lang w:val="en-US"/>
        </w:rPr>
        <w:t>log(</w:t>
      </w:r>
      <w:proofErr w:type="gramEnd"/>
      <w:r w:rsidRPr="00157483">
        <w:rPr>
          <w:rFonts w:ascii="Calibri" w:eastAsia="Calibri" w:hAnsi="Calibri" w:cs="Calibri"/>
          <w:sz w:val="24"/>
          <w:szCs w:val="24"/>
          <w:lang w:val="en-US"/>
        </w:rPr>
        <w:t>mean expression) were greater than 4 and log(dispersion across samples) exceeded 0.5. Subsequently, a matrix detailing the co</w:t>
      </w:r>
      <w:r>
        <w:rPr>
          <w:rFonts w:ascii="Calibri" w:eastAsia="Calibri" w:hAnsi="Calibri" w:cs="Calibri"/>
          <w:sz w:val="24"/>
          <w:szCs w:val="24"/>
          <w:lang w:val="en-US"/>
        </w:rPr>
        <w:t>-</w:t>
      </w:r>
      <w:r w:rsidRPr="00157483">
        <w:rPr>
          <w:rFonts w:ascii="Calibri" w:eastAsia="Calibri" w:hAnsi="Calibri" w:cs="Calibri"/>
          <w:sz w:val="24"/>
          <w:szCs w:val="24"/>
          <w:lang w:val="en-US"/>
        </w:rPr>
        <w:t xml:space="preserve">expression correlations was crafted. Hierarchical clustering techniques were adopted to define 10 distinct correlation clusters. Using </w:t>
      </w:r>
      <w:r>
        <w:rPr>
          <w:rFonts w:ascii="Calibri" w:eastAsia="Calibri" w:hAnsi="Calibri" w:cs="Calibri"/>
          <w:sz w:val="24"/>
          <w:szCs w:val="24"/>
          <w:lang w:val="en-US"/>
        </w:rPr>
        <w:t>the</w:t>
      </w:r>
      <w:r w:rsidRPr="00157483">
        <w:rPr>
          <w:rFonts w:ascii="Calibri" w:eastAsia="Calibri" w:hAnsi="Calibri" w:cs="Calibri"/>
          <w:sz w:val="24"/>
          <w:szCs w:val="24"/>
          <w:lang w:val="en-US"/>
        </w:rPr>
        <w:t xml:space="preserve"> </w:t>
      </w:r>
      <w:proofErr w:type="spellStart"/>
      <w:r w:rsidRPr="00157483">
        <w:rPr>
          <w:rFonts w:ascii="Calibri" w:eastAsia="Calibri" w:hAnsi="Calibri" w:cs="Calibri"/>
          <w:i/>
          <w:iCs/>
          <w:sz w:val="24"/>
          <w:szCs w:val="24"/>
          <w:lang w:val="en-US"/>
        </w:rPr>
        <w:t>scipy</w:t>
      </w:r>
      <w:proofErr w:type="spellEnd"/>
      <w:r w:rsidRPr="00157483">
        <w:rPr>
          <w:rFonts w:ascii="Calibri" w:eastAsia="Calibri" w:hAnsi="Calibri" w:cs="Calibri"/>
          <w:sz w:val="24"/>
          <w:szCs w:val="24"/>
          <w:lang w:val="en-US"/>
        </w:rPr>
        <w:t xml:space="preserve"> library, the correlation matrix was converted into a condensed distance matrix. Hierarchical clustering was then done using the 'complete' method, and genes were assigned to one of ten clusters.</w:t>
      </w:r>
    </w:p>
    <w:p w14:paraId="000000CA" w14:textId="77777777" w:rsidR="0046705A" w:rsidRPr="00534DA6" w:rsidRDefault="00E67B44" w:rsidP="000E4817">
      <w:pPr>
        <w:pStyle w:val="Heading3"/>
        <w:rPr>
          <w:lang w:val="en-US"/>
        </w:rPr>
      </w:pPr>
      <w:bookmarkStart w:id="26" w:name="_Toc144374727"/>
      <w:r w:rsidRPr="00534DA6">
        <w:rPr>
          <w:lang w:val="en-US"/>
        </w:rPr>
        <w:t>DE and correlation analysis crossover</w:t>
      </w:r>
      <w:bookmarkEnd w:id="26"/>
    </w:p>
    <w:p w14:paraId="000000CB" w14:textId="3F98A86D" w:rsidR="0046705A" w:rsidRPr="00534DA6" w:rsidRDefault="00E67B44">
      <w:pPr>
        <w:jc w:val="both"/>
        <w:rPr>
          <w:rFonts w:ascii="Calibri" w:eastAsia="Calibri" w:hAnsi="Calibri" w:cs="Calibri"/>
          <w:sz w:val="24"/>
          <w:szCs w:val="24"/>
          <w:lang w:val="en-US"/>
        </w:rPr>
      </w:pPr>
      <w:r w:rsidRPr="00534DA6">
        <w:rPr>
          <w:rFonts w:ascii="Calibri" w:eastAsia="Calibri" w:hAnsi="Calibri" w:cs="Calibri"/>
          <w:sz w:val="24"/>
          <w:szCs w:val="24"/>
          <w:lang w:val="en-US"/>
        </w:rPr>
        <w:t>An overlap was created between the previously run DESEQ2 DE results and the cluster list of genes. A gene set enrichment analysis of the genes in</w:t>
      </w:r>
      <w:r w:rsidR="00DB5903">
        <w:rPr>
          <w:rFonts w:ascii="Calibri" w:eastAsia="Calibri" w:hAnsi="Calibri" w:cs="Calibri"/>
          <w:sz w:val="24"/>
          <w:szCs w:val="24"/>
          <w:lang w:val="en-US"/>
        </w:rPr>
        <w:t xml:space="preserve"> each</w:t>
      </w:r>
      <w:r w:rsidRPr="00534DA6">
        <w:rPr>
          <w:rFonts w:ascii="Calibri" w:eastAsia="Calibri" w:hAnsi="Calibri" w:cs="Calibri"/>
          <w:sz w:val="24"/>
          <w:szCs w:val="24"/>
          <w:lang w:val="en-US"/>
        </w:rPr>
        <w:t xml:space="preserve"> cluster was run on the DE results. </w:t>
      </w:r>
    </w:p>
    <w:p w14:paraId="000000CC" w14:textId="77777777" w:rsidR="0046705A" w:rsidRPr="00534DA6" w:rsidRDefault="00E67B44" w:rsidP="000E4817">
      <w:pPr>
        <w:pStyle w:val="Heading3"/>
        <w:rPr>
          <w:lang w:val="en-US"/>
        </w:rPr>
      </w:pPr>
      <w:bookmarkStart w:id="27" w:name="_Toc144374728"/>
      <w:r w:rsidRPr="00534DA6">
        <w:rPr>
          <w:lang w:val="en-US"/>
        </w:rPr>
        <w:t>Over Representation Analysis and Protein-Protein Interaction Network Analysis</w:t>
      </w:r>
      <w:bookmarkEnd w:id="27"/>
    </w:p>
    <w:p w14:paraId="000000CE" w14:textId="1A87BCF7" w:rsidR="0046705A" w:rsidRPr="000E4817" w:rsidRDefault="00E67B44">
      <w:pPr>
        <w:jc w:val="both"/>
        <w:rPr>
          <w:rFonts w:ascii="Calibri" w:eastAsia="Calibri" w:hAnsi="Calibri" w:cs="Calibri"/>
          <w:sz w:val="24"/>
          <w:szCs w:val="24"/>
          <w:lang w:val="en-US"/>
        </w:rPr>
      </w:pPr>
      <w:r w:rsidRPr="00534DA6">
        <w:rPr>
          <w:rFonts w:ascii="Calibri" w:eastAsia="Calibri" w:hAnsi="Calibri" w:cs="Calibri"/>
          <w:sz w:val="24"/>
          <w:szCs w:val="24"/>
          <w:lang w:val="en-US"/>
        </w:rPr>
        <w:t>Over representation analysis (ORA) was run on the list of genes representing each cluster, using gseapy</w:t>
      </w:r>
      <w:r w:rsidR="00DD2B3A">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{"citationID":"ikNHEpqs","properties":{"formattedCitation":"\\super 7\\nosupersub{}","plainCitation":"7","noteIndex":0},"citationItems":[{"id":1222,"uris":["http://zotero.org/users/5044956/items/KTRQGIFY"],"itemData":{"id":1222,"type":"article-journal","abstract":"Gene set enrichment analysis (GSEA) is a commonly used algorithm for characterizing gene expression changes. However, the currently available tools used to perform GSEA have a limited ability to analyze large datasets, which is particularly problematic for the analysis of single-cell data. To overcome this limitation, we developed a GSEA package in Python (GSEApy), which could efficiently analyze large single-cell datasets.We present a package (GSEApy) that performs GSEA in either the command line or Python environment. GSEApy uses a Rust implementation to enable it to calculate the same enrichment statistic as GSEA for a collection of pathways. The Rust implementation of GSEApy is 3-fold faster than the Numpy version of GSEApy (v0.10.8) and uses &amp;gt;4-fold less memory. GSEApy also provides an interface between Python and Enrichr web services, as well as for BioMart. The Enrichr application programming interface enables GSEApy to perform over-representation analysis for an input gene list. Furthermore, GSEApy consists of several tools, each designed to facilitate a particular type of enrichment analysis.The new GSEApy with Rust extension is deposited in PyPI: https://pypi.org/project/gseapy/. The GSEApy source code is freely available at https://github.com/zqfang/GSEApy. Also, the documentation website is available at https://gseapy.rtfd.io/.Supplementary data are available at Bioinformatics online.","container-title":"Bioinformatics","DOI":"10.1093/bioinformatics/btac757","ISSN":"1367-4811","issue":"1","journalAbbreviation":"Bioinformatics","page":"btac757","source":"Silverchair","title":"GSEApy: a comprehensive package for performing gene set enrichment analysis in Python","title-short":"GSEApy","volume":"39","author":[{"family":"Fang","given":"Zhuoqing"},{"family":"Liu","given":"Xinyuan"},{"family":"Peltz","given":"Gary"}],"issued":{"date-parts":[["2023",1,1]]}}}],"schema":"https://github.com/citation-style-language/schema/raw/master/csl-citation.json"} </w:instrText>
      </w:r>
      <w:r w:rsidR="00DD2B3A">
        <w:rPr>
          <w:rFonts w:ascii="Calibri" w:eastAsia="Calibri" w:hAnsi="Calibri" w:cs="Calibri"/>
          <w:sz w:val="24"/>
          <w:szCs w:val="24"/>
          <w:lang w:val="en-US"/>
        </w:rPr>
        <w:fldChar w:fldCharType="separate"/>
      </w:r>
      <w:r w:rsidR="00710A9B" w:rsidRPr="000004F0">
        <w:rPr>
          <w:rFonts w:ascii="Calibri" w:hAnsi="Calibri" w:cs="Calibri"/>
          <w:sz w:val="24"/>
          <w:vertAlign w:val="superscript"/>
          <w:lang w:val="en-US"/>
        </w:rPr>
        <w:t>7</w:t>
      </w:r>
      <w:r w:rsidR="00DD2B3A">
        <w:rPr>
          <w:rFonts w:ascii="Calibri" w:eastAsia="Calibri" w:hAnsi="Calibri" w:cs="Calibri"/>
          <w:sz w:val="24"/>
          <w:szCs w:val="24"/>
          <w:lang w:val="en-US"/>
        </w:rPr>
        <w:fldChar w:fldCharType="end"/>
      </w:r>
      <w:r w:rsidRPr="00534DA6">
        <w:rPr>
          <w:rFonts w:ascii="Calibri" w:eastAsia="Calibri" w:hAnsi="Calibri" w:cs="Calibri"/>
          <w:sz w:val="24"/>
          <w:szCs w:val="24"/>
          <w:lang w:val="en-US"/>
        </w:rPr>
        <w:t xml:space="preserve"> </w:t>
      </w:r>
      <w:proofErr w:type="spellStart"/>
      <w:r w:rsidRPr="00534DA6">
        <w:rPr>
          <w:rFonts w:ascii="Calibri" w:eastAsia="Calibri" w:hAnsi="Calibri" w:cs="Calibri"/>
          <w:sz w:val="24"/>
          <w:szCs w:val="24"/>
          <w:lang w:val="en-US"/>
        </w:rPr>
        <w:t>enrichr</w:t>
      </w:r>
      <w:proofErr w:type="spellEnd"/>
      <w:r w:rsidRPr="00534DA6">
        <w:rPr>
          <w:rFonts w:ascii="Calibri" w:eastAsia="Calibri" w:hAnsi="Calibri" w:cs="Calibri"/>
          <w:sz w:val="24"/>
          <w:szCs w:val="24"/>
          <w:lang w:val="en-US"/>
        </w:rPr>
        <w:t xml:space="preserve"> module. The genes in cluster 1 were further subjected to a protein-protein interaction (PPI) network analysis using STRING</w:t>
      </w:r>
      <w:r w:rsidR="00DD2B3A">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{"citationID":"MyJG2Sgj","properties":{"formattedCitation":"\\super 8\\nosupersub{}","plainCitation":"8","noteIndex":0},"citationItems":[{"id":1225,"uris":["http://zotero.org/users/5044956/items/FU4KFE7Z"],"itemData":{"id":1225,"type":"article-journal","abstract":"Proteins and their functional interactions form the backbone of the cellular machinery. Their connectivity network needs to be considered for the full understanding of biological phenomena, but the available information on protein-protein associations is incomplete and exhibits varying levels of annotation granularity and reliability. The STRING database aims to collect, score and integrate all publicly available sources of protein-protein interaction information, and to complement these with computational predictions. Its goal is to achieve a comprehensive and objective global network, including direct (physical) as well as indirect (functional) interactions. The latest version of STRING (11.0) more than doubles the number of organisms it covers, to 5090. The most important new feature is an option to upload entire, genome-wide datasets as input, allowing users to visualize subsets as interaction networks and to perform gene-set enrichment analysis on the entire input. For the enrichment analysis, STRING implements well-known classification systems such as Gene Ontology and KEGG, but also offers additional, new classification systems based on high-throughput text-mining as well as on a hierarchical clustering of the association network itself. The STRING resource is available online at https://string-db.org/.","container-title":"Nucleic Acids Research","DOI":"10.1093/nar/gky1131","ISSN":"1362-4962","issue":"D1","journalAbbreviation":"Nucleic Acids Res","language":"eng","note":"PMID: 30476243\nPMCID: PMC6323986","page":"D607-D613","source":"PubMed","title":"STRING v11: protein-protein association networks with increased coverage, supporting functional discovery in genome-wide experimental datasets","title-short":"STRING v11","volume":"47","author":[{"family":"Szklarczyk","given":"Damian"},{"family":"Gable","given":"Annika L."},{"family":"Lyon","given":"David"},{"family":"Junge","given":"Alexander"},{"family":"Wyder","given":"Stefan"},{"family":"Huerta-Cepas","given":"Jaime"},{"family":"Simonovic","given":"Milan"},{"family":"Doncheva","given":"Nadezhda T."},{"family":"Morris","given":"John H."},{"family":"Bork","given":"Peer"},{"family":"Jensen","given":"Lars J."},{"family":"Mering","given":"Christian","dropping-particle":"von"}],"issued":{"date-parts":[["2019",1,8]]}}}],"schema":"https://github.com/citation-style-language/schema/raw/master/csl-citation.json"} </w:instrText>
      </w:r>
      <w:r w:rsidR="00DD2B3A">
        <w:rPr>
          <w:rFonts w:ascii="Calibri" w:eastAsia="Calibri" w:hAnsi="Calibri" w:cs="Calibri"/>
          <w:sz w:val="24"/>
          <w:szCs w:val="24"/>
          <w:lang w:val="en-US"/>
        </w:rPr>
        <w:fldChar w:fldCharType="separate"/>
      </w:r>
      <w:r w:rsidR="00710A9B" w:rsidRPr="000004F0">
        <w:rPr>
          <w:rFonts w:ascii="Calibri" w:hAnsi="Calibri" w:cs="Calibri"/>
          <w:sz w:val="24"/>
          <w:vertAlign w:val="superscript"/>
          <w:lang w:val="en-US"/>
        </w:rPr>
        <w:t>8</w:t>
      </w:r>
      <w:r w:rsidR="00DD2B3A">
        <w:rPr>
          <w:rFonts w:ascii="Calibri" w:eastAsia="Calibri" w:hAnsi="Calibri" w:cs="Calibri"/>
          <w:sz w:val="24"/>
          <w:szCs w:val="24"/>
          <w:lang w:val="en-US"/>
        </w:rPr>
        <w:fldChar w:fldCharType="end"/>
      </w:r>
      <w:r w:rsidR="00157483">
        <w:rPr>
          <w:rFonts w:ascii="Calibri" w:eastAsia="Calibri" w:hAnsi="Calibri" w:cs="Calibri"/>
          <w:sz w:val="24"/>
          <w:szCs w:val="24"/>
          <w:lang w:val="en-US"/>
        </w:rPr>
        <w:t xml:space="preserve"> (v11.5)</w:t>
      </w:r>
      <w:r w:rsidRPr="00534DA6">
        <w:rPr>
          <w:rFonts w:ascii="Calibri" w:eastAsia="Calibri" w:hAnsi="Calibri" w:cs="Calibri"/>
          <w:sz w:val="24"/>
          <w:szCs w:val="24"/>
          <w:lang w:val="en-US"/>
        </w:rPr>
        <w:t>, with default settings. K-means analysis, as implemented in STRING</w:t>
      </w:r>
      <w:r w:rsidR="00DD2B3A">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{"citationID":"K9KvxVIn","properties":{"formattedCitation":"\\super 8\\nosupersub{}","plainCitation":"8","noteIndex":0},"citationItems":[{"id":1225,"uris":["http://zotero.org/users/5044956/items/FU4KFE7Z"],"itemData":{"id":1225,"type":"article-journal","abstract":"Proteins and their functional interactions form the backbone of the cellular machinery. Their connectivity network needs to be considered for the full understanding of biological phenomena, but the available information on protein-protein associations is incomplete and exhibits varying levels of annotation granularity and reliability. The STRING database aims to collect, score and integrate all publicly available sources of protein-protein interaction information, and to complement these with computational predictions. Its goal is to achieve a comprehensive and objective global network, including direct (physical) as well as indirect (functional) interactions. The latest version of STRING (11.0) more than doubles the number of organisms it covers, to 5090. The most important new feature is an option to upload entire, genome-wide datasets as input, allowing users to visualize subsets as interaction networks and to perform gene-set enrichment analysis on the entire input. For the enrichment analysis, STRING implements well-known classification systems such as Gene Ontology and KEGG, but also offers additional, new classification systems based on high-throughput text-mining as well as on a hierarchical clustering of the association network itself. The STRING resource is available online at https://string-db.org/.","container-title":"Nucleic Acids Research","DOI":"10.1093/nar/gky1131","ISSN":"1362-4962","issue":"D1","journalAbbreviation":"Nucleic Acids Res","language":"eng","note":"PMID: 30476243\nPMCID: PMC6323986","page":"D607-D613","source":"PubMed","title":"STRING v11: protein-protein association networks with increased coverage, supporting functional discovery in genome-wide experimental datasets","title-short":"STRING v11","volume":"47","author":[{"family":"Szklarczyk","given":"Damian"},{"family":"Gable","given":"Annika L."},{"family":"Lyon","given":"David"},{"family":"Junge","given":"Alexander"},{"family":"Wyder","given":"Stefan"},{"family":"Huerta-Cepas","given":"Jaime"},{"family":"Simonovic","given":"Milan"},{"family":"Doncheva","given":"Nadezhda T."},{"family":"Morris","given":"John H."},{"family":"Bork","given":"Peer"},{"family":"Jensen","given":"Lars J."},{"family":"Mering","given":"Christian","dropping-particle":"von"}],"issued":{"date-parts":[["2019",1,8]]}}}],"schema":"https://github.com/citation-style-language/schema/raw/master/csl-citation.json"} </w:instrText>
      </w:r>
      <w:r w:rsidR="00DD2B3A">
        <w:rPr>
          <w:rFonts w:ascii="Calibri" w:eastAsia="Calibri" w:hAnsi="Calibri" w:cs="Calibri"/>
          <w:sz w:val="24"/>
          <w:szCs w:val="24"/>
          <w:lang w:val="en-US"/>
        </w:rPr>
        <w:fldChar w:fldCharType="separate"/>
      </w:r>
      <w:r w:rsidR="00710A9B" w:rsidRPr="000004F0">
        <w:rPr>
          <w:rFonts w:ascii="Calibri" w:hAnsi="Calibri" w:cs="Calibri"/>
          <w:sz w:val="24"/>
          <w:vertAlign w:val="superscript"/>
          <w:lang w:val="en-US"/>
        </w:rPr>
        <w:t>8</w:t>
      </w:r>
      <w:r w:rsidR="00DD2B3A">
        <w:rPr>
          <w:rFonts w:ascii="Calibri" w:eastAsia="Calibri" w:hAnsi="Calibri" w:cs="Calibri"/>
          <w:sz w:val="24"/>
          <w:szCs w:val="24"/>
          <w:lang w:val="en-US"/>
        </w:rPr>
        <w:fldChar w:fldCharType="end"/>
      </w:r>
      <w:r w:rsidR="00DB5903">
        <w:rPr>
          <w:rFonts w:ascii="Calibri" w:eastAsia="Calibri" w:hAnsi="Calibri" w:cs="Calibri"/>
          <w:sz w:val="24"/>
          <w:szCs w:val="24"/>
          <w:lang w:val="en-US"/>
        </w:rPr>
        <w:t xml:space="preserve"> (v11.5)</w:t>
      </w:r>
      <w:r w:rsidRPr="00534DA6">
        <w:rPr>
          <w:rFonts w:ascii="Calibri" w:eastAsia="Calibri" w:hAnsi="Calibri" w:cs="Calibri"/>
          <w:sz w:val="24"/>
          <w:szCs w:val="24"/>
          <w:lang w:val="en-US"/>
        </w:rPr>
        <w:t xml:space="preserve">, was used to further subdivide these into </w:t>
      </w:r>
      <w:r w:rsidR="00157483">
        <w:rPr>
          <w:rFonts w:ascii="Calibri" w:eastAsia="Calibri" w:hAnsi="Calibri" w:cs="Calibri"/>
          <w:sz w:val="24"/>
          <w:szCs w:val="24"/>
          <w:lang w:val="en-US"/>
        </w:rPr>
        <w:t xml:space="preserve">8 </w:t>
      </w:r>
      <w:r w:rsidRPr="00534DA6">
        <w:rPr>
          <w:rFonts w:ascii="Calibri" w:eastAsia="Calibri" w:hAnsi="Calibri" w:cs="Calibri"/>
          <w:sz w:val="24"/>
          <w:szCs w:val="24"/>
          <w:lang w:val="en-US"/>
        </w:rPr>
        <w:t>functionally based subclusters. The ORA was similarly run on the two subclusters of interest.</w:t>
      </w:r>
    </w:p>
    <w:p w14:paraId="000000CF" w14:textId="07E504CC" w:rsidR="0046705A" w:rsidRPr="00534DA6" w:rsidRDefault="000E4817" w:rsidP="000E4817">
      <w:pPr>
        <w:pStyle w:val="Heading2"/>
        <w:rPr>
          <w:lang w:val="en-US"/>
        </w:rPr>
      </w:pPr>
      <w:bookmarkStart w:id="28" w:name="_Toc144374729"/>
      <w:r>
        <w:rPr>
          <w:lang w:val="en-US"/>
        </w:rPr>
        <w:lastRenderedPageBreak/>
        <w:t>Treatment transcriptomic response</w:t>
      </w:r>
      <w:bookmarkEnd w:id="28"/>
    </w:p>
    <w:p w14:paraId="000000D0" w14:textId="77777777" w:rsidR="0046705A" w:rsidRPr="00534DA6" w:rsidRDefault="00E67B44" w:rsidP="000E4817">
      <w:pPr>
        <w:pStyle w:val="Heading3"/>
        <w:rPr>
          <w:lang w:val="en-US"/>
        </w:rPr>
      </w:pPr>
      <w:bookmarkStart w:id="29" w:name="_Toc144374730"/>
      <w:r w:rsidRPr="00534DA6">
        <w:rPr>
          <w:lang w:val="en-US"/>
        </w:rPr>
        <w:t>Data Extraction and Labeling</w:t>
      </w:r>
      <w:bookmarkEnd w:id="29"/>
    </w:p>
    <w:p w14:paraId="58A4F856" w14:textId="0FB8BE87" w:rsidR="00563A93" w:rsidRPr="00157483" w:rsidRDefault="00563A93" w:rsidP="00A77CAB">
      <w:pPr>
        <w:rPr>
          <w:lang w:val="en-US"/>
        </w:rPr>
      </w:pPr>
      <w:r w:rsidRPr="00157483">
        <w:rPr>
          <w:rFonts w:ascii="Calibri" w:eastAsia="Calibri" w:hAnsi="Calibri" w:cs="Calibri"/>
          <w:sz w:val="24"/>
          <w:szCs w:val="24"/>
          <w:lang w:val="en-US"/>
        </w:rPr>
        <w:t xml:space="preserve">Skin biopsies from PRP lesional areas were obtained from two patients before and </w:t>
      </w:r>
      <w:r w:rsidR="00931D78" w:rsidRPr="00157483">
        <w:rPr>
          <w:rFonts w:ascii="Calibri" w:eastAsia="Calibri" w:hAnsi="Calibri" w:cs="Calibri"/>
          <w:sz w:val="24"/>
          <w:szCs w:val="24"/>
          <w:lang w:val="en-US"/>
        </w:rPr>
        <w:t>at</w:t>
      </w:r>
      <w:r w:rsidRPr="00157483">
        <w:rPr>
          <w:rFonts w:ascii="Calibri" w:eastAsia="Calibri" w:hAnsi="Calibri" w:cs="Calibri"/>
          <w:sz w:val="24"/>
          <w:szCs w:val="24"/>
          <w:lang w:val="en-US"/>
        </w:rPr>
        <w:t xml:space="preserve"> </w:t>
      </w:r>
      <w:r w:rsidR="00931D78" w:rsidRPr="00157483">
        <w:rPr>
          <w:rFonts w:ascii="Calibri" w:eastAsia="Calibri" w:hAnsi="Calibri" w:cs="Calibri"/>
          <w:sz w:val="24"/>
          <w:szCs w:val="24"/>
          <w:lang w:val="en-US"/>
        </w:rPr>
        <w:t>week</w:t>
      </w:r>
      <w:r w:rsidRPr="00157483">
        <w:rPr>
          <w:rFonts w:ascii="Calibri" w:eastAsia="Calibri" w:hAnsi="Calibri" w:cs="Calibri"/>
          <w:sz w:val="24"/>
          <w:szCs w:val="24"/>
          <w:lang w:val="en-US"/>
        </w:rPr>
        <w:t xml:space="preserve"> 8 </w:t>
      </w:r>
      <w:r w:rsidR="00931D78" w:rsidRPr="00157483">
        <w:rPr>
          <w:rFonts w:ascii="Calibri" w:eastAsia="Calibri" w:hAnsi="Calibri" w:cs="Calibri"/>
          <w:sz w:val="24"/>
          <w:szCs w:val="24"/>
          <w:lang w:val="en-US"/>
        </w:rPr>
        <w:t xml:space="preserve">of </w:t>
      </w:r>
      <w:r w:rsidRPr="00157483">
        <w:rPr>
          <w:rFonts w:ascii="Calibri" w:eastAsia="Calibri" w:hAnsi="Calibri" w:cs="Calibri"/>
          <w:sz w:val="24"/>
          <w:szCs w:val="24"/>
          <w:lang w:val="en-US"/>
        </w:rPr>
        <w:t xml:space="preserve">anakinra treatment. The biopsies were processed using the </w:t>
      </w:r>
      <w:proofErr w:type="spellStart"/>
      <w:r w:rsidRPr="00157483">
        <w:rPr>
          <w:rFonts w:ascii="Calibri" w:eastAsia="Calibri" w:hAnsi="Calibri" w:cs="Calibri"/>
          <w:sz w:val="24"/>
          <w:szCs w:val="24"/>
          <w:lang w:val="en-US"/>
        </w:rPr>
        <w:t>GeoMx</w:t>
      </w:r>
      <w:proofErr w:type="spellEnd"/>
      <w:r w:rsidRPr="00157483">
        <w:rPr>
          <w:rFonts w:ascii="Calibri" w:eastAsia="Calibri" w:hAnsi="Calibri" w:cs="Calibri"/>
          <w:sz w:val="24"/>
          <w:szCs w:val="24"/>
          <w:lang w:val="en-US"/>
        </w:rPr>
        <w:t xml:space="preserve"> Human Whole Transcriptome Atlas (WTA). This technique utilizes mRNA-specific in situ hybridization probes linked to distinct DNA barcodes. Upon selection of a spatial region of interest (ROI), these barcodes are detached using UV cleavage. Subsequently, the extracted RNA undergoes sequencing on an Illumina system, generating a transcriptome for each designated ROI. Specific ROIs targeted were the epidermis</w:t>
      </w:r>
      <w:r w:rsidR="00931D78" w:rsidRPr="00157483">
        <w:rPr>
          <w:rFonts w:ascii="Calibri" w:eastAsia="Calibri" w:hAnsi="Calibri" w:cs="Calibri"/>
          <w:sz w:val="24"/>
          <w:szCs w:val="24"/>
          <w:lang w:val="en-US"/>
        </w:rPr>
        <w:t xml:space="preserve"> (Pan-CK)</w:t>
      </w:r>
      <w:r w:rsidRPr="00157483">
        <w:rPr>
          <w:rFonts w:ascii="Calibri" w:eastAsia="Calibri" w:hAnsi="Calibri" w:cs="Calibri"/>
          <w:sz w:val="24"/>
          <w:szCs w:val="24"/>
          <w:lang w:val="en-US"/>
        </w:rPr>
        <w:t xml:space="preserve">, CD3+ and CD68+ cells. This resulted in 24 technical replicates for </w:t>
      </w:r>
      <w:r w:rsidR="00157483" w:rsidRPr="00157483">
        <w:rPr>
          <w:rFonts w:ascii="Calibri" w:eastAsia="Calibri" w:hAnsi="Calibri" w:cs="Calibri"/>
          <w:sz w:val="24"/>
          <w:szCs w:val="24"/>
          <w:lang w:val="en-US"/>
        </w:rPr>
        <w:t>patient</w:t>
      </w:r>
      <w:r w:rsidRPr="00157483">
        <w:rPr>
          <w:rFonts w:ascii="Calibri" w:eastAsia="Calibri" w:hAnsi="Calibri" w:cs="Calibri"/>
          <w:sz w:val="24"/>
          <w:szCs w:val="24"/>
          <w:lang w:val="en-US"/>
        </w:rPr>
        <w:t xml:space="preserve"> 1 (13 pre-treatment, 11 during treatment) and 26 for </w:t>
      </w:r>
      <w:r w:rsidR="00157483">
        <w:rPr>
          <w:rFonts w:ascii="Calibri" w:eastAsia="Calibri" w:hAnsi="Calibri" w:cs="Calibri"/>
          <w:sz w:val="24"/>
          <w:szCs w:val="24"/>
          <w:lang w:val="en-US"/>
        </w:rPr>
        <w:t>p</w:t>
      </w:r>
      <w:r w:rsidRPr="00157483">
        <w:rPr>
          <w:rFonts w:ascii="Calibri" w:eastAsia="Calibri" w:hAnsi="Calibri" w:cs="Calibri"/>
          <w:sz w:val="24"/>
          <w:szCs w:val="24"/>
          <w:lang w:val="en-US"/>
        </w:rPr>
        <w:t>atient 2 (13 pre-treatment, 13 during treatment).</w:t>
      </w:r>
      <w:r w:rsidRPr="00157483" w:rsidDel="00563A93">
        <w:rPr>
          <w:rFonts w:ascii="Calibri" w:eastAsia="Calibri" w:hAnsi="Calibri" w:cs="Calibri"/>
          <w:sz w:val="24"/>
          <w:szCs w:val="24"/>
          <w:lang w:val="en-US"/>
        </w:rPr>
        <w:t xml:space="preserve"> </w:t>
      </w:r>
      <w:proofErr w:type="spellStart"/>
      <w:r w:rsidRPr="00157483">
        <w:rPr>
          <w:lang w:val="en-US"/>
        </w:rPr>
        <w:t>GeoMx</w:t>
      </w:r>
      <w:proofErr w:type="spellEnd"/>
      <w:r w:rsidRPr="00157483">
        <w:rPr>
          <w:lang w:val="en-US"/>
        </w:rPr>
        <w:t>® Data Analysis Suite (DSPDA) was used to extract the raw counts for each replicate in a count matrix, which was further imported to R.</w:t>
      </w:r>
    </w:p>
    <w:p w14:paraId="000000D2" w14:textId="77777777" w:rsidR="0046705A" w:rsidRPr="00534DA6" w:rsidRDefault="00E67B44" w:rsidP="000E4817">
      <w:pPr>
        <w:pStyle w:val="Heading3"/>
        <w:rPr>
          <w:lang w:val="en-US"/>
        </w:rPr>
      </w:pPr>
      <w:bookmarkStart w:id="30" w:name="_Toc144374731"/>
      <w:r w:rsidRPr="00534DA6">
        <w:rPr>
          <w:lang w:val="en-US"/>
        </w:rPr>
        <w:t>DE Analysis</w:t>
      </w:r>
      <w:bookmarkEnd w:id="30"/>
    </w:p>
    <w:p w14:paraId="000000D3" w14:textId="786F7208" w:rsidR="0046705A" w:rsidRPr="00534DA6" w:rsidRDefault="00E67B44">
      <w:pPr>
        <w:jc w:val="both"/>
        <w:rPr>
          <w:rFonts w:ascii="Calibri" w:eastAsia="Calibri" w:hAnsi="Calibri" w:cs="Calibri"/>
          <w:sz w:val="24"/>
          <w:szCs w:val="24"/>
          <w:lang w:val="en-US"/>
        </w:rPr>
      </w:pPr>
      <w:r w:rsidRPr="00534DA6">
        <w:rPr>
          <w:rFonts w:ascii="Calibri" w:eastAsia="Calibri" w:hAnsi="Calibri" w:cs="Calibri"/>
          <w:sz w:val="24"/>
          <w:szCs w:val="24"/>
          <w:lang w:val="en-US"/>
        </w:rPr>
        <w:t>DESEQ2</w:t>
      </w:r>
      <w:r w:rsidR="00DD2B3A">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{"citationID":"ItHqGsXp","properties":{"formattedCitation":"\\super 5\\nosupersub{}","plainCitation":"5","noteIndex":0},"citationItems":[{"id":344,"uris":["http://zotero.org/users/5044956/items/SKQGGFYK"],"itemData":{"id":344,"type":"article-journal","abstract":"In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http://www.bioconductor.org/packages/release/bioc/html/DESeq2.html.","container-title":"Genome Biology","DOI":"10.1186/s13059-014-0550-8","ISSN":"1474-760X","issue":"12","journalAbbreviation":"Genome Biology","page":"550","source":"BioMed Central","title":"Moderated estimation of fold change and dispersion for RNA-seq data with DESeq2","volume":"15","author":[{"family":"Love","given":"Michael I."},{"family":"Huber","given":"Wolfgang"},{"family":"Anders","given":"Simon"}],"issued":{"date-parts":[["2014",12,5]]}}}],"schema":"https://github.com/citation-style-language/schema/raw/master/csl-citation.json"} </w:instrText>
      </w:r>
      <w:r w:rsidR="00DD2B3A">
        <w:rPr>
          <w:rFonts w:ascii="Calibri" w:eastAsia="Calibri" w:hAnsi="Calibri" w:cs="Calibri"/>
          <w:sz w:val="24"/>
          <w:szCs w:val="24"/>
          <w:lang w:val="en-US"/>
        </w:rPr>
        <w:fldChar w:fldCharType="separate"/>
      </w:r>
      <w:r w:rsidR="00710A9B" w:rsidRPr="000004F0">
        <w:rPr>
          <w:rFonts w:ascii="Calibri" w:hAnsi="Calibri" w:cs="Calibri"/>
          <w:sz w:val="24"/>
          <w:vertAlign w:val="superscript"/>
          <w:lang w:val="en-US"/>
        </w:rPr>
        <w:t>5</w:t>
      </w:r>
      <w:r w:rsidR="00DD2B3A">
        <w:rPr>
          <w:rFonts w:ascii="Calibri" w:eastAsia="Calibri" w:hAnsi="Calibri" w:cs="Calibri"/>
          <w:sz w:val="24"/>
          <w:szCs w:val="24"/>
          <w:lang w:val="en-US"/>
        </w:rPr>
        <w:fldChar w:fldCharType="end"/>
      </w:r>
      <w:r w:rsidRPr="00534DA6">
        <w:rPr>
          <w:rFonts w:ascii="Calibri" w:eastAsia="Calibri" w:hAnsi="Calibri" w:cs="Calibri"/>
          <w:sz w:val="24"/>
          <w:szCs w:val="24"/>
          <w:lang w:val="en-US"/>
        </w:rPr>
        <w:t xml:space="preserve"> was used for DE analysis of </w:t>
      </w:r>
      <w:r w:rsidR="003E302E">
        <w:rPr>
          <w:rFonts w:ascii="Calibri" w:eastAsia="Calibri" w:hAnsi="Calibri" w:cs="Calibri"/>
          <w:sz w:val="24"/>
          <w:szCs w:val="24"/>
          <w:lang w:val="en-US"/>
        </w:rPr>
        <w:t xml:space="preserve">samples from </w:t>
      </w:r>
      <w:r w:rsidRPr="00534DA6">
        <w:rPr>
          <w:rFonts w:ascii="Calibri" w:eastAsia="Calibri" w:hAnsi="Calibri" w:cs="Calibri"/>
          <w:sz w:val="24"/>
          <w:szCs w:val="24"/>
          <w:lang w:val="en-US"/>
        </w:rPr>
        <w:t>both patients together</w:t>
      </w:r>
      <w:r w:rsidR="00563A93">
        <w:rPr>
          <w:rFonts w:ascii="Calibri" w:eastAsia="Calibri" w:hAnsi="Calibri" w:cs="Calibri"/>
          <w:sz w:val="24"/>
          <w:szCs w:val="24"/>
          <w:lang w:val="en-US"/>
        </w:rPr>
        <w:t>, comparing pooled replicates during treatment vs. before treatment</w:t>
      </w:r>
      <w:r w:rsidR="003E302E">
        <w:rPr>
          <w:rFonts w:ascii="Calibri" w:eastAsia="Calibri" w:hAnsi="Calibri" w:cs="Calibri"/>
          <w:sz w:val="24"/>
          <w:szCs w:val="24"/>
          <w:lang w:val="en-US"/>
        </w:rPr>
        <w:t>.</w:t>
      </w:r>
    </w:p>
    <w:p w14:paraId="000000D4" w14:textId="77777777" w:rsidR="0046705A" w:rsidRPr="00534DA6" w:rsidRDefault="00E67B44" w:rsidP="000E4817">
      <w:pPr>
        <w:pStyle w:val="Heading3"/>
        <w:rPr>
          <w:lang w:val="en-US"/>
        </w:rPr>
      </w:pPr>
      <w:bookmarkStart w:id="31" w:name="_Toc144374732"/>
      <w:r w:rsidRPr="00534DA6">
        <w:rPr>
          <w:lang w:val="en-US"/>
        </w:rPr>
        <w:t>Processing of DE Results</w:t>
      </w:r>
      <w:bookmarkEnd w:id="31"/>
    </w:p>
    <w:p w14:paraId="000000D5" w14:textId="106B36CA" w:rsidR="0046705A" w:rsidRPr="00534DA6" w:rsidRDefault="00E67B44">
      <w:pPr>
        <w:jc w:val="both"/>
        <w:rPr>
          <w:rFonts w:ascii="Calibri" w:eastAsia="Calibri" w:hAnsi="Calibri" w:cs="Calibri"/>
          <w:sz w:val="24"/>
          <w:szCs w:val="24"/>
          <w:lang w:val="en-US"/>
        </w:rPr>
      </w:pPr>
      <w:r w:rsidRPr="00534DA6">
        <w:rPr>
          <w:rFonts w:ascii="Calibri" w:eastAsia="Calibri" w:hAnsi="Calibri" w:cs="Calibri"/>
          <w:sz w:val="24"/>
          <w:szCs w:val="24"/>
          <w:lang w:val="en-US"/>
        </w:rPr>
        <w:t xml:space="preserve">The results of the DE analysis </w:t>
      </w:r>
      <w:r w:rsidR="00E825CC" w:rsidRPr="00E825CC">
        <w:rPr>
          <w:rFonts w:ascii="Calibri" w:eastAsia="Calibri" w:hAnsi="Calibri" w:cs="Calibri"/>
          <w:sz w:val="24"/>
          <w:szCs w:val="24"/>
          <w:lang w:val="en-US"/>
        </w:rPr>
        <w:t>were analyzed using IPA</w:t>
      </w:r>
      <w:r w:rsidR="00E825CC">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{"citationID":"SFUOPW3e","properties":{"formattedCitation":"\\super 6\\nosupersub{}","plainCitation":"6","noteIndex":0},"citationItems":[{"id":1228,"uris":["http://zotero.org/users/5044956/items/QIXRMUNK"],"itemData":{"id":1228,"type":"article-journal","abstract":"MOTIVATION: Prior biological knowledge greatly facilitates the meaningful interpretation of gene-expression data. Causal networks constructed from individual relationships curated from the literature are particularly suited for this task, since they create mechanistic hypotheses that explain the expression changes observed in datasets.\nRESULTS: We present and discuss a suite of algorithms and tools for inferring and scoring regulator networks upstream of gene-expression data based on a large-scale causal network derived from the Ingenuity Knowledge Base. We extend the method to predict downstream effects on biological functions and diseases and demonstrate the validity of our approach by applying it to example datasets.\nAVAILABILITY: The causal analytics tools 'Upstream Regulator Analysis', 'Mechanistic Networks', 'Causal Network Analysis' and 'Downstream Effects Analysis' are implemented and available within Ingenuity Pathway Analysis (IPA, http://www.ingenuity.com).\nSUPPLEMENTARY INFORMATION: Supplementary material is available at Bioinformatics online.","container-title":"Bioinformatics (Oxford, England)","DOI":"10.1093/bioinformatics/btt703","ISSN":"1367-4811","issue":"4","journalAbbreviation":"Bioinformatics","language":"eng","note":"PMID: 24336805\nPMCID: PMC3928520","page":"523-530","source":"PubMed","title":"Causal analysis approaches in Ingenuity Pathway Analysis","volume":"30","author":[{"family":"Krämer","given":"Andreas"},{"family":"Green","given":"Jeff"},{"family":"Pollard","given":"Jack"},{"family":"Tugendreich","given":"Stuart"}],"issued":{"date-parts":[["2014",2,15]]}}}],"schema":"https://github.com/citation-style-language/schema/raw/master/csl-citation.json"} </w:instrText>
      </w:r>
      <w:r w:rsidR="00E825CC">
        <w:rPr>
          <w:rFonts w:ascii="Calibri" w:eastAsia="Calibri" w:hAnsi="Calibri" w:cs="Calibri"/>
          <w:sz w:val="24"/>
          <w:szCs w:val="24"/>
          <w:lang w:val="en-US"/>
        </w:rPr>
        <w:fldChar w:fldCharType="separate"/>
      </w:r>
      <w:r w:rsidR="00710A9B" w:rsidRPr="000004F0">
        <w:rPr>
          <w:rFonts w:ascii="Calibri" w:hAnsi="Calibri" w:cs="Calibri"/>
          <w:sz w:val="24"/>
          <w:vertAlign w:val="superscript"/>
          <w:lang w:val="en-US"/>
        </w:rPr>
        <w:t>6</w:t>
      </w:r>
      <w:r w:rsidR="00E825CC">
        <w:rPr>
          <w:rFonts w:ascii="Calibri" w:eastAsia="Calibri" w:hAnsi="Calibri" w:cs="Calibri"/>
          <w:sz w:val="24"/>
          <w:szCs w:val="24"/>
          <w:lang w:val="en-US"/>
        </w:rPr>
        <w:fldChar w:fldCharType="end"/>
      </w:r>
      <w:r w:rsidR="00E825CC" w:rsidRPr="00E825CC">
        <w:rPr>
          <w:rFonts w:ascii="Calibri" w:eastAsia="Calibri" w:hAnsi="Calibri" w:cs="Calibri"/>
          <w:sz w:val="24"/>
          <w:szCs w:val="24"/>
          <w:lang w:val="en-US"/>
        </w:rPr>
        <w:t xml:space="preserve"> (QIAGEN Inc., </w:t>
      </w:r>
      <w:hyperlink r:id="rId10" w:history="1">
        <w:r w:rsidR="00E825CC" w:rsidRPr="00F37076">
          <w:rPr>
            <w:rStyle w:val="Hyperlink"/>
            <w:rFonts w:ascii="Calibri" w:eastAsia="Calibri" w:hAnsi="Calibri" w:cs="Calibri"/>
            <w:sz w:val="24"/>
            <w:szCs w:val="24"/>
            <w:lang w:val="en-US"/>
          </w:rPr>
          <w:t>https://www.qiagenbioinformatics.com/products/ingenuity-pathway-analysis</w:t>
        </w:r>
      </w:hyperlink>
      <w:r w:rsidR="00E825CC" w:rsidRPr="00E825CC">
        <w:rPr>
          <w:rFonts w:ascii="Calibri" w:eastAsia="Calibri" w:hAnsi="Calibri" w:cs="Calibri"/>
          <w:sz w:val="24"/>
          <w:szCs w:val="24"/>
          <w:lang w:val="en-US"/>
        </w:rPr>
        <w:t>).</w:t>
      </w:r>
      <w:r w:rsidR="00E825CC">
        <w:rPr>
          <w:rFonts w:ascii="Calibri" w:eastAsia="Calibri" w:hAnsi="Calibri" w:cs="Calibri"/>
          <w:sz w:val="24"/>
          <w:szCs w:val="24"/>
          <w:lang w:val="en-US"/>
        </w:rPr>
        <w:t xml:space="preserve"> </w:t>
      </w:r>
      <w:r w:rsidRPr="00534DA6">
        <w:rPr>
          <w:rFonts w:ascii="Calibri" w:eastAsia="Calibri" w:hAnsi="Calibri" w:cs="Calibri"/>
          <w:sz w:val="24"/>
          <w:szCs w:val="24"/>
          <w:lang w:val="en-US"/>
        </w:rPr>
        <w:t xml:space="preserve">The </w:t>
      </w:r>
      <w:r w:rsidR="00E825CC">
        <w:rPr>
          <w:rFonts w:ascii="Calibri" w:eastAsia="Calibri" w:hAnsi="Calibri" w:cs="Calibri"/>
          <w:sz w:val="24"/>
          <w:szCs w:val="24"/>
          <w:lang w:val="en-US"/>
        </w:rPr>
        <w:t xml:space="preserve">DE </w:t>
      </w:r>
      <w:r w:rsidRPr="00534DA6">
        <w:rPr>
          <w:rFonts w:ascii="Calibri" w:eastAsia="Calibri" w:hAnsi="Calibri" w:cs="Calibri"/>
          <w:sz w:val="24"/>
          <w:szCs w:val="24"/>
          <w:lang w:val="en-US"/>
        </w:rPr>
        <w:t>results were filtered, using the same criteria as mentioned previously: an absolute log2 fold change (LFC) cutoff of 0.5 and an adjusted p-value threshold of 0.1. The same extraction and enrichment procedures for upstream regulators, mechanistic networks, Ingenuity Canonical Pathways, Diseases or Functions Annotations, and summary networks were then performed.</w:t>
      </w:r>
    </w:p>
    <w:p w14:paraId="000000D6" w14:textId="77777777" w:rsidR="0046705A" w:rsidRPr="00534DA6" w:rsidRDefault="00E67B44" w:rsidP="000E4817">
      <w:pPr>
        <w:pStyle w:val="Heading3"/>
        <w:rPr>
          <w:lang w:val="en-US"/>
        </w:rPr>
      </w:pPr>
      <w:bookmarkStart w:id="32" w:name="_Toc144374733"/>
      <w:r w:rsidRPr="00534DA6">
        <w:rPr>
          <w:lang w:val="en-US"/>
        </w:rPr>
        <w:t>Gene Set Enrichment Analysis</w:t>
      </w:r>
      <w:bookmarkEnd w:id="32"/>
    </w:p>
    <w:p w14:paraId="000000D7" w14:textId="0F7A8A39" w:rsidR="0046705A" w:rsidRPr="00534DA6" w:rsidRDefault="00E67B44">
      <w:pPr>
        <w:jc w:val="both"/>
        <w:rPr>
          <w:rFonts w:ascii="Calibri" w:eastAsia="Calibri" w:hAnsi="Calibri" w:cs="Calibri"/>
          <w:sz w:val="24"/>
          <w:szCs w:val="24"/>
          <w:lang w:val="en-US"/>
        </w:rPr>
      </w:pPr>
      <w:r w:rsidRPr="00534DA6">
        <w:rPr>
          <w:rFonts w:ascii="Calibri" w:eastAsia="Calibri" w:hAnsi="Calibri" w:cs="Calibri"/>
          <w:sz w:val="24"/>
          <w:szCs w:val="24"/>
          <w:lang w:val="en-US"/>
        </w:rPr>
        <w:t>Gene Set Enrichment Analysis</w:t>
      </w:r>
      <w:r w:rsidR="00710A9B">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{"citationID":"IUPvFgVZ","properties":{"formattedCitation":"\\super 9\\nosupersub{}","plainCitation":"9","noteIndex":0},"citationItems":[{"id":133,"uris":["http://zotero.org/users/5044956/items/RLKSWI8F"],"itemData":{"id":133,"type":"article-journal","abstract":"Although genomewide RNA expression analysis has become a routine tool in biomedical research, extracting biological insight from such information remains a major challenge. Here, we describe a powerful analytical method called Gene Set Enrichment Analysis (GSEA) for interpreting gene expression data. The method derives its power by focusing on gene sets, that is, groups of genes that share common biological function, chromosomal location, or regulation. We demonstrate how GSEA yields insights into several cancer-related data sets, including leukemia and lung cancer. Notably, where single-gene analysis finds little similarity between two independent studies of patient survival in lung cancer, GSEA reveals many biological pathways in common. The GSEA method is embodied in a freely available software package, together with an initial database of 1,325 biologically defined gene sets.","container-title":"Proceedings of the National Academy of Sciences of the United States of America","DOI":"10.1073/pnas.0506580102","ISSN":"0027-8424","issue":"43","journalAbbreviation":"Proc Natl Acad Sci U S A","note":"PMID: 16199517\nPMCID: PMC1239896","page":"15545-15550","source":"PubMed Central","title":"Gene set enrichment analysis: A knowledge-based approach for interpreting genome-wide expression profiles","title-short":"Gene set enrichment analysis","volume":"102","author":[{"family":"Subramanian","given":"Aravind"},{"family":"Tamayo","given":"Pablo"},{"family":"Mootha","given":"Vamsi K."},{"family":"Mukherjee","given":"Sayan"},{"family":"Ebert","given":"Benjamin L."},{"family":"Gillette","given":"Michael A."},{"family":"Paulovich","given":"Amanda"},{"family":"Pomeroy","given":"Scott L."},{"family":"Golub","given":"Todd R."},{"family":"Lander","given":"Eric S."},{"family":"Mesirov","given":"Jill P."}],"issued":{"date-parts":[["2005",10,25]]}}}],"schema":"https://github.com/citation-style-language/schema/raw/master/csl-citation.json"} </w:instrText>
      </w:r>
      <w:r w:rsidR="00710A9B">
        <w:rPr>
          <w:rFonts w:ascii="Calibri" w:eastAsia="Calibri" w:hAnsi="Calibri" w:cs="Calibri"/>
          <w:sz w:val="24"/>
          <w:szCs w:val="24"/>
          <w:lang w:val="en-US"/>
        </w:rPr>
        <w:fldChar w:fldCharType="separate"/>
      </w:r>
      <w:r w:rsidR="00710A9B" w:rsidRPr="000004F0">
        <w:rPr>
          <w:rFonts w:ascii="Calibri" w:hAnsi="Calibri" w:cs="Calibri"/>
          <w:sz w:val="24"/>
          <w:vertAlign w:val="superscript"/>
          <w:lang w:val="en-US"/>
        </w:rPr>
        <w:t>9</w:t>
      </w:r>
      <w:r w:rsidR="00710A9B">
        <w:rPr>
          <w:rFonts w:ascii="Calibri" w:eastAsia="Calibri" w:hAnsi="Calibri" w:cs="Calibri"/>
          <w:sz w:val="24"/>
          <w:szCs w:val="24"/>
          <w:lang w:val="en-US"/>
        </w:rPr>
        <w:fldChar w:fldCharType="end"/>
      </w:r>
      <w:r w:rsidRPr="00534DA6">
        <w:rPr>
          <w:rFonts w:ascii="Calibri" w:eastAsia="Calibri" w:hAnsi="Calibri" w:cs="Calibri"/>
          <w:sz w:val="24"/>
          <w:szCs w:val="24"/>
          <w:lang w:val="en-US"/>
        </w:rPr>
        <w:t xml:space="preserve"> (GSEA) was carried out on the DE results, using gseapy</w:t>
      </w:r>
      <w:r w:rsidR="00E825CC">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{"citationID":"YMcOKXOl","properties":{"formattedCitation":"\\super 7\\nosupersub{}","plainCitation":"7","noteIndex":0},"citationItems":[{"id":1222,"uris":["http://zotero.org/users/5044956/items/KTRQGIFY"],"itemData":{"id":1222,"type":"article-journal","abstract":"Gene set enrichment analysis (GSEA) is a commonly used algorithm for characterizing gene expression changes. However, the currently available tools used to perform GSEA have a limited ability to analyze large datasets, which is particularly problematic for the analysis of single-cell data. To overcome this limitation, we developed a GSEA package in Python (GSEApy), which could efficiently analyze large single-cell datasets.We present a package (GSEApy) that performs GSEA in either the command line or Python environment. GSEApy uses a Rust implementation to enable it to calculate the same enrichment statistic as GSEA for a collection of pathways. The Rust implementation of GSEApy is 3-fold faster than the Numpy version of GSEApy (v0.10.8) and uses &amp;gt;4-fold less memory. GSEApy also provides an interface between Python and Enrichr web services, as well as for BioMart. The Enrichr application programming interface enables GSEApy to perform over-representation analysis for an input gene list. Furthermore, GSEApy consists of several tools, each designed to facilitate a particular type of enrichment analysis.The new GSEApy with Rust extension is deposited in PyPI: https://pypi.org/project/gseapy/. The GSEApy source code is freely available at https://github.com/zqfang/GSEApy. Also, the documentation website is available at https://gseapy.rtfd.io/.Supplementary data are available at Bioinformatics online.","container-title":"Bioinformatics","DOI":"10.1093/bioinformatics/btac757","ISSN":"1367-4811","issue":"1","journalAbbreviation":"Bioinformatics","page":"btac757","source":"Silverchair","title":"GSEApy: a comprehensive package for performing gene set enrichment analysis in Python","title-short":"GSEApy","volume":"39","author":[{"family":"Fang","given":"Zhuoqing"},{"family":"Liu","given":"Xinyuan"},{"family":"Peltz","given":"Gary"}],"issued":{"date-parts":[["2023",1,1]]}}}],"schema":"https://github.com/citation-style-language/schema/raw/master/csl-citation.json"} </w:instrText>
      </w:r>
      <w:r w:rsidR="00E825CC">
        <w:rPr>
          <w:rFonts w:ascii="Calibri" w:eastAsia="Calibri" w:hAnsi="Calibri" w:cs="Calibri"/>
          <w:sz w:val="24"/>
          <w:szCs w:val="24"/>
          <w:lang w:val="en-US"/>
        </w:rPr>
        <w:fldChar w:fldCharType="separate"/>
      </w:r>
      <w:r w:rsidR="00710A9B" w:rsidRPr="000004F0">
        <w:rPr>
          <w:rFonts w:ascii="Calibri" w:hAnsi="Calibri" w:cs="Calibri"/>
          <w:sz w:val="24"/>
          <w:vertAlign w:val="superscript"/>
          <w:lang w:val="en-US"/>
        </w:rPr>
        <w:t>7</w:t>
      </w:r>
      <w:r w:rsidR="00E825CC">
        <w:rPr>
          <w:rFonts w:ascii="Calibri" w:eastAsia="Calibri" w:hAnsi="Calibri" w:cs="Calibri"/>
          <w:sz w:val="24"/>
          <w:szCs w:val="24"/>
          <w:lang w:val="en-US"/>
        </w:rPr>
        <w:fldChar w:fldCharType="end"/>
      </w:r>
      <w:r w:rsidRPr="00534DA6">
        <w:rPr>
          <w:rFonts w:ascii="Calibri" w:eastAsia="Calibri" w:hAnsi="Calibri" w:cs="Calibri"/>
          <w:sz w:val="24"/>
          <w:szCs w:val="24"/>
          <w:lang w:val="en-US"/>
        </w:rPr>
        <w:t xml:space="preserve"> </w:t>
      </w:r>
      <w:proofErr w:type="spellStart"/>
      <w:r w:rsidRPr="00534DA6">
        <w:rPr>
          <w:rFonts w:ascii="Calibri" w:eastAsia="Calibri" w:hAnsi="Calibri" w:cs="Calibri"/>
          <w:sz w:val="24"/>
          <w:szCs w:val="24"/>
          <w:lang w:val="en-US"/>
        </w:rPr>
        <w:t>prerank</w:t>
      </w:r>
      <w:proofErr w:type="spellEnd"/>
      <w:r w:rsidRPr="00534DA6">
        <w:rPr>
          <w:rFonts w:ascii="Calibri" w:eastAsia="Calibri" w:hAnsi="Calibri" w:cs="Calibri"/>
          <w:sz w:val="24"/>
          <w:szCs w:val="24"/>
          <w:lang w:val="en-US"/>
        </w:rPr>
        <w:t xml:space="preserve"> module. Additionally, the top positively DEGs in the bulk RNAseq dataset</w:t>
      </w:r>
      <w:r w:rsidR="00E825CC">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{"citationID":"RFX5kec5","properties":{"formattedCitation":"\\super 4\\nosupersub{}","plainCitation":"4","noteIndex":0},"citationItems":[{"id":1150,"uris":["http://zotero.org/users/5044956/items/RNAHM22D"],"itemData":{"id":1150,"type":"article-journal","abstract":"BACKGROUND: The pathogenesis of pityriasis rubra pilaris (PRP) is not completely understood, but interleukin (IL)-17 has been shown to play a critical role. There are no reliable immunomodulatory agents to treat PRP. We conducted an open-label, single-arm clinical trial of secukinumab, a monoclonal antibody that inhibits IL-17A, for the treatment of PRP.\nOBJECTIVES: To evaluate the clinical efficacy of secukinumab and define the transcriptomic landscape of PRP and its response to IL-17A blockade.\nMETHODS: Twelve patients with PRP were recruited for an open-label trial of secukinumab. Patients received a 24-week course of secukinumab. The primary endpoint was a ≥ 75% reduction in Psoriasis Area and Severity Index (PASI 75) from baseline to week 28. Secondary endpoints included PASI 90, change in Physician's Global Assessment (PGA), and change in Dermatology Life Quality Index (DLQI). RNA sequencing was performed on lesional and nonlesional skin biopsies obtained at baseline and week 2. Sample groups were compared to identify differential gene expression and pathway enrichment. This trial was registered with ClinicalTrials.gov: 'Cosentyx (secukinumab) for the treatment of adult onset pityriasis rubra pilaris' - NCT03342573.\nRESULTS: At week 28, six of 11 patients (55%) achieved PASI 75, and three patients (27%) achieved PASI 90. PGA (P = 0.008) and DLQI scores (P = 0.010) showed significant improvement with treatment. No serious treatment-related adverse events were encountered. Treatment with secukinumab normalized transcriptional differences between lesional and nonlesional skin. Transcriptomic data from nonresponsive patients suggest that overactivity of innate immune pathways may be driving resistance to secukinumab.\nCONCLUSIONS: Secukinumab appears to be an effective treatment for PRP and warrants further investigation. PRP is a transcriptionally heterogeneous disease, reflecting its variable response to therapy. Agents targeting other IL-17 isoforms and innate immune mediators should be considered for future clinical trials. What is already known about this topic? The pathogenesis of pityriasis rubra pilaris is incompletely understood. Successful treatment has been reported with a variety of immunomodulatory agents, but disease is often refractory to therapy. Interleukin (IL)-17 is thought to drive keratinocyte proliferation and vascular dysfunction in this disease. A previous trial demonstrated efficacy of the anti-IL-17A drug ixekizumab for pityriasis rubra pilaris. What does this study add? Herein we describe the findings of a clinical trial of secukinumab, an anti-IL-17A monoclonal antibody, for the treatment of pityriasis rubra pilaris. Secukinumab was effective in treating pityriasis rubra pilaris. Our transcriptomic data give new insight into the expressional changes that occur in response to secukinumab and suggest mechanisms of treatment resistance.","container-title":"The British Journal of Dermatology","DOI":"10.1111/bjd.21708","ISSN":"1365-2133","issue":"5","journalAbbreviation":"Br J Dermatol","language":"eng","note":"PMID: 35701384","page":"650-658","source":"PubMed","title":"Secukinumab for the treatment of adult-onset pityriasis rubra pilaris: a single-arm clinical trial with transcriptomic analysis","title-short":"Secukinumab for the treatment of adult-onset pityriasis rubra pilaris","volume":"187","author":[{"family":"Boudreaux","given":"Blake W."},{"family":"Pincelli","given":"Thais P."},{"family":"Bhullar","given":"Puneet K."},{"family":"Patel","given":"Meera H."},{"family":"Brumfiel","given":"Caitlin M."},{"family":"Li","given":"Xing"},{"family":"Heckman","given":"Michael G."},{"family":"Pittelkow","given":"Mark R."},{"family":"Mangold","given":"Aaron R."},{"family":"Sluzevich","given":"Jason C."}],"issued":{"date-parts":[["2022",11]]}}}],"schema":"https://github.com/citation-style-language/schema/raw/master/csl-citation.json"} </w:instrText>
      </w:r>
      <w:r w:rsidR="00E825CC">
        <w:rPr>
          <w:rFonts w:ascii="Calibri" w:eastAsia="Calibri" w:hAnsi="Calibri" w:cs="Calibri"/>
          <w:sz w:val="24"/>
          <w:szCs w:val="24"/>
          <w:lang w:val="en-US"/>
        </w:rPr>
        <w:fldChar w:fldCharType="separate"/>
      </w:r>
      <w:r w:rsidR="00710A9B" w:rsidRPr="000004F0">
        <w:rPr>
          <w:rFonts w:ascii="Calibri" w:hAnsi="Calibri" w:cs="Calibri"/>
          <w:sz w:val="24"/>
          <w:vertAlign w:val="superscript"/>
          <w:lang w:val="en-US"/>
        </w:rPr>
        <w:t>4</w:t>
      </w:r>
      <w:r w:rsidR="00E825CC">
        <w:rPr>
          <w:rFonts w:ascii="Calibri" w:eastAsia="Calibri" w:hAnsi="Calibri" w:cs="Calibri"/>
          <w:sz w:val="24"/>
          <w:szCs w:val="24"/>
          <w:lang w:val="en-US"/>
        </w:rPr>
        <w:fldChar w:fldCharType="end"/>
      </w:r>
      <w:r w:rsidRPr="00534DA6">
        <w:rPr>
          <w:rFonts w:ascii="Calibri" w:eastAsia="Calibri" w:hAnsi="Calibri" w:cs="Calibri"/>
          <w:sz w:val="24"/>
          <w:szCs w:val="24"/>
          <w:lang w:val="en-US"/>
        </w:rPr>
        <w:t xml:space="preserve"> (with an LFC &gt; 0 and adjusted p-value &lt; 0.05) were selected to form a gene set. This gene set was then utilized for </w:t>
      </w:r>
      <w:r w:rsidR="00157483">
        <w:rPr>
          <w:rFonts w:ascii="Calibri" w:eastAsia="Calibri" w:hAnsi="Calibri" w:cs="Calibri"/>
          <w:sz w:val="24"/>
          <w:szCs w:val="24"/>
          <w:lang w:val="en-US"/>
        </w:rPr>
        <w:t xml:space="preserve">the GSEA analysis of </w:t>
      </w:r>
      <w:r w:rsidRPr="00534DA6">
        <w:rPr>
          <w:rFonts w:ascii="Calibri" w:eastAsia="Calibri" w:hAnsi="Calibri" w:cs="Calibri"/>
          <w:sz w:val="24"/>
          <w:szCs w:val="24"/>
          <w:lang w:val="en-US"/>
        </w:rPr>
        <w:t>the DE comparison involving both patients (after vs before treatment)</w:t>
      </w:r>
      <w:r w:rsidR="00157483">
        <w:rPr>
          <w:rFonts w:ascii="Calibri" w:eastAsia="Calibri" w:hAnsi="Calibri" w:cs="Calibri"/>
          <w:sz w:val="24"/>
          <w:szCs w:val="24"/>
          <w:lang w:val="en-US"/>
        </w:rPr>
        <w:t>.</w:t>
      </w:r>
    </w:p>
    <w:p w14:paraId="000000D8" w14:textId="77777777" w:rsidR="0046705A" w:rsidRPr="00534DA6" w:rsidRDefault="00E67B44" w:rsidP="000E4817">
      <w:pPr>
        <w:pStyle w:val="Heading3"/>
        <w:rPr>
          <w:lang w:val="en-US"/>
        </w:rPr>
      </w:pPr>
      <w:bookmarkStart w:id="33" w:name="_Toc144374734"/>
      <w:r w:rsidRPr="00534DA6">
        <w:rPr>
          <w:lang w:val="en-US"/>
        </w:rPr>
        <w:t>Naming convention</w:t>
      </w:r>
      <w:bookmarkEnd w:id="33"/>
    </w:p>
    <w:p w14:paraId="000000D9" w14:textId="5215D5FD" w:rsidR="0046705A" w:rsidRPr="00534DA6" w:rsidRDefault="00E67B44">
      <w:pPr>
        <w:jc w:val="both"/>
        <w:rPr>
          <w:rFonts w:ascii="Calibri" w:eastAsia="Calibri" w:hAnsi="Calibri" w:cs="Calibri"/>
          <w:sz w:val="24"/>
          <w:szCs w:val="24"/>
          <w:lang w:val="en-US"/>
        </w:rPr>
      </w:pPr>
      <w:r w:rsidRPr="00534DA6">
        <w:rPr>
          <w:rFonts w:ascii="Calibri" w:eastAsia="Calibri" w:hAnsi="Calibri" w:cs="Calibri"/>
          <w:sz w:val="24"/>
          <w:szCs w:val="24"/>
          <w:lang w:val="en-US"/>
        </w:rPr>
        <w:t xml:space="preserve">The </w:t>
      </w:r>
      <w:r w:rsidRPr="00710A9B">
        <w:rPr>
          <w:rFonts w:ascii="Calibri" w:eastAsia="Calibri" w:hAnsi="Calibri" w:cs="Calibri"/>
          <w:i/>
          <w:iCs/>
          <w:sz w:val="24"/>
          <w:szCs w:val="24"/>
          <w:lang w:val="en-US"/>
        </w:rPr>
        <w:t>treatment</w:t>
      </w:r>
      <w:r w:rsidRPr="00534DA6">
        <w:rPr>
          <w:rFonts w:ascii="Calibri" w:eastAsia="Calibri" w:hAnsi="Calibri" w:cs="Calibri"/>
          <w:sz w:val="24"/>
          <w:szCs w:val="24"/>
          <w:lang w:val="en-US"/>
        </w:rPr>
        <w:t xml:space="preserve"> signal defines the DE analysis of lesional samples after vs. before treatment and the PRP signature (</w:t>
      </w:r>
      <w:r w:rsidRPr="00710A9B">
        <w:rPr>
          <w:rFonts w:ascii="Calibri" w:eastAsia="Calibri" w:hAnsi="Calibri" w:cs="Calibri"/>
          <w:i/>
          <w:iCs/>
          <w:sz w:val="24"/>
          <w:szCs w:val="24"/>
          <w:lang w:val="en-US"/>
        </w:rPr>
        <w:t>PRP</w:t>
      </w:r>
      <w:r w:rsidRPr="00534DA6">
        <w:rPr>
          <w:rFonts w:ascii="Calibri" w:eastAsia="Calibri" w:hAnsi="Calibri" w:cs="Calibri"/>
          <w:sz w:val="24"/>
          <w:szCs w:val="24"/>
          <w:lang w:val="en-US"/>
        </w:rPr>
        <w:t xml:space="preserve">) the </w:t>
      </w:r>
      <w:r w:rsidR="00710A9B">
        <w:rPr>
          <w:rFonts w:ascii="Calibri" w:eastAsia="Calibri" w:hAnsi="Calibri" w:cs="Calibri"/>
          <w:sz w:val="24"/>
          <w:szCs w:val="24"/>
          <w:lang w:val="en-US"/>
        </w:rPr>
        <w:t xml:space="preserve">paired </w:t>
      </w:r>
      <w:r w:rsidRPr="00534DA6">
        <w:rPr>
          <w:rFonts w:ascii="Calibri" w:eastAsia="Calibri" w:hAnsi="Calibri" w:cs="Calibri"/>
          <w:sz w:val="24"/>
          <w:szCs w:val="24"/>
          <w:lang w:val="en-US"/>
        </w:rPr>
        <w:t>DE of lesional vs. non-lesional skin in the published PRP cohort</w:t>
      </w:r>
      <w:r w:rsidR="00710A9B">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{"citationID":"uhsC1A21","properties":{"formattedCitation":"\\super 4\\nosupersub{}","plainCitation":"4","noteIndex":0},"citationItems":[{"id":1150,"uris":["http://zotero.org/users/5044956/items/RNAHM22D"],"itemData":{"id":1150,"type":"article-journal","abstract":"BACKGROUND: The pathogenesis of pityriasis rubra pilaris (PRP) is not completely understood, but interleukin (IL)-17 has been shown to play a critical role. There are no reliable immunomodulatory agents to treat PRP. We conducted an open-label, single-arm clinical trial of secukinumab, a monoclonal antibody that inhibits IL-17A, for the treatment of PRP.\nOBJECTIVES: To evaluate the clinical efficacy of secukinumab and define the transcriptomic landscape of PRP and its response to IL-17A blockade.\nMETHODS: Twelve patients with PRP were recruited for an open-label trial of secukinumab. Patients received a 24-week course of secukinumab. The primary endpoint was a ≥ 75% reduction in Psoriasis Area and Severity Index (PASI 75) from baseline to week 28. Secondary endpoints included PASI 90, change in Physician's Global Assessment (PGA), and change in Dermatology Life Quality Index (DLQI). RNA sequencing was performed on lesional and nonlesional skin biopsies obtained at baseline and week 2. Sample groups were compared to identify differential gene expression and pathway enrichment. This trial was registered with ClinicalTrials.gov: 'Cosentyx (secukinumab) for the treatment of adult onset pityriasis rubra pilaris' - NCT03342573.\nRESULTS: At week 28, six of 11 patients (55%) achieved PASI 75, and three patients (27%) achieved PASI 90. PGA (P = 0.008) and DLQI scores (P = 0.010) showed significant improvement with treatment. No serious treatment-related adverse events were encountered. Treatment with secukinumab normalized transcriptional differences between lesional and nonlesional skin. Transcriptomic data from nonresponsive patients suggest that overactivity of innate immune pathways may be driving resistance to secukinumab.\nCONCLUSIONS: Secukinumab appears to be an effective treatment for PRP and warrants further investigation. PRP is a transcriptionally heterogeneous disease, reflecting its variable response to therapy. Agents targeting other IL-17 isoforms and innate immune mediators should be considered for future clinical trials. What is already known about this topic? The pathogenesis of pityriasis rubra pilaris is incompletely understood. Successful treatment has been reported with a variety of immunomodulatory agents, but disease is often refractory to therapy. Interleukin (IL)-17 is thought to drive keratinocyte proliferation and vascular dysfunction in this disease. A previous trial demonstrated efficacy of the anti-IL-17A drug ixekizumab for pityriasis rubra pilaris. What does this study add? Herein we describe the findings of a clinical trial of secukinumab, an anti-IL-17A monoclonal antibody, for the treatment of pityriasis rubra pilaris. Secukinumab was effective in treating pityriasis rubra pilaris. Our transcriptomic data give new insight into the expressional changes that occur in response to secukinumab and suggest mechanisms of treatment resistance.","container-title":"The British Journal of Dermatology","DOI":"10.1111/bjd.21708","ISSN":"1365-2133","issue":"5","journalAbbreviation":"Br J Dermatol","language":"eng","note":"PMID: 35701384","page":"650-658","source":"PubMed","title":"Secukinumab for the treatment of adult-onset pityriasis rubra pilaris: a single-arm clinical trial with transcriptomic analysis","title-short":"Secukinumab for the treatment of adult-onset pityriasis rubra pilaris","volume":"187","author":[{"family":"Boudreaux","given":"Blake W."},{"family":"Pincelli","given":"Thais P."},{"family":"Bhullar","given":"Puneet K."},{"family":"Patel","given":"Meera H."},{"family":"Brumfiel","given":"Caitlin M."},{"family":"Li","given":"Xing"},{"family":"Heckman","given":"Michael G."},{"family":"Pittelkow","given":"Mark R."},{"family":"Mangold","given":"Aaron R."},{"family":"Sluzevich","given":"Jason C."}],"issued":{"date-parts":[["2022",11]]}}}],"schema":"https://github.com/citation-style-language/schema/raw/master/csl-citation.json"} </w:instrText>
      </w:r>
      <w:r w:rsidR="00710A9B">
        <w:rPr>
          <w:rFonts w:ascii="Calibri" w:eastAsia="Calibri" w:hAnsi="Calibri" w:cs="Calibri"/>
          <w:sz w:val="24"/>
          <w:szCs w:val="24"/>
          <w:lang w:val="en-US"/>
        </w:rPr>
        <w:fldChar w:fldCharType="separate"/>
      </w:r>
      <w:r w:rsidR="00710A9B" w:rsidRPr="000004F0">
        <w:rPr>
          <w:rFonts w:ascii="Calibri" w:hAnsi="Calibri" w:cs="Calibri"/>
          <w:sz w:val="24"/>
          <w:vertAlign w:val="superscript"/>
          <w:lang w:val="en-US"/>
        </w:rPr>
        <w:t>4</w:t>
      </w:r>
      <w:r w:rsidR="00710A9B">
        <w:rPr>
          <w:rFonts w:ascii="Calibri" w:eastAsia="Calibri" w:hAnsi="Calibri" w:cs="Calibri"/>
          <w:sz w:val="24"/>
          <w:szCs w:val="24"/>
          <w:lang w:val="en-US"/>
        </w:rPr>
        <w:fldChar w:fldCharType="end"/>
      </w:r>
      <w:r w:rsidR="00710A9B">
        <w:rPr>
          <w:rFonts w:ascii="Calibri" w:eastAsia="Calibri" w:hAnsi="Calibri" w:cs="Calibri"/>
          <w:sz w:val="24"/>
          <w:szCs w:val="24"/>
          <w:lang w:val="en-US"/>
        </w:rPr>
        <w:t>.</w:t>
      </w:r>
    </w:p>
    <w:p w14:paraId="000000DA" w14:textId="77777777" w:rsidR="0046705A" w:rsidRPr="00534DA6" w:rsidRDefault="0046705A">
      <w:pPr>
        <w:jc w:val="both"/>
        <w:rPr>
          <w:rFonts w:ascii="Calibri" w:eastAsia="Calibri" w:hAnsi="Calibri" w:cs="Calibri"/>
          <w:sz w:val="24"/>
          <w:szCs w:val="24"/>
          <w:lang w:val="en-US"/>
        </w:rPr>
      </w:pPr>
    </w:p>
    <w:p w14:paraId="000000DB" w14:textId="77777777" w:rsidR="0046705A" w:rsidRPr="00534DA6" w:rsidRDefault="00E67B44" w:rsidP="000E4817">
      <w:pPr>
        <w:pStyle w:val="Heading2"/>
        <w:rPr>
          <w:lang w:val="en-US"/>
        </w:rPr>
      </w:pPr>
      <w:bookmarkStart w:id="34" w:name="_Toc144374735"/>
      <w:r w:rsidRPr="00534DA6">
        <w:rPr>
          <w:i/>
          <w:lang w:val="en-US"/>
        </w:rPr>
        <w:lastRenderedPageBreak/>
        <w:t>In vitro</w:t>
      </w:r>
      <w:r w:rsidRPr="00534DA6">
        <w:rPr>
          <w:lang w:val="en-US"/>
        </w:rPr>
        <w:t xml:space="preserve"> stimulation of keratinocytes</w:t>
      </w:r>
      <w:bookmarkEnd w:id="34"/>
      <w:r w:rsidRPr="00534DA6">
        <w:rPr>
          <w:lang w:val="en-US"/>
        </w:rPr>
        <w:t xml:space="preserve"> </w:t>
      </w:r>
    </w:p>
    <w:p w14:paraId="000000DC" w14:textId="77777777" w:rsidR="0046705A" w:rsidRPr="00534DA6" w:rsidRDefault="00E67B44">
      <w:pPr>
        <w:jc w:val="both"/>
        <w:rPr>
          <w:rFonts w:ascii="Calibri" w:eastAsia="Calibri" w:hAnsi="Calibri" w:cs="Calibri"/>
          <w:sz w:val="24"/>
          <w:szCs w:val="24"/>
          <w:lang w:val="en-US"/>
        </w:rPr>
      </w:pPr>
      <w:r w:rsidRPr="00534DA6">
        <w:rPr>
          <w:rFonts w:ascii="Calibri" w:eastAsia="Calibri" w:hAnsi="Calibri" w:cs="Calibri"/>
          <w:sz w:val="24"/>
          <w:szCs w:val="24"/>
          <w:lang w:val="en-US"/>
        </w:rPr>
        <w:t xml:space="preserve">Primary human keratinocytes were stimulated with cytokines (R&amp;D Systems) for 8 hours and cells were harvested for RNA for RNA-seq.  Treatments included unstimulated control, IL-17A (10 ng/ml), IFN (5 ng/ml), IFNα (5 ng/ml), TNF (10 ng/ml), IL-17A+TNF (10 ng/ml for each cytokine), IL-4 (10 ng/ml), IL-13 (10 ng/ml), IL-1β (10 ng/ml), and IL-36γ (10 ng/ml). </w:t>
      </w:r>
    </w:p>
    <w:p w14:paraId="000000DD" w14:textId="62086068" w:rsidR="0046705A" w:rsidRPr="00534DA6" w:rsidRDefault="00E67B44">
      <w:pPr>
        <w:jc w:val="both"/>
        <w:rPr>
          <w:rFonts w:ascii="Calibri" w:eastAsia="Calibri" w:hAnsi="Calibri" w:cs="Calibri"/>
          <w:sz w:val="24"/>
          <w:szCs w:val="24"/>
          <w:lang w:val="en-US"/>
        </w:rPr>
      </w:pPr>
      <w:r w:rsidRPr="00534DA6">
        <w:rPr>
          <w:rFonts w:ascii="Calibri" w:eastAsia="Calibri" w:hAnsi="Calibri" w:cs="Calibri"/>
          <w:sz w:val="24"/>
          <w:szCs w:val="24"/>
          <w:lang w:val="en-US"/>
        </w:rPr>
        <w:t>DE analysis was performed on the whole transcriptome for 20 controls (</w:t>
      </w:r>
      <w:r w:rsidR="00E825CC" w:rsidRPr="00534DA6">
        <w:rPr>
          <w:rFonts w:ascii="Calibri" w:eastAsia="Calibri" w:hAnsi="Calibri" w:cs="Calibri"/>
          <w:sz w:val="24"/>
          <w:szCs w:val="24"/>
          <w:lang w:val="en-US"/>
        </w:rPr>
        <w:t>non-stimulation</w:t>
      </w:r>
      <w:r w:rsidRPr="00534DA6">
        <w:rPr>
          <w:rFonts w:ascii="Calibri" w:eastAsia="Calibri" w:hAnsi="Calibri" w:cs="Calibri"/>
          <w:sz w:val="24"/>
          <w:szCs w:val="24"/>
          <w:lang w:val="en-US"/>
        </w:rPr>
        <w:t>) and 20 IL1-1β stimulated samples (paired analysis). GSEA</w:t>
      </w:r>
      <w:r w:rsidR="00710A9B">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{"citationID":"iqxVxaDw","properties":{"formattedCitation":"\\super 9\\nosupersub{}","plainCitation":"9","noteIndex":0},"citationItems":[{"id":133,"uris":["http://zotero.org/users/5044956/items/RLKSWI8F"],"itemData":{"id":133,"type":"article-journal","abstract":"Although genomewide RNA expression analysis has become a routine tool in biomedical research, extracting biological insight from such information remains a major challenge. Here, we describe a powerful analytical method called Gene Set Enrichment Analysis (GSEA) for interpreting gene expression data. The method derives its power by focusing on gene sets, that is, groups of genes that share common biological function, chromosomal location, or regulation. We demonstrate how GSEA yields insights into several cancer-related data sets, including leukemia and lung cancer. Notably, where single-gene analysis finds little similarity between two independent studies of patient survival in lung cancer, GSEA reveals many biological pathways in common. The GSEA method is embodied in a freely available software package, together with an initial database of 1,325 biologically defined gene sets.","container-title":"Proceedings of the National Academy of Sciences of the United States of America","DOI":"10.1073/pnas.0506580102","ISSN":"0027-8424","issue":"43","journalAbbreviation":"Proc Natl Acad Sci U S A","note":"PMID: 16199517\nPMCID: PMC1239896","page":"15545-15550","source":"PubMed Central","title":"Gene set enrichment analysis: A knowledge-based approach for interpreting genome-wide expression profiles","title-short":"Gene set enrichment analysis","volume":"102","author":[{"family":"Subramanian","given":"Aravind"},{"family":"Tamayo","given":"Pablo"},{"family":"Mootha","given":"Vamsi K."},{"family":"Mukherjee","given":"Sayan"},{"family":"Ebert","given":"Benjamin L."},{"family":"Gillette","given":"Michael A."},{"family":"Paulovich","given":"Amanda"},{"family":"Pomeroy","given":"Scott L."},{"family":"Golub","given":"Todd R."},{"family":"Lander","given":"Eric S."},{"family":"Mesirov","given":"Jill P."}],"issued":{"date-parts":[["2005",10,25]]}}}],"schema":"https://github.com/citation-style-language/schema/raw/master/csl-citation.json"} </w:instrText>
      </w:r>
      <w:r w:rsidR="00710A9B">
        <w:rPr>
          <w:rFonts w:ascii="Calibri" w:eastAsia="Calibri" w:hAnsi="Calibri" w:cs="Calibri"/>
          <w:sz w:val="24"/>
          <w:szCs w:val="24"/>
          <w:lang w:val="en-US"/>
        </w:rPr>
        <w:fldChar w:fldCharType="separate"/>
      </w:r>
      <w:r w:rsidR="00710A9B" w:rsidRPr="00710A9B">
        <w:rPr>
          <w:rFonts w:ascii="Calibri" w:hAnsi="Calibri" w:cs="Calibri"/>
          <w:sz w:val="24"/>
          <w:vertAlign w:val="superscript"/>
        </w:rPr>
        <w:t>9</w:t>
      </w:r>
      <w:r w:rsidR="00710A9B">
        <w:rPr>
          <w:rFonts w:ascii="Calibri" w:eastAsia="Calibri" w:hAnsi="Calibri" w:cs="Calibri"/>
          <w:sz w:val="24"/>
          <w:szCs w:val="24"/>
          <w:lang w:val="en-US"/>
        </w:rPr>
        <w:fldChar w:fldCharType="end"/>
      </w:r>
      <w:r w:rsidRPr="00534DA6">
        <w:rPr>
          <w:rFonts w:ascii="Calibri" w:eastAsia="Calibri" w:hAnsi="Calibri" w:cs="Calibri"/>
          <w:sz w:val="24"/>
          <w:szCs w:val="24"/>
          <w:lang w:val="en-US"/>
        </w:rPr>
        <w:t xml:space="preserve"> analysis was performed on the DE results using gseapy</w:t>
      </w:r>
      <w:r w:rsidR="00E825CC">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{"citationID":"78LZOous","properties":{"formattedCitation":"\\super 7\\nosupersub{}","plainCitation":"7","noteIndex":0},"citationItems":[{"id":1222,"uris":["http://zotero.org/users/5044956/items/KTRQGIFY"],"itemData":{"id":1222,"type":"article-journal","abstract":"Gene set enrichment analysis (GSEA) is a commonly used algorithm for characterizing gene expression changes. However, the currently available tools used to perform GSEA have a limited ability to analyze large datasets, which is particularly problematic for the analysis of single-cell data. To overcome this limitation, we developed a GSEA package in Python (GSEApy), which could efficiently analyze large single-cell datasets.We present a package (GSEApy) that performs GSEA in either the command line or Python environment. GSEApy uses a Rust implementation to enable it to calculate the same enrichment statistic as GSEA for a collection of pathways. The Rust implementation of GSEApy is 3-fold faster than the Numpy version of GSEApy (v0.10.8) and uses &amp;gt;4-fold less memory. GSEApy also provides an interface between Python and Enrichr web services, as well as for BioMart. The Enrichr application programming interface enables GSEApy to perform over-representation analysis for an input gene list. Furthermore, GSEApy consists of several tools, each designed to facilitate a particular type of enrichment analysis.The new GSEApy with Rust extension is deposited in PyPI: https://pypi.org/project/gseapy/. The GSEApy source code is freely available at https://github.com/zqfang/GSEApy. Also, the documentation website is available at https://gseapy.rtfd.io/.Supplementary data are available at Bioinformatics online.","container-title":"Bioinformatics","DOI":"10.1093/bioinformatics/btac757","ISSN":"1367-4811","issue":"1","journalAbbreviation":"Bioinformatics","page":"btac757","source":"Silverchair","title":"GSEApy: a comprehensive package for performing gene set enrichment analysis in Python","title-short":"GSEApy","volume":"39","author":[{"family":"Fang","given":"Zhuoqing"},{"family":"Liu","given":"Xinyuan"},{"family":"Peltz","given":"Gary"}],"issued":{"date-parts":[["2023",1,1]]}}}],"schema":"https://github.com/citation-style-language/schema/raw/master/csl-citation.json"} </w:instrText>
      </w:r>
      <w:r w:rsidR="00E825CC">
        <w:rPr>
          <w:rFonts w:ascii="Calibri" w:eastAsia="Calibri" w:hAnsi="Calibri" w:cs="Calibri"/>
          <w:sz w:val="24"/>
          <w:szCs w:val="24"/>
          <w:lang w:val="en-US"/>
        </w:rPr>
        <w:fldChar w:fldCharType="separate"/>
      </w:r>
      <w:r w:rsidR="00710A9B" w:rsidRPr="000004F0">
        <w:rPr>
          <w:rFonts w:ascii="Calibri" w:hAnsi="Calibri" w:cs="Calibri"/>
          <w:sz w:val="24"/>
          <w:vertAlign w:val="superscript"/>
          <w:lang w:val="en-US"/>
        </w:rPr>
        <w:t>7</w:t>
      </w:r>
      <w:r w:rsidR="00E825CC">
        <w:rPr>
          <w:rFonts w:ascii="Calibri" w:eastAsia="Calibri" w:hAnsi="Calibri" w:cs="Calibri"/>
          <w:sz w:val="24"/>
          <w:szCs w:val="24"/>
          <w:lang w:val="en-US"/>
        </w:rPr>
        <w:fldChar w:fldCharType="end"/>
      </w:r>
      <w:r w:rsidRPr="00534DA6">
        <w:rPr>
          <w:rFonts w:ascii="Calibri" w:eastAsia="Calibri" w:hAnsi="Calibri" w:cs="Calibri"/>
          <w:sz w:val="24"/>
          <w:szCs w:val="24"/>
          <w:lang w:val="en-US"/>
        </w:rPr>
        <w:t xml:space="preserve"> </w:t>
      </w:r>
      <w:proofErr w:type="spellStart"/>
      <w:r w:rsidRPr="00534DA6">
        <w:rPr>
          <w:rFonts w:ascii="Calibri" w:eastAsia="Calibri" w:hAnsi="Calibri" w:cs="Calibri"/>
          <w:sz w:val="24"/>
          <w:szCs w:val="24"/>
          <w:lang w:val="en-US"/>
        </w:rPr>
        <w:t>prerank</w:t>
      </w:r>
      <w:proofErr w:type="spellEnd"/>
      <w:r w:rsidRPr="00534DA6">
        <w:rPr>
          <w:rFonts w:ascii="Calibri" w:eastAsia="Calibri" w:hAnsi="Calibri" w:cs="Calibri"/>
          <w:sz w:val="24"/>
          <w:szCs w:val="24"/>
          <w:lang w:val="en-US"/>
        </w:rPr>
        <w:t xml:space="preserve"> module for the DEGs in the stimulation.  In addition, gseapy</w:t>
      </w:r>
      <w:r w:rsidR="00E825CC">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{"citationID":"0IuFIqwu","properties":{"formattedCitation":"\\super 7\\nosupersub{}","plainCitation":"7","noteIndex":0},"citationItems":[{"id":1222,"uris":["http://zotero.org/users/5044956/items/KTRQGIFY"],"itemData":{"id":1222,"type":"article-journal","abstract":"Gene set enrichment analysis (GSEA) is a commonly used algorithm for characterizing gene expression changes. However, the currently available tools used to perform GSEA have a limited ability to analyze large datasets, which is particularly problematic for the analysis of single-cell data. To overcome this limitation, we developed a GSEA package in Python (GSEApy), which could efficiently analyze large single-cell datasets.We present a package (GSEApy) that performs GSEA in either the command line or Python environment. GSEApy uses a Rust implementation to enable it to calculate the same enrichment statistic as GSEA for a collection of pathways. The Rust implementation of GSEApy is 3-fold faster than the Numpy version of GSEApy (v0.10.8) and uses &amp;gt;4-fold less memory. GSEApy also provides an interface between Python and Enrichr web services, as well as for BioMart. The Enrichr application programming interface enables GSEApy to perform over-representation analysis for an input gene list. Furthermore, GSEApy consists of several tools, each designed to facilitate a particular type of enrichment analysis.The new GSEApy with Rust extension is deposited in PyPI: https://pypi.org/project/gseapy/. The GSEApy source code is freely available at https://github.com/zqfang/GSEApy. Also, the documentation website is available at https://gseapy.rtfd.io/.Supplementary data are available at Bioinformatics online.","container-title":"Bioinformatics","DOI":"10.1093/bioinformatics/btac757","ISSN":"1367-4811","issue":"1","journalAbbreviation":"Bioinformatics","page":"btac757","source":"Silverchair","title":"GSEApy: a comprehensive package for performing gene set enrichment analysis in Python","title-short":"GSEApy","volume":"39","author":[{"family":"Fang","given":"Zhuoqing"},{"family":"Liu","given":"Xinyuan"},{"family":"Peltz","given":"Gary"}],"issued":{"date-parts":[["2023",1,1]]}}}],"schema":"https://github.com/citation-style-language/schema/raw/master/csl-citation.json"} </w:instrText>
      </w:r>
      <w:r w:rsidR="00E825CC">
        <w:rPr>
          <w:rFonts w:ascii="Calibri" w:eastAsia="Calibri" w:hAnsi="Calibri" w:cs="Calibri"/>
          <w:sz w:val="24"/>
          <w:szCs w:val="24"/>
          <w:lang w:val="en-US"/>
        </w:rPr>
        <w:fldChar w:fldCharType="separate"/>
      </w:r>
      <w:r w:rsidR="00710A9B" w:rsidRPr="000004F0">
        <w:rPr>
          <w:rFonts w:ascii="Calibri" w:hAnsi="Calibri" w:cs="Calibri"/>
          <w:sz w:val="24"/>
          <w:vertAlign w:val="superscript"/>
          <w:lang w:val="en-US"/>
        </w:rPr>
        <w:t>7</w:t>
      </w:r>
      <w:r w:rsidR="00E825CC">
        <w:rPr>
          <w:rFonts w:ascii="Calibri" w:eastAsia="Calibri" w:hAnsi="Calibri" w:cs="Calibri"/>
          <w:sz w:val="24"/>
          <w:szCs w:val="24"/>
          <w:lang w:val="en-US"/>
        </w:rPr>
        <w:fldChar w:fldCharType="end"/>
      </w:r>
      <w:r w:rsidRPr="00534DA6">
        <w:rPr>
          <w:rFonts w:ascii="Calibri" w:eastAsia="Calibri" w:hAnsi="Calibri" w:cs="Calibri"/>
          <w:sz w:val="24"/>
          <w:szCs w:val="24"/>
          <w:lang w:val="en-US"/>
        </w:rPr>
        <w:t xml:space="preserve"> </w:t>
      </w:r>
      <w:proofErr w:type="spellStart"/>
      <w:r w:rsidRPr="00534DA6">
        <w:rPr>
          <w:rFonts w:ascii="Calibri" w:eastAsia="Calibri" w:hAnsi="Calibri" w:cs="Calibri"/>
          <w:sz w:val="24"/>
          <w:szCs w:val="24"/>
          <w:lang w:val="en-US"/>
        </w:rPr>
        <w:t>enrichr</w:t>
      </w:r>
      <w:proofErr w:type="spellEnd"/>
      <w:r w:rsidRPr="00534DA6">
        <w:rPr>
          <w:rFonts w:ascii="Calibri" w:eastAsia="Calibri" w:hAnsi="Calibri" w:cs="Calibri"/>
          <w:sz w:val="24"/>
          <w:szCs w:val="24"/>
          <w:lang w:val="en-US"/>
        </w:rPr>
        <w:t xml:space="preserve"> module was used to perform over representation analysis on genes that were significantly DE with positive LFC in both stimulation and PRP bulk RNA-seq. For CCL20 expression changes with other stimulations, we ran paired t-test with </w:t>
      </w:r>
      <w:proofErr w:type="spellStart"/>
      <w:r w:rsidRPr="00534DA6">
        <w:rPr>
          <w:rFonts w:ascii="Calibri" w:eastAsia="Calibri" w:hAnsi="Calibri" w:cs="Calibri"/>
          <w:sz w:val="24"/>
          <w:szCs w:val="24"/>
          <w:lang w:val="en-US"/>
        </w:rPr>
        <w:t>scipy.stats.ttest_rel</w:t>
      </w:r>
      <w:proofErr w:type="spellEnd"/>
      <w:r w:rsidRPr="00534DA6">
        <w:rPr>
          <w:rFonts w:ascii="Calibri" w:eastAsia="Calibri" w:hAnsi="Calibri" w:cs="Calibri"/>
          <w:sz w:val="24"/>
          <w:szCs w:val="24"/>
          <w:lang w:val="en-US"/>
        </w:rPr>
        <w:t xml:space="preserve">, on the log normalized count, with FDR correction using the </w:t>
      </w:r>
      <w:proofErr w:type="spellStart"/>
      <w:r w:rsidRPr="00534DA6">
        <w:rPr>
          <w:rFonts w:ascii="Calibri" w:eastAsia="Calibri" w:hAnsi="Calibri" w:cs="Calibri"/>
          <w:sz w:val="24"/>
          <w:szCs w:val="24"/>
          <w:lang w:val="en-US"/>
        </w:rPr>
        <w:t>Benjamini</w:t>
      </w:r>
      <w:proofErr w:type="spellEnd"/>
      <w:r w:rsidRPr="00534DA6">
        <w:rPr>
          <w:rFonts w:ascii="Calibri" w:eastAsia="Calibri" w:hAnsi="Calibri" w:cs="Calibri"/>
          <w:sz w:val="24"/>
          <w:szCs w:val="24"/>
          <w:lang w:val="en-US"/>
        </w:rPr>
        <w:t xml:space="preserve"> Hochberg method</w:t>
      </w:r>
      <w:r w:rsidR="00E825CC">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{"citationID":"cw0AHojC","properties":{"formattedCitation":"\\super 10\\nosupersub{}","plainCitation":"10","noteIndex":0},"citationItems":[{"id":1231,"uris":["http://zotero.org/users/5044956/items/E6LI6FLJ"],"itemData":{"id":1231,"type":"article-journal","abstract":"The common approach to the multiplicity problem calls for controlling the familywise error rate (FWER). This approach, though, has faults, and we point out a few. A different approach to problems of multiple significance testing is presented. It calls for controlling the expected proportion of falsely rejected hypotheses — the false discovery rate. This error rate is equivalent to the FWER when all hypotheses are true but is smaller otherwise. Therefore, in problems where the control of the false discovery rate rather than that of the FWER is desired, there is potential for a gain in power. A simple sequential Bonferronitype procedure is proved to control the false discovery rate for independent test statistics, and a simulation study shows that the gain in power is substantial. The use of the new procedure and the appropriateness of the criterion are illustrated with examples.","container-title":"Journal of the Royal Statistical Society: Series B (Methodological)","DOI":"10.1111/j.2517-6161.1995.tb02031.x","ISSN":"2517-6161","issue":"1","language":"en","license":"© 1995 Royal Statistical Society","note":"_eprint: https://onlinelibrary.wiley.com/doi/pdf/10.1111/j.2517-6161.1995.tb02031.x","page":"289-300","source":"Wiley Online Library","title":"Controlling the False Discovery Rate: A Practical and Powerful Approach to Multiple Testing","title-short":"Controlling the False Discovery Rate","volume":"57","author":[{"family":"Benjamini","given":"Yoav"},{"family":"Hochberg","given":"Yosef"}],"issued":{"date-parts":[["1995"]]}}}],"schema":"https://github.com/citation-style-language/schema/raw/master/csl-citation.json"} </w:instrText>
      </w:r>
      <w:r w:rsidR="00E825CC">
        <w:rPr>
          <w:rFonts w:ascii="Calibri" w:eastAsia="Calibri" w:hAnsi="Calibri" w:cs="Calibri"/>
          <w:sz w:val="24"/>
          <w:szCs w:val="24"/>
          <w:lang w:val="en-US"/>
        </w:rPr>
        <w:fldChar w:fldCharType="separate"/>
      </w:r>
      <w:r w:rsidR="00710A9B" w:rsidRPr="000004F0">
        <w:rPr>
          <w:rFonts w:ascii="Calibri" w:hAnsi="Calibri" w:cs="Calibri"/>
          <w:sz w:val="24"/>
          <w:vertAlign w:val="superscript"/>
          <w:lang w:val="en-US"/>
        </w:rPr>
        <w:t>10</w:t>
      </w:r>
      <w:r w:rsidR="00E825CC">
        <w:rPr>
          <w:rFonts w:ascii="Calibri" w:eastAsia="Calibri" w:hAnsi="Calibri" w:cs="Calibri"/>
          <w:sz w:val="24"/>
          <w:szCs w:val="24"/>
          <w:lang w:val="en-US"/>
        </w:rPr>
        <w:fldChar w:fldCharType="end"/>
      </w:r>
      <w:r w:rsidRPr="00534DA6">
        <w:rPr>
          <w:rFonts w:ascii="Calibri" w:eastAsia="Calibri" w:hAnsi="Calibri" w:cs="Calibri"/>
          <w:sz w:val="24"/>
          <w:szCs w:val="24"/>
          <w:lang w:val="en-US"/>
        </w:rPr>
        <w:t xml:space="preserve"> (BH). </w:t>
      </w:r>
    </w:p>
    <w:p w14:paraId="000000DE" w14:textId="77777777" w:rsidR="0046705A" w:rsidRPr="00534DA6" w:rsidRDefault="0046705A">
      <w:pPr>
        <w:jc w:val="both"/>
        <w:rPr>
          <w:rFonts w:ascii="Calibri" w:eastAsia="Calibri" w:hAnsi="Calibri" w:cs="Calibri"/>
          <w:sz w:val="24"/>
          <w:szCs w:val="24"/>
          <w:lang w:val="en-US"/>
        </w:rPr>
      </w:pPr>
    </w:p>
    <w:p w14:paraId="000000DF" w14:textId="31167DEE" w:rsidR="0046705A" w:rsidRPr="00534DA6" w:rsidRDefault="00E67B44" w:rsidP="000E4817">
      <w:pPr>
        <w:pStyle w:val="Heading2"/>
        <w:rPr>
          <w:lang w:val="en-US"/>
        </w:rPr>
      </w:pPr>
      <w:bookmarkStart w:id="35" w:name="_Toc144374736"/>
      <w:r w:rsidRPr="00534DA6">
        <w:rPr>
          <w:lang w:val="en-US"/>
        </w:rPr>
        <w:t xml:space="preserve">Single cell dissection of CARD14 gain of function mutation in mice </w:t>
      </w:r>
      <w:r w:rsidR="000E4817" w:rsidRPr="00534DA6">
        <w:rPr>
          <w:lang w:val="en-US"/>
        </w:rPr>
        <w:t>dataset.</w:t>
      </w:r>
      <w:bookmarkEnd w:id="35"/>
    </w:p>
    <w:p w14:paraId="000000E0" w14:textId="7722475B" w:rsidR="0046705A" w:rsidRPr="00534DA6" w:rsidRDefault="00E67B44">
      <w:pPr>
        <w:jc w:val="both"/>
        <w:rPr>
          <w:rFonts w:ascii="Calibri" w:eastAsia="Calibri" w:hAnsi="Calibri" w:cs="Calibri"/>
          <w:sz w:val="24"/>
          <w:szCs w:val="24"/>
          <w:lang w:val="en-US"/>
        </w:rPr>
      </w:pPr>
      <w:r w:rsidRPr="00534DA6">
        <w:rPr>
          <w:rFonts w:ascii="Calibri" w:eastAsia="Calibri" w:hAnsi="Calibri" w:cs="Calibri"/>
          <w:sz w:val="24"/>
          <w:szCs w:val="24"/>
          <w:lang w:val="en-US"/>
        </w:rPr>
        <w:t>Processed counts</w:t>
      </w:r>
      <w:r w:rsidR="00E825CC">
        <w:rPr>
          <w:rFonts w:ascii="Calibri" w:eastAsia="Calibri" w:hAnsi="Calibri" w:cs="Calibri"/>
          <w:sz w:val="24"/>
          <w:szCs w:val="24"/>
          <w:lang w:val="en-US"/>
        </w:rPr>
        <w:t xml:space="preserve"> from the CARD14 gain of function mouse model single cell RNA seq data</w:t>
      </w:r>
      <w:r w:rsidR="00E825CC">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{"citationID":"HNCNRXVW","properties":{"formattedCitation":"\\super 11\\nosupersub{}","plainCitation":"11","noteIndex":0},"citationItems":[{"id":1195,"uris":["http://zotero.org/users/5044956/items/M4E7KBHY"],"itemData":{"id":1195,"type":"report","abstract":"Abstract\n          Pityriasis rubra pilaris (PRP) is a rare inflammatory keratinization disorder with perifollicular erythema, and most autosomal dominant familial cases of atypical juvenile (type V) PRP are caused by gain-of-function mutations in CARD14, which encodes caspase recruitment domain-containing protein 14 (CARD14). We report the first mouse model of PRP to carry a homozygous knock-in mutation, c.380G&gt;C (p.Cys127Ser) corresponding to a PRP-causative human mutation, in CARD14. The Card14C127S/C127S knock-in mice recapitulate key aspects of human PRP, including hair follicle dilatation, follicular plugs, and palmoplantar hyperkeratosis, and show skin barrier dysfunction, the hyperactivation of innate immunity via the IL-36 signaling and inflammasome pathways, and the excessive activation of the IL-17 axis in the outer root sheath and interfollicular epidermis. Administering anti-IL-17A neutralizing antibody significantly attenuates the skin symptoms in mutant mice. Thus, this knock-in mouse is a valid model for further evaluating early events in the PRP pathogenesis and for developing PRP therapies.","genre":"preprint","language":"en","note":"DOI: 10.21203/rs.3.rs-2513325/v1","publisher":"In Review","source":"DOI.org (Crossref)","title":"IL-17 axis is a significant driver of skin inflammation in Card14 mutant pityriasis rubra pilaris model mice","URL":"https://www.researchsquare.com/article/rs-2513325/v1","author":[{"family":"Yoshikawa","given":"Takenori"},{"family":"Takeichi","given":"Takuya"},{"family":"Hirabayashi","given":"Tetsuya"},{"family":"Muro","given":"Yoshinao"},{"family":"Miyasaka","given":"Yuki"},{"family":"Ohno","given":"Tamio"},{"family":"Akiyama","given":"Masashi"}],"accessed":{"date-parts":[["2023",8,25]]},"issued":{"date-parts":[["2023",2,2]]}}}],"schema":"https://github.com/citation-style-language/schema/raw/master/csl-citation.json"} </w:instrText>
      </w:r>
      <w:r w:rsidR="00E825CC">
        <w:rPr>
          <w:rFonts w:ascii="Calibri" w:eastAsia="Calibri" w:hAnsi="Calibri" w:cs="Calibri"/>
          <w:sz w:val="24"/>
          <w:szCs w:val="24"/>
          <w:lang w:val="en-US"/>
        </w:rPr>
        <w:fldChar w:fldCharType="separate"/>
      </w:r>
      <w:r w:rsidR="00710A9B" w:rsidRPr="000004F0">
        <w:rPr>
          <w:rFonts w:ascii="Calibri" w:hAnsi="Calibri" w:cs="Calibri"/>
          <w:sz w:val="24"/>
          <w:vertAlign w:val="superscript"/>
          <w:lang w:val="en-US"/>
        </w:rPr>
        <w:t>11</w:t>
      </w:r>
      <w:r w:rsidR="00E825CC">
        <w:rPr>
          <w:rFonts w:ascii="Calibri" w:eastAsia="Calibri" w:hAnsi="Calibri" w:cs="Calibri"/>
          <w:sz w:val="24"/>
          <w:szCs w:val="24"/>
          <w:lang w:val="en-US"/>
        </w:rPr>
        <w:fldChar w:fldCharType="end"/>
      </w:r>
      <w:r w:rsidRPr="00534DA6">
        <w:rPr>
          <w:rFonts w:ascii="Calibri" w:eastAsia="Calibri" w:hAnsi="Calibri" w:cs="Calibri"/>
          <w:sz w:val="24"/>
          <w:szCs w:val="24"/>
          <w:lang w:val="en-US"/>
        </w:rPr>
        <w:t xml:space="preserve"> were obtained from the GEO accession number GSE204731 in the form of a count matrix. Both samples (control and CARD14 gain-of-function) were analyzed </w:t>
      </w:r>
      <w:r w:rsidR="00E825CC">
        <w:rPr>
          <w:rFonts w:ascii="Calibri" w:eastAsia="Calibri" w:hAnsi="Calibri" w:cs="Calibri"/>
          <w:sz w:val="24"/>
          <w:szCs w:val="24"/>
          <w:lang w:val="en-US"/>
        </w:rPr>
        <w:t>using</w:t>
      </w:r>
      <w:r w:rsidRPr="00534DA6">
        <w:rPr>
          <w:rFonts w:ascii="Calibri" w:eastAsia="Calibri" w:hAnsi="Calibri" w:cs="Calibri"/>
          <w:sz w:val="24"/>
          <w:szCs w:val="24"/>
          <w:lang w:val="en-US"/>
        </w:rPr>
        <w:t xml:space="preserve"> Scanpy</w:t>
      </w:r>
      <w:r w:rsidR="00E825CC">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{"citationID":"3J7qBmve","properties":{"formattedCitation":"\\super 12\\nosupersub{}","plainCitation":"12","noteIndex":0},"citationItems":[{"id":131,"uris":["http://zotero.org/users/5044956/items/VXTHW2C8"],"itemData":{"id":131,"type":"article-journal","abstract":"Scanpy is a scalable toolkit for analyzing single-cell gene expression data. It includes methods for preprocessing, visualization, clustering, pseudotime and trajectory inference, differential expression testing, and simulation of gene regulatory networks. Its Python-based implementation efficiently deals with data sets of more than one million cells (https://github.com/theislab/Scanpy). Along with Scanpy, we present AnnData, a generic class for handling annotated data matrices (https://github.com/theislab/anndata).","container-title":"Genome Biology","DOI":"10.1186/s13059-017-1382-0","ISSN":"1474-760X","issue":"1","journalAbbreviation":"Genome Biology","page":"15","source":"BioMed Central","title":"SCANPY: large-scale single-cell gene expression data analysis","title-short":"SCANPY","volume":"19","author":[{"family":"Wolf","given":"F. Alexander"},{"family":"Angerer","given":"Philipp"},{"family":"Theis","given":"Fabian J."}],"issued":{"date-parts":[["2018",2,6]]}}}],"schema":"https://github.com/citation-style-language/schema/raw/master/csl-citation.json"} </w:instrText>
      </w:r>
      <w:r w:rsidR="00E825CC">
        <w:rPr>
          <w:rFonts w:ascii="Calibri" w:eastAsia="Calibri" w:hAnsi="Calibri" w:cs="Calibri"/>
          <w:sz w:val="24"/>
          <w:szCs w:val="24"/>
          <w:lang w:val="en-US"/>
        </w:rPr>
        <w:fldChar w:fldCharType="separate"/>
      </w:r>
      <w:r w:rsidR="00710A9B" w:rsidRPr="000004F0">
        <w:rPr>
          <w:rFonts w:ascii="Calibri" w:hAnsi="Calibri" w:cs="Calibri"/>
          <w:sz w:val="24"/>
          <w:vertAlign w:val="superscript"/>
          <w:lang w:val="en-US"/>
        </w:rPr>
        <w:t>12</w:t>
      </w:r>
      <w:r w:rsidR="00E825CC">
        <w:rPr>
          <w:rFonts w:ascii="Calibri" w:eastAsia="Calibri" w:hAnsi="Calibri" w:cs="Calibri"/>
          <w:sz w:val="24"/>
          <w:szCs w:val="24"/>
          <w:lang w:val="en-US"/>
        </w:rPr>
        <w:fldChar w:fldCharType="end"/>
      </w:r>
      <w:r w:rsidRPr="00534DA6">
        <w:rPr>
          <w:rFonts w:ascii="Calibri" w:eastAsia="Calibri" w:hAnsi="Calibri" w:cs="Calibri"/>
          <w:sz w:val="24"/>
          <w:szCs w:val="24"/>
          <w:lang w:val="en-US"/>
        </w:rPr>
        <w:t xml:space="preserve"> </w:t>
      </w:r>
      <w:r w:rsidR="00E825CC">
        <w:rPr>
          <w:rFonts w:ascii="Calibri" w:eastAsia="Calibri" w:hAnsi="Calibri" w:cs="Calibri"/>
          <w:sz w:val="24"/>
          <w:szCs w:val="24"/>
          <w:lang w:val="en-US"/>
        </w:rPr>
        <w:t xml:space="preserve">following its base </w:t>
      </w:r>
      <w:r w:rsidRPr="00534DA6">
        <w:rPr>
          <w:rFonts w:ascii="Calibri" w:eastAsia="Calibri" w:hAnsi="Calibri" w:cs="Calibri"/>
          <w:sz w:val="24"/>
          <w:szCs w:val="24"/>
          <w:lang w:val="en-US"/>
        </w:rPr>
        <w:t xml:space="preserve">tutorial. Cell types were discerned based on marker gene expression, with keratinocytes and </w:t>
      </w:r>
      <w:proofErr w:type="spellStart"/>
      <w:r w:rsidRPr="00534DA6">
        <w:rPr>
          <w:rFonts w:ascii="Calibri" w:eastAsia="Calibri" w:hAnsi="Calibri" w:cs="Calibri"/>
          <w:sz w:val="24"/>
          <w:szCs w:val="24"/>
          <w:lang w:val="en-US"/>
        </w:rPr>
        <w:t>sebocytes</w:t>
      </w:r>
      <w:proofErr w:type="spellEnd"/>
      <w:r w:rsidRPr="00534DA6">
        <w:rPr>
          <w:rFonts w:ascii="Calibri" w:eastAsia="Calibri" w:hAnsi="Calibri" w:cs="Calibri"/>
          <w:sz w:val="24"/>
          <w:szCs w:val="24"/>
          <w:lang w:val="en-US"/>
        </w:rPr>
        <w:t xml:space="preserve"> chosen for further analysis. The Wilcoxon rank-sum test was conducted to evaluate specific expression changes in keratinocytes between the gain-of-function sample and control samples. Subsequently, the gseapy</w:t>
      </w:r>
      <w:r w:rsidR="00E825CC">
        <w:rPr>
          <w:rFonts w:ascii="Calibri" w:eastAsia="Calibri" w:hAnsi="Calibri" w:cs="Calibri"/>
          <w:sz w:val="24"/>
          <w:szCs w:val="24"/>
          <w:lang w:val="en-US"/>
        </w:rPr>
        <w:fldChar w:fldCharType="begin"/>
      </w:r>
      <w:r w:rsidR="00710A9B">
        <w:rPr>
          <w:rFonts w:ascii="Calibri" w:eastAsia="Calibri" w:hAnsi="Calibri" w:cs="Calibri"/>
          <w:sz w:val="24"/>
          <w:szCs w:val="24"/>
          <w:lang w:val="en-US"/>
        </w:rPr>
        <w:instrText xml:space="preserve"> ADDIN ZOTERO_ITEM CSL_CITATION {"citationID":"6BftopT6","properties":{"formattedCitation":"\\super 7\\nosupersub{}","plainCitation":"7","noteIndex":0},"citationItems":[{"id":1222,"uris":["http://zotero.org/users/5044956/items/KTRQGIFY"],"itemData":{"id":1222,"type":"article-journal","abstract":"Gene set enrichment analysis (GSEA) is a commonly used algorithm for characterizing gene expression changes. However, the currently available tools used to perform GSEA have a limited ability to analyze large datasets, which is particularly problematic for the analysis of single-cell data. To overcome this limitation, we developed a GSEA package in Python (GSEApy), which could efficiently analyze large single-cell datasets.We present a package (GSEApy) that performs GSEA in either the command line or Python environment. GSEApy uses a Rust implementation to enable it to calculate the same enrichment statistic as GSEA for a collection of pathways. The Rust implementation of GSEApy is 3-fold faster than the Numpy version of GSEApy (v0.10.8) and uses &amp;gt;4-fold less memory. GSEApy also provides an interface between Python and Enrichr web services, as well as for BioMart. The Enrichr application programming interface enables GSEApy to perform over-representation analysis for an input gene list. Furthermore, GSEApy consists of several tools, each designed to facilitate a particular type of enrichment analysis.The new GSEApy with Rust extension is deposited in PyPI: https://pypi.org/project/gseapy/. The GSEApy source code is freely available at https://github.com/zqfang/GSEApy. Also, the documentation website is available at https://gseapy.rtfd.io/.Supplementary data are available at Bioinformatics online.","container-title":"Bioinformatics","DOI":"10.1093/bioinformatics/btac757","ISSN":"1367-4811","issue":"1","journalAbbreviation":"Bioinformatics","page":"btac757","source":"Silverchair","title":"GSEApy: a comprehensive package for performing gene set enrichment analysis in Python","title-short":"GSEApy","volume":"39","author":[{"family":"Fang","given":"Zhuoqing"},{"family":"Liu","given":"Xinyuan"},{"family":"Peltz","given":"Gary"}],"issued":{"date-parts":[["2023",1,1]]}}}],"schema":"https://github.com/citation-style-language/schema/raw/master/csl-citation.json"} </w:instrText>
      </w:r>
      <w:r w:rsidR="00E825CC">
        <w:rPr>
          <w:rFonts w:ascii="Calibri" w:eastAsia="Calibri" w:hAnsi="Calibri" w:cs="Calibri"/>
          <w:sz w:val="24"/>
          <w:szCs w:val="24"/>
          <w:lang w:val="en-US"/>
        </w:rPr>
        <w:fldChar w:fldCharType="separate"/>
      </w:r>
      <w:r w:rsidR="00710A9B" w:rsidRPr="000004F0">
        <w:rPr>
          <w:rFonts w:ascii="Calibri" w:hAnsi="Calibri" w:cs="Calibri"/>
          <w:sz w:val="24"/>
          <w:vertAlign w:val="superscript"/>
          <w:lang w:val="en-US"/>
        </w:rPr>
        <w:t>7</w:t>
      </w:r>
      <w:r w:rsidR="00E825CC">
        <w:rPr>
          <w:rFonts w:ascii="Calibri" w:eastAsia="Calibri" w:hAnsi="Calibri" w:cs="Calibri"/>
          <w:sz w:val="24"/>
          <w:szCs w:val="24"/>
          <w:lang w:val="en-US"/>
        </w:rPr>
        <w:fldChar w:fldCharType="end"/>
      </w:r>
      <w:r w:rsidRPr="00534DA6">
        <w:rPr>
          <w:rFonts w:ascii="Calibri" w:eastAsia="Calibri" w:hAnsi="Calibri" w:cs="Calibri"/>
          <w:sz w:val="24"/>
          <w:szCs w:val="24"/>
          <w:lang w:val="en-US"/>
        </w:rPr>
        <w:t xml:space="preserve"> </w:t>
      </w:r>
      <w:proofErr w:type="spellStart"/>
      <w:r w:rsidRPr="00534DA6">
        <w:rPr>
          <w:rFonts w:ascii="Calibri" w:eastAsia="Calibri" w:hAnsi="Calibri" w:cs="Calibri"/>
          <w:sz w:val="24"/>
          <w:szCs w:val="24"/>
          <w:lang w:val="en-US"/>
        </w:rPr>
        <w:t>prerank</w:t>
      </w:r>
      <w:proofErr w:type="spellEnd"/>
      <w:r w:rsidRPr="00534DA6">
        <w:rPr>
          <w:rFonts w:ascii="Calibri" w:eastAsia="Calibri" w:hAnsi="Calibri" w:cs="Calibri"/>
          <w:sz w:val="24"/>
          <w:szCs w:val="24"/>
          <w:lang w:val="en-US"/>
        </w:rPr>
        <w:t xml:space="preserve"> module was employed to investigate pathway enrichments associated with the gain-of-function.</w:t>
      </w:r>
    </w:p>
    <w:p w14:paraId="000000E1" w14:textId="77777777" w:rsidR="0046705A" w:rsidRPr="00534DA6" w:rsidRDefault="0046705A">
      <w:pPr>
        <w:jc w:val="both"/>
        <w:rPr>
          <w:rFonts w:ascii="Calibri" w:eastAsia="Calibri" w:hAnsi="Calibri" w:cs="Calibri"/>
          <w:sz w:val="24"/>
          <w:szCs w:val="24"/>
          <w:lang w:val="en-US"/>
        </w:rPr>
      </w:pPr>
    </w:p>
    <w:p w14:paraId="793D40B1" w14:textId="77777777" w:rsidR="00710A9B" w:rsidRDefault="00710A9B">
      <w:pPr>
        <w:jc w:val="both"/>
        <w:rPr>
          <w:rFonts w:ascii="Calibri" w:eastAsia="Calibri" w:hAnsi="Calibri" w:cs="Calibri"/>
          <w:sz w:val="24"/>
          <w:szCs w:val="24"/>
          <w:lang w:val="en-US"/>
        </w:rPr>
      </w:pPr>
    </w:p>
    <w:p w14:paraId="7DF0E90A" w14:textId="77777777" w:rsidR="00710A9B" w:rsidRDefault="00710A9B">
      <w:pPr>
        <w:jc w:val="both"/>
        <w:rPr>
          <w:rFonts w:ascii="Calibri" w:eastAsia="Calibri" w:hAnsi="Calibri" w:cs="Calibri"/>
          <w:sz w:val="24"/>
          <w:szCs w:val="24"/>
          <w:lang w:val="en-US"/>
        </w:rPr>
      </w:pPr>
    </w:p>
    <w:p w14:paraId="54CE7DAC" w14:textId="39E7515D" w:rsidR="00A434EF" w:rsidRDefault="00A434EF">
      <w:pPr>
        <w:rPr>
          <w:rFonts w:ascii="Calibri" w:eastAsia="Calibri" w:hAnsi="Calibri" w:cs="Calibri"/>
          <w:sz w:val="24"/>
          <w:szCs w:val="24"/>
          <w:lang w:val="en-US"/>
        </w:rPr>
      </w:pPr>
      <w:r>
        <w:rPr>
          <w:rFonts w:ascii="Calibri" w:eastAsia="Calibri" w:hAnsi="Calibri" w:cs="Calibri"/>
          <w:sz w:val="24"/>
          <w:szCs w:val="24"/>
          <w:lang w:val="en-US"/>
        </w:rPr>
        <w:br w:type="page"/>
      </w:r>
    </w:p>
    <w:p w14:paraId="5115F861" w14:textId="77777777" w:rsidR="004F0C0D" w:rsidRDefault="004F0C0D" w:rsidP="004F0C0D">
      <w:pPr>
        <w:pStyle w:val="Heading1"/>
        <w:rPr>
          <w:caps/>
          <w:sz w:val="32"/>
          <w:lang w:val="en-US"/>
        </w:rPr>
      </w:pPr>
      <w:bookmarkStart w:id="36" w:name="_Toc144374737"/>
      <w:r w:rsidRPr="000004F0">
        <w:rPr>
          <w:caps/>
          <w:sz w:val="32"/>
          <w:lang w:val="en-US"/>
        </w:rPr>
        <w:lastRenderedPageBreak/>
        <w:t>Supplementary tables</w:t>
      </w:r>
      <w:bookmarkEnd w:id="36"/>
    </w:p>
    <w:p w14:paraId="2D5B4A79" w14:textId="77777777" w:rsidR="00A434EF" w:rsidRPr="005211BB" w:rsidRDefault="00A434EF" w:rsidP="00A434EF">
      <w:pPr>
        <w:pStyle w:val="Heading2"/>
        <w:rPr>
          <w:sz w:val="28"/>
          <w:szCs w:val="28"/>
          <w:lang w:val="en-US"/>
        </w:rPr>
      </w:pPr>
      <w:bookmarkStart w:id="37" w:name="_Toc144374738"/>
      <w:r w:rsidRPr="005211BB">
        <w:rPr>
          <w:sz w:val="28"/>
          <w:szCs w:val="28"/>
          <w:lang w:val="en-US"/>
        </w:rPr>
        <w:t>Table S1</w:t>
      </w:r>
      <w:bookmarkEnd w:id="37"/>
    </w:p>
    <w:p w14:paraId="713147C2" w14:textId="7A955BAC" w:rsidR="000004F0" w:rsidRDefault="00A434EF" w:rsidP="00A434EF">
      <w:pPr>
        <w:rPr>
          <w:rFonts w:ascii="Calibri" w:eastAsia="Calibri" w:hAnsi="Calibri" w:cs="Calibri"/>
          <w:lang w:val="en-US"/>
        </w:rPr>
      </w:pPr>
      <w:r w:rsidRPr="00534DA6">
        <w:rPr>
          <w:rFonts w:ascii="Calibri" w:eastAsia="Calibri" w:hAnsi="Calibri" w:cs="Calibri"/>
          <w:lang w:val="en-US"/>
        </w:rPr>
        <w:t xml:space="preserve">Demographic, clinical and treatment information of our monocentric PRP cohort (n=13), compared to post-PRP (n=8), psoriasis (n=6), atopic dermatitis (n=7) and healthy controls (n=8). AD atopic dermatitis, f female, HC healthy control, m male, MTX methotrexate, PDN prednisone, PSO </w:t>
      </w:r>
      <w:r w:rsidR="000004F0" w:rsidRPr="00534DA6">
        <w:rPr>
          <w:rFonts w:ascii="Calibri" w:eastAsia="Calibri" w:hAnsi="Calibri" w:cs="Calibri"/>
          <w:lang w:val="en-US"/>
        </w:rPr>
        <w:t>psoriasis</w:t>
      </w:r>
      <w:r w:rsidR="000004F0">
        <w:rPr>
          <w:rFonts w:ascii="Calibri" w:eastAsia="Calibri" w:hAnsi="Calibri" w:cs="Calibri"/>
          <w:lang w:val="en-US"/>
        </w:rPr>
        <w:t>.</w:t>
      </w:r>
    </w:p>
    <w:p w14:paraId="6DFB71B4" w14:textId="77EB09C5" w:rsidR="000004F0" w:rsidRPr="00534DA6" w:rsidRDefault="000004F0" w:rsidP="00A434EF">
      <w:pPr>
        <w:rPr>
          <w:rFonts w:ascii="Calibri" w:eastAsia="Calibri" w:hAnsi="Calibri" w:cs="Calibri"/>
          <w:lang w:val="en-US"/>
        </w:rPr>
      </w:pPr>
    </w:p>
    <w:tbl>
      <w:tblPr>
        <w:tblpPr w:leftFromText="180" w:rightFromText="180" w:vertAnchor="text" w:horzAnchor="margin" w:tblpY="-137"/>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1E0" w:firstRow="1" w:lastRow="1" w:firstColumn="1" w:lastColumn="1" w:noHBand="0" w:noVBand="0"/>
      </w:tblPr>
      <w:tblGrid>
        <w:gridCol w:w="1078"/>
        <w:gridCol w:w="2638"/>
        <w:gridCol w:w="294"/>
        <w:gridCol w:w="343"/>
        <w:gridCol w:w="806"/>
        <w:gridCol w:w="2158"/>
        <w:gridCol w:w="286"/>
        <w:gridCol w:w="450"/>
        <w:gridCol w:w="966"/>
      </w:tblGrid>
      <w:tr w:rsidR="000004F0" w:rsidRPr="00931D78" w14:paraId="6272258B" w14:textId="77777777" w:rsidTr="00123786">
        <w:trPr>
          <w:trHeight w:val="539"/>
        </w:trPr>
        <w:tc>
          <w:tcPr>
            <w:tcW w:w="0" w:type="auto"/>
            <w:shd w:val="clear" w:color="auto" w:fill="A6A6A6"/>
          </w:tcPr>
          <w:p w14:paraId="1DB05C00" w14:textId="77777777" w:rsidR="00A434EF" w:rsidRPr="000004F0" w:rsidRDefault="00A434EF" w:rsidP="00123786">
            <w:pPr>
              <w:spacing w:line="240" w:lineRule="auto"/>
              <w:rPr>
                <w:rFonts w:asciiTheme="majorHAnsi" w:hAnsiTheme="majorHAnsi" w:cstheme="majorHAnsi"/>
                <w:sz w:val="15"/>
                <w:szCs w:val="15"/>
                <w:lang w:val="en-US"/>
              </w:rPr>
            </w:pPr>
          </w:p>
          <w:p w14:paraId="11C6355C"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pseudonym</w:t>
            </w:r>
          </w:p>
        </w:tc>
        <w:tc>
          <w:tcPr>
            <w:tcW w:w="2638" w:type="dxa"/>
            <w:shd w:val="clear" w:color="auto" w:fill="A6A6A6"/>
          </w:tcPr>
          <w:p w14:paraId="7BF9B73A" w14:textId="77777777" w:rsidR="00A434EF" w:rsidRPr="006C1634" w:rsidRDefault="00A434EF" w:rsidP="00123786">
            <w:pPr>
              <w:spacing w:line="240" w:lineRule="auto"/>
              <w:rPr>
                <w:rFonts w:asciiTheme="majorHAnsi" w:hAnsiTheme="majorHAnsi" w:cstheme="majorHAnsi"/>
                <w:sz w:val="15"/>
                <w:szCs w:val="15"/>
              </w:rPr>
            </w:pPr>
          </w:p>
          <w:p w14:paraId="35F71DBD"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Disease</w:t>
            </w:r>
          </w:p>
        </w:tc>
        <w:tc>
          <w:tcPr>
            <w:tcW w:w="294" w:type="dxa"/>
            <w:shd w:val="clear" w:color="auto" w:fill="A6A6A6"/>
          </w:tcPr>
          <w:p w14:paraId="643CA444" w14:textId="77777777" w:rsidR="00A434EF" w:rsidRPr="006C1634" w:rsidRDefault="00A434EF" w:rsidP="00123786">
            <w:pPr>
              <w:spacing w:line="240" w:lineRule="auto"/>
              <w:rPr>
                <w:rFonts w:asciiTheme="majorHAnsi" w:hAnsiTheme="majorHAnsi" w:cstheme="majorHAnsi"/>
                <w:sz w:val="15"/>
                <w:szCs w:val="15"/>
              </w:rPr>
            </w:pPr>
          </w:p>
          <w:p w14:paraId="05769EEC"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PASI</w:t>
            </w:r>
          </w:p>
        </w:tc>
        <w:tc>
          <w:tcPr>
            <w:tcW w:w="343" w:type="dxa"/>
            <w:shd w:val="clear" w:color="auto" w:fill="A6A6A6"/>
          </w:tcPr>
          <w:p w14:paraId="32BB6B86" w14:textId="77777777" w:rsidR="00A434EF" w:rsidRPr="006C1634" w:rsidRDefault="00A434EF" w:rsidP="00123786">
            <w:pPr>
              <w:spacing w:line="240" w:lineRule="auto"/>
              <w:rPr>
                <w:rFonts w:asciiTheme="majorHAnsi" w:hAnsiTheme="majorHAnsi" w:cstheme="majorHAnsi"/>
                <w:sz w:val="15"/>
                <w:szCs w:val="15"/>
              </w:rPr>
            </w:pPr>
          </w:p>
          <w:p w14:paraId="5B18B876"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EASI</w:t>
            </w:r>
          </w:p>
        </w:tc>
        <w:tc>
          <w:tcPr>
            <w:tcW w:w="806" w:type="dxa"/>
            <w:shd w:val="clear" w:color="auto" w:fill="A6A6A6"/>
          </w:tcPr>
          <w:p w14:paraId="5E697D54"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Concomitant</w:t>
            </w:r>
            <w:proofErr w:type="spellEnd"/>
            <w:r w:rsidRPr="006C1634">
              <w:rPr>
                <w:rFonts w:asciiTheme="majorHAnsi" w:hAnsiTheme="majorHAnsi" w:cstheme="majorHAnsi"/>
                <w:sz w:val="15"/>
                <w:szCs w:val="15"/>
              </w:rPr>
              <w:t xml:space="preserve"> </w:t>
            </w:r>
            <w:proofErr w:type="spellStart"/>
            <w:r w:rsidRPr="006C1634">
              <w:rPr>
                <w:rFonts w:asciiTheme="majorHAnsi" w:hAnsiTheme="majorHAnsi" w:cstheme="majorHAnsi"/>
                <w:sz w:val="15"/>
                <w:szCs w:val="15"/>
              </w:rPr>
              <w:t>systemic</w:t>
            </w:r>
            <w:proofErr w:type="spellEnd"/>
            <w:r w:rsidRPr="006C1634">
              <w:rPr>
                <w:rFonts w:asciiTheme="majorHAnsi" w:hAnsiTheme="majorHAnsi" w:cstheme="majorHAnsi"/>
                <w:sz w:val="15"/>
                <w:szCs w:val="15"/>
              </w:rPr>
              <w:t xml:space="preserve"> Immuno-</w:t>
            </w:r>
          </w:p>
          <w:p w14:paraId="0FF9E007"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suppression</w:t>
            </w:r>
            <w:proofErr w:type="spellEnd"/>
          </w:p>
        </w:tc>
        <w:tc>
          <w:tcPr>
            <w:tcW w:w="0" w:type="auto"/>
            <w:shd w:val="clear" w:color="auto" w:fill="A6A6A6"/>
          </w:tcPr>
          <w:p w14:paraId="00141E3A" w14:textId="77777777" w:rsidR="00A434EF" w:rsidRPr="006C1634" w:rsidRDefault="00A434EF" w:rsidP="00123786">
            <w:pPr>
              <w:spacing w:line="240" w:lineRule="auto"/>
              <w:rPr>
                <w:rFonts w:asciiTheme="majorHAnsi" w:hAnsiTheme="majorHAnsi" w:cstheme="majorHAnsi"/>
                <w:sz w:val="15"/>
                <w:szCs w:val="15"/>
              </w:rPr>
            </w:pPr>
          </w:p>
          <w:p w14:paraId="1ED83498"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Therapy</w:t>
            </w:r>
          </w:p>
        </w:tc>
        <w:tc>
          <w:tcPr>
            <w:tcW w:w="0" w:type="auto"/>
            <w:shd w:val="clear" w:color="auto" w:fill="A6A6A6"/>
          </w:tcPr>
          <w:p w14:paraId="6766746C" w14:textId="77777777" w:rsidR="00A434EF" w:rsidRPr="006C1634" w:rsidRDefault="00A434EF" w:rsidP="00123786">
            <w:pPr>
              <w:spacing w:line="240" w:lineRule="auto"/>
              <w:rPr>
                <w:rFonts w:asciiTheme="majorHAnsi" w:hAnsiTheme="majorHAnsi" w:cstheme="majorHAnsi"/>
                <w:sz w:val="15"/>
                <w:szCs w:val="15"/>
              </w:rPr>
            </w:pPr>
          </w:p>
          <w:p w14:paraId="608D4C77"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age</w:t>
            </w:r>
            <w:proofErr w:type="spellEnd"/>
          </w:p>
        </w:tc>
        <w:tc>
          <w:tcPr>
            <w:tcW w:w="0" w:type="auto"/>
            <w:shd w:val="clear" w:color="auto" w:fill="A6A6A6"/>
          </w:tcPr>
          <w:p w14:paraId="27BB6D63" w14:textId="77777777" w:rsidR="00A434EF" w:rsidRPr="006C1634" w:rsidRDefault="00A434EF" w:rsidP="00123786">
            <w:pPr>
              <w:spacing w:line="240" w:lineRule="auto"/>
              <w:rPr>
                <w:rFonts w:asciiTheme="majorHAnsi" w:hAnsiTheme="majorHAnsi" w:cstheme="majorHAnsi"/>
                <w:sz w:val="15"/>
                <w:szCs w:val="15"/>
              </w:rPr>
            </w:pPr>
          </w:p>
          <w:p w14:paraId="5C6047FA"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gender</w:t>
            </w:r>
            <w:proofErr w:type="spellEnd"/>
          </w:p>
        </w:tc>
        <w:tc>
          <w:tcPr>
            <w:tcW w:w="0" w:type="auto"/>
            <w:tcBorders>
              <w:right w:val="nil"/>
            </w:tcBorders>
            <w:shd w:val="clear" w:color="auto" w:fill="A6A6A6"/>
          </w:tcPr>
          <w:p w14:paraId="74B639ED" w14:textId="77777777" w:rsidR="00A434EF" w:rsidRPr="0004508F" w:rsidRDefault="00A434EF" w:rsidP="00123786">
            <w:pPr>
              <w:spacing w:line="240" w:lineRule="auto"/>
              <w:rPr>
                <w:rFonts w:asciiTheme="majorHAnsi" w:hAnsiTheme="majorHAnsi" w:cstheme="majorHAnsi"/>
                <w:sz w:val="15"/>
                <w:szCs w:val="15"/>
                <w:lang w:val="en-US"/>
              </w:rPr>
            </w:pPr>
          </w:p>
          <w:p w14:paraId="0DD93FD2" w14:textId="77777777" w:rsidR="00A434EF" w:rsidRPr="0004508F" w:rsidRDefault="00A434EF" w:rsidP="00123786">
            <w:pPr>
              <w:spacing w:line="240" w:lineRule="auto"/>
              <w:rPr>
                <w:rFonts w:asciiTheme="majorHAnsi" w:hAnsiTheme="majorHAnsi" w:cstheme="majorHAnsi"/>
                <w:sz w:val="15"/>
                <w:szCs w:val="15"/>
                <w:lang w:val="en-US"/>
              </w:rPr>
            </w:pPr>
            <w:r w:rsidRPr="0004508F">
              <w:rPr>
                <w:rFonts w:asciiTheme="majorHAnsi" w:hAnsiTheme="majorHAnsi" w:cstheme="majorHAnsi"/>
                <w:sz w:val="15"/>
                <w:szCs w:val="15"/>
                <w:lang w:val="en-US"/>
              </w:rPr>
              <w:t>Delta active vs. post (years)</w:t>
            </w:r>
          </w:p>
        </w:tc>
      </w:tr>
      <w:tr w:rsidR="000004F0" w:rsidRPr="006C1634" w14:paraId="6EC91717" w14:textId="77777777" w:rsidTr="00123786">
        <w:trPr>
          <w:trHeight w:val="200"/>
        </w:trPr>
        <w:tc>
          <w:tcPr>
            <w:tcW w:w="0" w:type="auto"/>
            <w:shd w:val="clear" w:color="auto" w:fill="F8CBAD"/>
          </w:tcPr>
          <w:p w14:paraId="50171F8F"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PRP_1</w:t>
            </w:r>
          </w:p>
        </w:tc>
        <w:tc>
          <w:tcPr>
            <w:tcW w:w="2638" w:type="dxa"/>
            <w:shd w:val="clear" w:color="auto" w:fill="F8CBAD"/>
          </w:tcPr>
          <w:p w14:paraId="22229787"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PRP_severe</w:t>
            </w:r>
            <w:proofErr w:type="spellEnd"/>
          </w:p>
        </w:tc>
        <w:tc>
          <w:tcPr>
            <w:tcW w:w="294" w:type="dxa"/>
            <w:shd w:val="clear" w:color="auto" w:fill="F8CBAD"/>
          </w:tcPr>
          <w:p w14:paraId="241BE312"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35,0</w:t>
            </w:r>
          </w:p>
        </w:tc>
        <w:tc>
          <w:tcPr>
            <w:tcW w:w="343" w:type="dxa"/>
            <w:shd w:val="clear" w:color="auto" w:fill="F8CBAD"/>
          </w:tcPr>
          <w:p w14:paraId="5CE2F8E3"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F8CBAD"/>
          </w:tcPr>
          <w:p w14:paraId="0A730405"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F8CBAD"/>
          </w:tcPr>
          <w:p w14:paraId="796DE857" w14:textId="2539F828"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topical</w:t>
            </w:r>
            <w:proofErr w:type="spellEnd"/>
            <w:r w:rsidRPr="006C1634">
              <w:rPr>
                <w:rFonts w:asciiTheme="majorHAnsi" w:hAnsiTheme="majorHAnsi" w:cstheme="majorHAnsi"/>
                <w:sz w:val="15"/>
                <w:szCs w:val="15"/>
              </w:rPr>
              <w:t xml:space="preserve"> </w:t>
            </w:r>
            <w:proofErr w:type="spellStart"/>
            <w:r w:rsidR="000004F0">
              <w:rPr>
                <w:rFonts w:asciiTheme="majorHAnsi" w:hAnsiTheme="majorHAnsi" w:cstheme="majorHAnsi"/>
                <w:sz w:val="15"/>
                <w:szCs w:val="15"/>
              </w:rPr>
              <w:t>mometasone</w:t>
            </w:r>
            <w:proofErr w:type="spellEnd"/>
          </w:p>
        </w:tc>
        <w:tc>
          <w:tcPr>
            <w:tcW w:w="0" w:type="auto"/>
            <w:shd w:val="clear" w:color="auto" w:fill="F8CBAD"/>
          </w:tcPr>
          <w:p w14:paraId="0877381C"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80,4</w:t>
            </w:r>
          </w:p>
        </w:tc>
        <w:tc>
          <w:tcPr>
            <w:tcW w:w="0" w:type="auto"/>
            <w:shd w:val="clear" w:color="auto" w:fill="F8CBAD"/>
          </w:tcPr>
          <w:p w14:paraId="60B0503A"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F8CBAD"/>
          </w:tcPr>
          <w:p w14:paraId="6702BAE7" w14:textId="77777777" w:rsidR="00A434EF" w:rsidRPr="006C1634" w:rsidRDefault="00A434EF" w:rsidP="00123786">
            <w:pPr>
              <w:spacing w:line="240" w:lineRule="auto"/>
              <w:rPr>
                <w:rFonts w:asciiTheme="majorHAnsi" w:hAnsiTheme="majorHAnsi" w:cstheme="majorHAnsi"/>
                <w:sz w:val="15"/>
                <w:szCs w:val="15"/>
              </w:rPr>
            </w:pPr>
          </w:p>
        </w:tc>
      </w:tr>
      <w:tr w:rsidR="000004F0" w:rsidRPr="006C1634" w14:paraId="0915819C" w14:textId="77777777" w:rsidTr="00123786">
        <w:trPr>
          <w:trHeight w:val="200"/>
        </w:trPr>
        <w:tc>
          <w:tcPr>
            <w:tcW w:w="0" w:type="auto"/>
            <w:shd w:val="clear" w:color="auto" w:fill="F8CBAD"/>
          </w:tcPr>
          <w:p w14:paraId="3387D221"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PRP_2b</w:t>
            </w:r>
          </w:p>
        </w:tc>
        <w:tc>
          <w:tcPr>
            <w:tcW w:w="2638" w:type="dxa"/>
            <w:shd w:val="clear" w:color="auto" w:fill="F8CBAD"/>
          </w:tcPr>
          <w:p w14:paraId="7C9510BB"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PRP_severe</w:t>
            </w:r>
            <w:proofErr w:type="spellEnd"/>
          </w:p>
        </w:tc>
        <w:tc>
          <w:tcPr>
            <w:tcW w:w="294" w:type="dxa"/>
            <w:shd w:val="clear" w:color="auto" w:fill="F8CBAD"/>
          </w:tcPr>
          <w:p w14:paraId="7DAFC07A"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26,6</w:t>
            </w:r>
          </w:p>
        </w:tc>
        <w:tc>
          <w:tcPr>
            <w:tcW w:w="343" w:type="dxa"/>
            <w:shd w:val="clear" w:color="auto" w:fill="F8CBAD"/>
          </w:tcPr>
          <w:p w14:paraId="5A7813E9"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F8CBAD"/>
          </w:tcPr>
          <w:p w14:paraId="4BA0BAC5"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F8CBAD"/>
          </w:tcPr>
          <w:p w14:paraId="7029EB55" w14:textId="7703036D" w:rsidR="00A434EF" w:rsidRPr="006C1634" w:rsidRDefault="000004F0"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topical</w:t>
            </w:r>
            <w:proofErr w:type="spellEnd"/>
            <w:r w:rsidRPr="006C1634">
              <w:rPr>
                <w:rFonts w:asciiTheme="majorHAnsi" w:hAnsiTheme="majorHAnsi" w:cstheme="majorHAnsi"/>
                <w:sz w:val="15"/>
                <w:szCs w:val="15"/>
              </w:rPr>
              <w:t xml:space="preserve"> </w:t>
            </w:r>
            <w:proofErr w:type="spellStart"/>
            <w:r>
              <w:rPr>
                <w:rFonts w:asciiTheme="majorHAnsi" w:hAnsiTheme="majorHAnsi" w:cstheme="majorHAnsi"/>
                <w:sz w:val="15"/>
                <w:szCs w:val="15"/>
              </w:rPr>
              <w:t>mometasone</w:t>
            </w:r>
            <w:proofErr w:type="spellEnd"/>
          </w:p>
        </w:tc>
        <w:tc>
          <w:tcPr>
            <w:tcW w:w="0" w:type="auto"/>
            <w:shd w:val="clear" w:color="auto" w:fill="F8CBAD"/>
          </w:tcPr>
          <w:p w14:paraId="13361EEE"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82,7</w:t>
            </w:r>
          </w:p>
        </w:tc>
        <w:tc>
          <w:tcPr>
            <w:tcW w:w="0" w:type="auto"/>
            <w:shd w:val="clear" w:color="auto" w:fill="F8CBAD"/>
          </w:tcPr>
          <w:p w14:paraId="1E4D5E77"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F8CBAD"/>
          </w:tcPr>
          <w:p w14:paraId="192DB215" w14:textId="77777777" w:rsidR="00A434EF" w:rsidRPr="006C1634" w:rsidRDefault="00A434EF" w:rsidP="00123786">
            <w:pPr>
              <w:spacing w:line="240" w:lineRule="auto"/>
              <w:rPr>
                <w:rFonts w:asciiTheme="majorHAnsi" w:hAnsiTheme="majorHAnsi" w:cstheme="majorHAnsi"/>
                <w:sz w:val="15"/>
                <w:szCs w:val="15"/>
              </w:rPr>
            </w:pPr>
          </w:p>
        </w:tc>
      </w:tr>
      <w:tr w:rsidR="000004F0" w:rsidRPr="006C1634" w14:paraId="16EDBDCA" w14:textId="77777777" w:rsidTr="00123786">
        <w:trPr>
          <w:trHeight w:val="200"/>
        </w:trPr>
        <w:tc>
          <w:tcPr>
            <w:tcW w:w="0" w:type="auto"/>
            <w:shd w:val="clear" w:color="auto" w:fill="F8CBAD"/>
          </w:tcPr>
          <w:p w14:paraId="1919F712"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PRP_3</w:t>
            </w:r>
          </w:p>
        </w:tc>
        <w:tc>
          <w:tcPr>
            <w:tcW w:w="2638" w:type="dxa"/>
            <w:shd w:val="clear" w:color="auto" w:fill="F8CBAD"/>
          </w:tcPr>
          <w:p w14:paraId="14282643"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PRP_severe</w:t>
            </w:r>
            <w:proofErr w:type="spellEnd"/>
          </w:p>
        </w:tc>
        <w:tc>
          <w:tcPr>
            <w:tcW w:w="294" w:type="dxa"/>
            <w:shd w:val="clear" w:color="auto" w:fill="F8CBAD"/>
          </w:tcPr>
          <w:p w14:paraId="63509F12"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25,5</w:t>
            </w:r>
          </w:p>
        </w:tc>
        <w:tc>
          <w:tcPr>
            <w:tcW w:w="343" w:type="dxa"/>
            <w:shd w:val="clear" w:color="auto" w:fill="F8CBAD"/>
          </w:tcPr>
          <w:p w14:paraId="26F3615D"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F8CBAD"/>
          </w:tcPr>
          <w:p w14:paraId="61EAEEDF"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F8CBAD"/>
          </w:tcPr>
          <w:p w14:paraId="0CDAC2CC" w14:textId="0653D30A" w:rsidR="00A434EF" w:rsidRPr="006C1634" w:rsidRDefault="000004F0" w:rsidP="00123786">
            <w:pPr>
              <w:spacing w:line="240" w:lineRule="auto"/>
              <w:rPr>
                <w:rFonts w:asciiTheme="majorHAnsi" w:hAnsiTheme="majorHAnsi" w:cstheme="majorHAnsi"/>
                <w:sz w:val="15"/>
                <w:szCs w:val="15"/>
              </w:rPr>
            </w:pPr>
            <w:proofErr w:type="spellStart"/>
            <w:r>
              <w:rPr>
                <w:rFonts w:ascii="Calibri" w:eastAsia="Times New Roman" w:hAnsi="Calibri" w:cs="Calibri"/>
                <w:color w:val="000000"/>
                <w:sz w:val="15"/>
                <w:szCs w:val="15"/>
                <w:lang w:val="de-DE" w:eastAsia="de-DE"/>
              </w:rPr>
              <w:t>topical</w:t>
            </w:r>
            <w:proofErr w:type="spellEnd"/>
            <w:r>
              <w:rPr>
                <w:rFonts w:ascii="Calibri" w:eastAsia="Times New Roman" w:hAnsi="Calibri" w:cs="Calibri"/>
                <w:color w:val="000000"/>
                <w:sz w:val="15"/>
                <w:szCs w:val="15"/>
                <w:lang w:val="de-DE" w:eastAsia="de-DE"/>
              </w:rPr>
              <w:t xml:space="preserve"> </w:t>
            </w:r>
            <w:proofErr w:type="spellStart"/>
            <w:r w:rsidRPr="000004F0">
              <w:rPr>
                <w:rFonts w:ascii="Calibri" w:eastAsia="Times New Roman" w:hAnsi="Calibri" w:cs="Calibri"/>
                <w:color w:val="000000"/>
                <w:sz w:val="15"/>
                <w:szCs w:val="15"/>
                <w:lang w:val="de-DE" w:eastAsia="de-DE"/>
              </w:rPr>
              <w:t>clobetasol</w:t>
            </w:r>
            <w:proofErr w:type="spellEnd"/>
          </w:p>
        </w:tc>
        <w:tc>
          <w:tcPr>
            <w:tcW w:w="0" w:type="auto"/>
            <w:shd w:val="clear" w:color="auto" w:fill="F8CBAD"/>
          </w:tcPr>
          <w:p w14:paraId="3F6FC129"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80,5</w:t>
            </w:r>
          </w:p>
        </w:tc>
        <w:tc>
          <w:tcPr>
            <w:tcW w:w="0" w:type="auto"/>
            <w:shd w:val="clear" w:color="auto" w:fill="F8CBAD"/>
          </w:tcPr>
          <w:p w14:paraId="3D520C73"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F8CBAD"/>
          </w:tcPr>
          <w:p w14:paraId="0FB4675B" w14:textId="77777777" w:rsidR="00A434EF" w:rsidRPr="006C1634" w:rsidRDefault="00A434EF" w:rsidP="00123786">
            <w:pPr>
              <w:spacing w:line="240" w:lineRule="auto"/>
              <w:rPr>
                <w:rFonts w:asciiTheme="majorHAnsi" w:hAnsiTheme="majorHAnsi" w:cstheme="majorHAnsi"/>
                <w:sz w:val="15"/>
                <w:szCs w:val="15"/>
              </w:rPr>
            </w:pPr>
          </w:p>
        </w:tc>
      </w:tr>
      <w:tr w:rsidR="000004F0" w:rsidRPr="006C1634" w14:paraId="232D54B9" w14:textId="77777777" w:rsidTr="00123786">
        <w:trPr>
          <w:trHeight w:val="200"/>
        </w:trPr>
        <w:tc>
          <w:tcPr>
            <w:tcW w:w="0" w:type="auto"/>
            <w:shd w:val="clear" w:color="auto" w:fill="F8CBAD"/>
          </w:tcPr>
          <w:p w14:paraId="3996BCE9"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PRP_4</w:t>
            </w:r>
          </w:p>
        </w:tc>
        <w:tc>
          <w:tcPr>
            <w:tcW w:w="2638" w:type="dxa"/>
            <w:shd w:val="clear" w:color="auto" w:fill="F8CBAD"/>
          </w:tcPr>
          <w:p w14:paraId="66D9F7E8"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PRP_severe</w:t>
            </w:r>
            <w:proofErr w:type="spellEnd"/>
          </w:p>
        </w:tc>
        <w:tc>
          <w:tcPr>
            <w:tcW w:w="294" w:type="dxa"/>
            <w:shd w:val="clear" w:color="auto" w:fill="F8CBAD"/>
          </w:tcPr>
          <w:p w14:paraId="53086123"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22,2</w:t>
            </w:r>
          </w:p>
        </w:tc>
        <w:tc>
          <w:tcPr>
            <w:tcW w:w="343" w:type="dxa"/>
            <w:shd w:val="clear" w:color="auto" w:fill="F8CBAD"/>
          </w:tcPr>
          <w:p w14:paraId="03835E1A"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F8CBAD"/>
          </w:tcPr>
          <w:p w14:paraId="61BDAB83"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YES</w:t>
            </w:r>
          </w:p>
        </w:tc>
        <w:tc>
          <w:tcPr>
            <w:tcW w:w="0" w:type="auto"/>
            <w:shd w:val="clear" w:color="auto" w:fill="F8CBAD"/>
          </w:tcPr>
          <w:p w14:paraId="4469B6E7"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MTX 15mg/</w:t>
            </w:r>
            <w:proofErr w:type="spellStart"/>
            <w:r w:rsidRPr="006C1634">
              <w:rPr>
                <w:rFonts w:asciiTheme="majorHAnsi" w:hAnsiTheme="majorHAnsi" w:cstheme="majorHAnsi"/>
                <w:sz w:val="15"/>
                <w:szCs w:val="15"/>
              </w:rPr>
              <w:t>week</w:t>
            </w:r>
            <w:proofErr w:type="spellEnd"/>
          </w:p>
        </w:tc>
        <w:tc>
          <w:tcPr>
            <w:tcW w:w="0" w:type="auto"/>
            <w:shd w:val="clear" w:color="auto" w:fill="F8CBAD"/>
          </w:tcPr>
          <w:p w14:paraId="269A8E7E"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71,3</w:t>
            </w:r>
          </w:p>
        </w:tc>
        <w:tc>
          <w:tcPr>
            <w:tcW w:w="0" w:type="auto"/>
            <w:shd w:val="clear" w:color="auto" w:fill="F8CBAD"/>
          </w:tcPr>
          <w:p w14:paraId="125931B2"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F8CBAD"/>
          </w:tcPr>
          <w:p w14:paraId="02D43CCE" w14:textId="77777777" w:rsidR="00A434EF" w:rsidRPr="006C1634" w:rsidRDefault="00A434EF" w:rsidP="00123786">
            <w:pPr>
              <w:spacing w:line="240" w:lineRule="auto"/>
              <w:rPr>
                <w:rFonts w:asciiTheme="majorHAnsi" w:hAnsiTheme="majorHAnsi" w:cstheme="majorHAnsi"/>
                <w:sz w:val="15"/>
                <w:szCs w:val="15"/>
              </w:rPr>
            </w:pPr>
          </w:p>
        </w:tc>
      </w:tr>
      <w:tr w:rsidR="000004F0" w:rsidRPr="006C1634" w14:paraId="31ED245F" w14:textId="77777777" w:rsidTr="00123786">
        <w:trPr>
          <w:trHeight w:val="200"/>
        </w:trPr>
        <w:tc>
          <w:tcPr>
            <w:tcW w:w="0" w:type="auto"/>
            <w:shd w:val="clear" w:color="auto" w:fill="ED7D31"/>
          </w:tcPr>
          <w:p w14:paraId="1D18054B"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PRP_5a</w:t>
            </w:r>
          </w:p>
        </w:tc>
        <w:tc>
          <w:tcPr>
            <w:tcW w:w="2638" w:type="dxa"/>
            <w:shd w:val="clear" w:color="auto" w:fill="ED7D31"/>
          </w:tcPr>
          <w:p w14:paraId="3D8FCEAF"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PRP_severe</w:t>
            </w:r>
            <w:proofErr w:type="spellEnd"/>
            <w:r w:rsidRPr="006C1634">
              <w:rPr>
                <w:rFonts w:asciiTheme="majorHAnsi" w:hAnsiTheme="majorHAnsi" w:cstheme="majorHAnsi"/>
                <w:sz w:val="15"/>
                <w:szCs w:val="15"/>
              </w:rPr>
              <w:t xml:space="preserve"> (Pat 2 </w:t>
            </w:r>
            <w:proofErr w:type="spellStart"/>
            <w:r w:rsidRPr="006C1634">
              <w:rPr>
                <w:rFonts w:asciiTheme="majorHAnsi" w:hAnsiTheme="majorHAnsi" w:cstheme="majorHAnsi"/>
                <w:sz w:val="15"/>
                <w:szCs w:val="15"/>
              </w:rPr>
              <w:t>wk</w:t>
            </w:r>
            <w:proofErr w:type="spellEnd"/>
            <w:r w:rsidRPr="006C1634">
              <w:rPr>
                <w:rFonts w:asciiTheme="majorHAnsi" w:hAnsiTheme="majorHAnsi" w:cstheme="majorHAnsi"/>
                <w:sz w:val="15"/>
                <w:szCs w:val="15"/>
              </w:rPr>
              <w:t xml:space="preserve"> 0)</w:t>
            </w:r>
          </w:p>
        </w:tc>
        <w:tc>
          <w:tcPr>
            <w:tcW w:w="294" w:type="dxa"/>
            <w:shd w:val="clear" w:color="auto" w:fill="F8CBAD"/>
          </w:tcPr>
          <w:p w14:paraId="50F8F181"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21,4</w:t>
            </w:r>
          </w:p>
        </w:tc>
        <w:tc>
          <w:tcPr>
            <w:tcW w:w="343" w:type="dxa"/>
            <w:shd w:val="clear" w:color="auto" w:fill="F8CBAD"/>
          </w:tcPr>
          <w:p w14:paraId="7955CB36"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F8CBAD"/>
          </w:tcPr>
          <w:p w14:paraId="6B61BF4A"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F8CBAD"/>
          </w:tcPr>
          <w:p w14:paraId="1FF470A5" w14:textId="1FE2253F" w:rsidR="00A434EF" w:rsidRPr="0004508F" w:rsidRDefault="000004F0" w:rsidP="00123786">
            <w:pPr>
              <w:spacing w:line="240" w:lineRule="auto"/>
              <w:rPr>
                <w:rFonts w:asciiTheme="majorHAnsi" w:hAnsiTheme="majorHAnsi" w:cstheme="majorHAnsi"/>
                <w:sz w:val="15"/>
                <w:szCs w:val="15"/>
                <w:lang w:val="en-US"/>
              </w:rPr>
            </w:pPr>
            <w:r>
              <w:rPr>
                <w:rFonts w:asciiTheme="majorHAnsi" w:hAnsiTheme="majorHAnsi" w:cstheme="majorHAnsi"/>
                <w:sz w:val="15"/>
                <w:szCs w:val="15"/>
                <w:lang w:val="en-US"/>
              </w:rPr>
              <w:t>Acitretin</w:t>
            </w:r>
            <w:r w:rsidR="00A434EF" w:rsidRPr="0004508F">
              <w:rPr>
                <w:rFonts w:asciiTheme="majorHAnsi" w:hAnsiTheme="majorHAnsi" w:cstheme="majorHAnsi"/>
                <w:sz w:val="15"/>
                <w:szCs w:val="15"/>
                <w:lang w:val="en-US"/>
              </w:rPr>
              <w:t xml:space="preserve"> 25mg/d, </w:t>
            </w:r>
            <w:r w:rsidRPr="000004F0">
              <w:rPr>
                <w:rFonts w:ascii="Calibri" w:eastAsia="Times New Roman" w:hAnsi="Calibri" w:cs="Calibri"/>
                <w:color w:val="000000"/>
                <w:sz w:val="15"/>
                <w:szCs w:val="15"/>
                <w:lang w:val="en-US" w:eastAsia="de-DE"/>
              </w:rPr>
              <w:t>topical clobetasol</w:t>
            </w:r>
          </w:p>
        </w:tc>
        <w:tc>
          <w:tcPr>
            <w:tcW w:w="0" w:type="auto"/>
            <w:shd w:val="clear" w:color="auto" w:fill="F8CBAD"/>
          </w:tcPr>
          <w:p w14:paraId="7F924008"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61,1</w:t>
            </w:r>
          </w:p>
        </w:tc>
        <w:tc>
          <w:tcPr>
            <w:tcW w:w="0" w:type="auto"/>
            <w:shd w:val="clear" w:color="auto" w:fill="F8CBAD"/>
          </w:tcPr>
          <w:p w14:paraId="28AF67CC"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F8CBAD"/>
          </w:tcPr>
          <w:p w14:paraId="6C2DBE5F" w14:textId="77777777" w:rsidR="00A434EF" w:rsidRPr="006C1634" w:rsidRDefault="00A434EF" w:rsidP="00123786">
            <w:pPr>
              <w:spacing w:line="240" w:lineRule="auto"/>
              <w:rPr>
                <w:rFonts w:asciiTheme="majorHAnsi" w:hAnsiTheme="majorHAnsi" w:cstheme="majorHAnsi"/>
                <w:sz w:val="15"/>
                <w:szCs w:val="15"/>
              </w:rPr>
            </w:pPr>
          </w:p>
        </w:tc>
      </w:tr>
      <w:tr w:rsidR="000004F0" w:rsidRPr="006C1634" w14:paraId="12FB7CA4" w14:textId="77777777" w:rsidTr="00123786">
        <w:trPr>
          <w:trHeight w:val="200"/>
        </w:trPr>
        <w:tc>
          <w:tcPr>
            <w:tcW w:w="0" w:type="auto"/>
            <w:shd w:val="clear" w:color="auto" w:fill="F8CBAD"/>
          </w:tcPr>
          <w:p w14:paraId="71990CAD"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PRP_6a</w:t>
            </w:r>
          </w:p>
        </w:tc>
        <w:tc>
          <w:tcPr>
            <w:tcW w:w="2638" w:type="dxa"/>
            <w:shd w:val="clear" w:color="auto" w:fill="F8CBAD"/>
          </w:tcPr>
          <w:p w14:paraId="17884395"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PRP_severe</w:t>
            </w:r>
            <w:proofErr w:type="spellEnd"/>
          </w:p>
        </w:tc>
        <w:tc>
          <w:tcPr>
            <w:tcW w:w="294" w:type="dxa"/>
            <w:shd w:val="clear" w:color="auto" w:fill="F8CBAD"/>
          </w:tcPr>
          <w:p w14:paraId="619572FC"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20,4</w:t>
            </w:r>
          </w:p>
        </w:tc>
        <w:tc>
          <w:tcPr>
            <w:tcW w:w="343" w:type="dxa"/>
            <w:shd w:val="clear" w:color="auto" w:fill="F8CBAD"/>
          </w:tcPr>
          <w:p w14:paraId="3D690ECE"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F8CBAD"/>
          </w:tcPr>
          <w:p w14:paraId="0269C5D6"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F8CBAD"/>
          </w:tcPr>
          <w:p w14:paraId="2ED763C8" w14:textId="489E0A4D" w:rsidR="00A434EF" w:rsidRPr="006C1634" w:rsidRDefault="000004F0" w:rsidP="00123786">
            <w:pPr>
              <w:spacing w:line="240" w:lineRule="auto"/>
              <w:rPr>
                <w:rFonts w:asciiTheme="majorHAnsi" w:hAnsiTheme="majorHAnsi" w:cstheme="majorHAnsi"/>
                <w:sz w:val="15"/>
                <w:szCs w:val="15"/>
              </w:rPr>
            </w:pPr>
            <w:proofErr w:type="spellStart"/>
            <w:r>
              <w:rPr>
                <w:rFonts w:ascii="Calibri" w:eastAsia="Times New Roman" w:hAnsi="Calibri" w:cs="Calibri"/>
                <w:color w:val="000000"/>
                <w:sz w:val="15"/>
                <w:szCs w:val="15"/>
                <w:lang w:val="de-DE" w:eastAsia="de-DE"/>
              </w:rPr>
              <w:t>topical</w:t>
            </w:r>
            <w:proofErr w:type="spellEnd"/>
            <w:r>
              <w:rPr>
                <w:rFonts w:ascii="Calibri" w:eastAsia="Times New Roman" w:hAnsi="Calibri" w:cs="Calibri"/>
                <w:color w:val="000000"/>
                <w:sz w:val="15"/>
                <w:szCs w:val="15"/>
                <w:lang w:val="de-DE" w:eastAsia="de-DE"/>
              </w:rPr>
              <w:t xml:space="preserve"> </w:t>
            </w:r>
            <w:proofErr w:type="spellStart"/>
            <w:r w:rsidRPr="000004F0">
              <w:rPr>
                <w:rFonts w:ascii="Calibri" w:eastAsia="Times New Roman" w:hAnsi="Calibri" w:cs="Calibri"/>
                <w:color w:val="000000"/>
                <w:sz w:val="15"/>
                <w:szCs w:val="15"/>
                <w:lang w:val="de-DE" w:eastAsia="de-DE"/>
              </w:rPr>
              <w:t>clobetasol</w:t>
            </w:r>
            <w:proofErr w:type="spellEnd"/>
          </w:p>
        </w:tc>
        <w:tc>
          <w:tcPr>
            <w:tcW w:w="0" w:type="auto"/>
            <w:shd w:val="clear" w:color="auto" w:fill="F8CBAD"/>
          </w:tcPr>
          <w:p w14:paraId="181BBC9D"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55,2</w:t>
            </w:r>
          </w:p>
        </w:tc>
        <w:tc>
          <w:tcPr>
            <w:tcW w:w="0" w:type="auto"/>
            <w:shd w:val="clear" w:color="auto" w:fill="F8CBAD"/>
          </w:tcPr>
          <w:p w14:paraId="7B1F8C0D"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F8CBAD"/>
          </w:tcPr>
          <w:p w14:paraId="044CD7B2" w14:textId="77777777" w:rsidR="00A434EF" w:rsidRPr="006C1634" w:rsidRDefault="00A434EF" w:rsidP="00123786">
            <w:pPr>
              <w:spacing w:line="240" w:lineRule="auto"/>
              <w:rPr>
                <w:rFonts w:asciiTheme="majorHAnsi" w:hAnsiTheme="majorHAnsi" w:cstheme="majorHAnsi"/>
                <w:sz w:val="15"/>
                <w:szCs w:val="15"/>
              </w:rPr>
            </w:pPr>
          </w:p>
        </w:tc>
      </w:tr>
      <w:tr w:rsidR="000004F0" w:rsidRPr="006C1634" w14:paraId="450EECBA" w14:textId="77777777" w:rsidTr="00123786">
        <w:trPr>
          <w:trHeight w:val="200"/>
        </w:trPr>
        <w:tc>
          <w:tcPr>
            <w:tcW w:w="0" w:type="auto"/>
            <w:shd w:val="clear" w:color="auto" w:fill="F8CBAD"/>
          </w:tcPr>
          <w:p w14:paraId="54E9632A"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PRP_7</w:t>
            </w:r>
          </w:p>
        </w:tc>
        <w:tc>
          <w:tcPr>
            <w:tcW w:w="2638" w:type="dxa"/>
            <w:shd w:val="clear" w:color="auto" w:fill="F8CBAD"/>
          </w:tcPr>
          <w:p w14:paraId="188E15F5"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PRP_moderate</w:t>
            </w:r>
            <w:proofErr w:type="spellEnd"/>
          </w:p>
        </w:tc>
        <w:tc>
          <w:tcPr>
            <w:tcW w:w="294" w:type="dxa"/>
            <w:shd w:val="clear" w:color="auto" w:fill="F8CBAD"/>
          </w:tcPr>
          <w:p w14:paraId="1DED075C"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18,9</w:t>
            </w:r>
          </w:p>
        </w:tc>
        <w:tc>
          <w:tcPr>
            <w:tcW w:w="343" w:type="dxa"/>
            <w:shd w:val="clear" w:color="auto" w:fill="F8CBAD"/>
          </w:tcPr>
          <w:p w14:paraId="29402678"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F8CBAD"/>
          </w:tcPr>
          <w:p w14:paraId="1D109F77"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YES</w:t>
            </w:r>
          </w:p>
        </w:tc>
        <w:tc>
          <w:tcPr>
            <w:tcW w:w="0" w:type="auto"/>
            <w:shd w:val="clear" w:color="auto" w:fill="F8CBAD"/>
          </w:tcPr>
          <w:p w14:paraId="21C251DA" w14:textId="25B1D976" w:rsidR="00A434EF" w:rsidRPr="000004F0" w:rsidRDefault="000004F0" w:rsidP="00123786">
            <w:pPr>
              <w:spacing w:line="240" w:lineRule="auto"/>
              <w:rPr>
                <w:rFonts w:asciiTheme="majorHAnsi" w:hAnsiTheme="majorHAnsi" w:cstheme="majorHAnsi"/>
                <w:sz w:val="15"/>
                <w:szCs w:val="15"/>
                <w:lang w:val="en-US"/>
              </w:rPr>
            </w:pPr>
            <w:r w:rsidRPr="000004F0">
              <w:rPr>
                <w:rFonts w:asciiTheme="majorHAnsi" w:hAnsiTheme="majorHAnsi" w:cstheme="majorHAnsi"/>
                <w:sz w:val="15"/>
                <w:szCs w:val="15"/>
                <w:lang w:val="en-US"/>
              </w:rPr>
              <w:t>Adalimumab</w:t>
            </w:r>
            <w:r w:rsidR="00A434EF" w:rsidRPr="000004F0">
              <w:rPr>
                <w:rFonts w:asciiTheme="majorHAnsi" w:hAnsiTheme="majorHAnsi" w:cstheme="majorHAnsi"/>
                <w:sz w:val="15"/>
                <w:szCs w:val="15"/>
                <w:lang w:val="en-US"/>
              </w:rPr>
              <w:t xml:space="preserve"> 40mg q2w, </w:t>
            </w:r>
            <w:r w:rsidRPr="000004F0">
              <w:rPr>
                <w:rFonts w:asciiTheme="majorHAnsi" w:hAnsiTheme="majorHAnsi" w:cstheme="majorHAnsi"/>
                <w:sz w:val="15"/>
                <w:szCs w:val="15"/>
                <w:lang w:val="en-US"/>
              </w:rPr>
              <w:t>acitretin</w:t>
            </w:r>
            <w:r w:rsidR="00A434EF" w:rsidRPr="000004F0">
              <w:rPr>
                <w:rFonts w:asciiTheme="majorHAnsi" w:hAnsiTheme="majorHAnsi" w:cstheme="majorHAnsi"/>
                <w:sz w:val="15"/>
                <w:szCs w:val="15"/>
                <w:lang w:val="en-US"/>
              </w:rPr>
              <w:t xml:space="preserve"> 17,5</w:t>
            </w:r>
            <w:proofErr w:type="gramStart"/>
            <w:r w:rsidR="00A434EF" w:rsidRPr="000004F0">
              <w:rPr>
                <w:rFonts w:asciiTheme="majorHAnsi" w:hAnsiTheme="majorHAnsi" w:cstheme="majorHAnsi"/>
                <w:sz w:val="15"/>
                <w:szCs w:val="15"/>
                <w:lang w:val="en-US"/>
              </w:rPr>
              <w:t xml:space="preserve">mg, </w:t>
            </w:r>
            <w:r w:rsidRPr="000004F0">
              <w:rPr>
                <w:rFonts w:ascii="Calibri" w:eastAsia="Times New Roman" w:hAnsi="Calibri" w:cs="Calibri"/>
                <w:color w:val="000000"/>
                <w:sz w:val="15"/>
                <w:szCs w:val="15"/>
                <w:lang w:val="en-US" w:eastAsia="de-DE"/>
              </w:rPr>
              <w:t xml:space="preserve"> topical</w:t>
            </w:r>
            <w:proofErr w:type="gramEnd"/>
            <w:r w:rsidRPr="000004F0">
              <w:rPr>
                <w:rFonts w:ascii="Calibri" w:eastAsia="Times New Roman" w:hAnsi="Calibri" w:cs="Calibri"/>
                <w:color w:val="000000"/>
                <w:sz w:val="15"/>
                <w:szCs w:val="15"/>
                <w:lang w:val="en-US" w:eastAsia="de-DE"/>
              </w:rPr>
              <w:t xml:space="preserve"> clobetasol</w:t>
            </w:r>
          </w:p>
        </w:tc>
        <w:tc>
          <w:tcPr>
            <w:tcW w:w="0" w:type="auto"/>
            <w:shd w:val="clear" w:color="auto" w:fill="F8CBAD"/>
          </w:tcPr>
          <w:p w14:paraId="36CAE5D2"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73,6</w:t>
            </w:r>
          </w:p>
        </w:tc>
        <w:tc>
          <w:tcPr>
            <w:tcW w:w="0" w:type="auto"/>
            <w:shd w:val="clear" w:color="auto" w:fill="F8CBAD"/>
          </w:tcPr>
          <w:p w14:paraId="20DF8A06"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f</w:t>
            </w:r>
          </w:p>
        </w:tc>
        <w:tc>
          <w:tcPr>
            <w:tcW w:w="0" w:type="auto"/>
            <w:shd w:val="clear" w:color="auto" w:fill="F8CBAD"/>
          </w:tcPr>
          <w:p w14:paraId="3ABECEC3" w14:textId="77777777" w:rsidR="00A434EF" w:rsidRPr="006C1634" w:rsidRDefault="00A434EF" w:rsidP="00123786">
            <w:pPr>
              <w:spacing w:line="240" w:lineRule="auto"/>
              <w:rPr>
                <w:rFonts w:asciiTheme="majorHAnsi" w:hAnsiTheme="majorHAnsi" w:cstheme="majorHAnsi"/>
                <w:sz w:val="15"/>
                <w:szCs w:val="15"/>
              </w:rPr>
            </w:pPr>
          </w:p>
        </w:tc>
      </w:tr>
      <w:tr w:rsidR="000004F0" w:rsidRPr="006C1634" w14:paraId="6D28ED70" w14:textId="77777777" w:rsidTr="00123786">
        <w:trPr>
          <w:trHeight w:val="200"/>
        </w:trPr>
        <w:tc>
          <w:tcPr>
            <w:tcW w:w="0" w:type="auto"/>
            <w:shd w:val="clear" w:color="auto" w:fill="F8CBAD"/>
          </w:tcPr>
          <w:p w14:paraId="689C65E6"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PRP_2a</w:t>
            </w:r>
          </w:p>
        </w:tc>
        <w:tc>
          <w:tcPr>
            <w:tcW w:w="2638" w:type="dxa"/>
            <w:shd w:val="clear" w:color="auto" w:fill="F8CBAD"/>
          </w:tcPr>
          <w:p w14:paraId="52FE0996"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PRP_moderate</w:t>
            </w:r>
            <w:proofErr w:type="spellEnd"/>
          </w:p>
        </w:tc>
        <w:tc>
          <w:tcPr>
            <w:tcW w:w="294" w:type="dxa"/>
            <w:shd w:val="clear" w:color="auto" w:fill="F8CBAD"/>
          </w:tcPr>
          <w:p w14:paraId="76C2A1F2"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15,4</w:t>
            </w:r>
          </w:p>
        </w:tc>
        <w:tc>
          <w:tcPr>
            <w:tcW w:w="343" w:type="dxa"/>
            <w:shd w:val="clear" w:color="auto" w:fill="F8CBAD"/>
          </w:tcPr>
          <w:p w14:paraId="23CBB4AE"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F8CBAD"/>
          </w:tcPr>
          <w:p w14:paraId="58DF431D"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F8CBAD"/>
          </w:tcPr>
          <w:p w14:paraId="081E8974" w14:textId="59507C05"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topical</w:t>
            </w:r>
            <w:proofErr w:type="spellEnd"/>
            <w:r w:rsidRPr="006C1634">
              <w:rPr>
                <w:rFonts w:asciiTheme="majorHAnsi" w:hAnsiTheme="majorHAnsi" w:cstheme="majorHAnsi"/>
                <w:sz w:val="15"/>
                <w:szCs w:val="15"/>
              </w:rPr>
              <w:t xml:space="preserve"> </w:t>
            </w:r>
            <w:proofErr w:type="spellStart"/>
            <w:r w:rsidR="000004F0">
              <w:rPr>
                <w:rFonts w:asciiTheme="majorHAnsi" w:hAnsiTheme="majorHAnsi" w:cstheme="majorHAnsi"/>
                <w:sz w:val="15"/>
                <w:szCs w:val="15"/>
              </w:rPr>
              <w:t>mometasone</w:t>
            </w:r>
            <w:proofErr w:type="spellEnd"/>
          </w:p>
        </w:tc>
        <w:tc>
          <w:tcPr>
            <w:tcW w:w="0" w:type="auto"/>
            <w:shd w:val="clear" w:color="auto" w:fill="F8CBAD"/>
          </w:tcPr>
          <w:p w14:paraId="168BD96C" w14:textId="77777777" w:rsidR="00A434EF" w:rsidRPr="006C1634" w:rsidRDefault="00A434EF" w:rsidP="00123786">
            <w:pPr>
              <w:spacing w:line="240" w:lineRule="auto"/>
              <w:rPr>
                <w:rFonts w:asciiTheme="majorHAnsi" w:hAnsiTheme="majorHAnsi" w:cstheme="majorHAnsi"/>
                <w:sz w:val="15"/>
                <w:szCs w:val="15"/>
              </w:rPr>
            </w:pPr>
          </w:p>
        </w:tc>
        <w:tc>
          <w:tcPr>
            <w:tcW w:w="0" w:type="auto"/>
            <w:shd w:val="clear" w:color="auto" w:fill="F8CBAD"/>
          </w:tcPr>
          <w:p w14:paraId="0E20B325" w14:textId="77777777" w:rsidR="00A434EF" w:rsidRPr="006C1634" w:rsidRDefault="00A434EF" w:rsidP="00123786">
            <w:pPr>
              <w:spacing w:line="240" w:lineRule="auto"/>
              <w:rPr>
                <w:rFonts w:asciiTheme="majorHAnsi" w:hAnsiTheme="majorHAnsi" w:cstheme="majorHAnsi"/>
                <w:sz w:val="15"/>
                <w:szCs w:val="15"/>
              </w:rPr>
            </w:pPr>
          </w:p>
        </w:tc>
        <w:tc>
          <w:tcPr>
            <w:tcW w:w="0" w:type="auto"/>
            <w:shd w:val="clear" w:color="auto" w:fill="F8CBAD"/>
          </w:tcPr>
          <w:p w14:paraId="17853AAE" w14:textId="77777777" w:rsidR="00A434EF" w:rsidRPr="006C1634" w:rsidRDefault="00A434EF" w:rsidP="00123786">
            <w:pPr>
              <w:spacing w:line="240" w:lineRule="auto"/>
              <w:rPr>
                <w:rFonts w:asciiTheme="majorHAnsi" w:hAnsiTheme="majorHAnsi" w:cstheme="majorHAnsi"/>
                <w:sz w:val="15"/>
                <w:szCs w:val="15"/>
              </w:rPr>
            </w:pPr>
          </w:p>
        </w:tc>
      </w:tr>
      <w:tr w:rsidR="000004F0" w:rsidRPr="006C1634" w14:paraId="63824F64" w14:textId="77777777" w:rsidTr="00123786">
        <w:trPr>
          <w:trHeight w:val="200"/>
        </w:trPr>
        <w:tc>
          <w:tcPr>
            <w:tcW w:w="0" w:type="auto"/>
            <w:shd w:val="clear" w:color="auto" w:fill="F8CBAD"/>
          </w:tcPr>
          <w:p w14:paraId="5629E5C9"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PRP_8</w:t>
            </w:r>
          </w:p>
        </w:tc>
        <w:tc>
          <w:tcPr>
            <w:tcW w:w="2638" w:type="dxa"/>
            <w:shd w:val="clear" w:color="auto" w:fill="F8CBAD"/>
          </w:tcPr>
          <w:p w14:paraId="206132DA"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PRP_moderate</w:t>
            </w:r>
            <w:proofErr w:type="spellEnd"/>
          </w:p>
        </w:tc>
        <w:tc>
          <w:tcPr>
            <w:tcW w:w="294" w:type="dxa"/>
            <w:shd w:val="clear" w:color="auto" w:fill="F8CBAD"/>
          </w:tcPr>
          <w:p w14:paraId="4BE89F13"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13,5</w:t>
            </w:r>
          </w:p>
        </w:tc>
        <w:tc>
          <w:tcPr>
            <w:tcW w:w="343" w:type="dxa"/>
            <w:shd w:val="clear" w:color="auto" w:fill="F8CBAD"/>
          </w:tcPr>
          <w:p w14:paraId="362B797D"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F8CBAD"/>
          </w:tcPr>
          <w:p w14:paraId="3CE0853B"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YES</w:t>
            </w:r>
          </w:p>
        </w:tc>
        <w:tc>
          <w:tcPr>
            <w:tcW w:w="0" w:type="auto"/>
            <w:shd w:val="clear" w:color="auto" w:fill="F8CBAD"/>
          </w:tcPr>
          <w:p w14:paraId="0C63F397"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PDN 5mg</w:t>
            </w:r>
          </w:p>
        </w:tc>
        <w:tc>
          <w:tcPr>
            <w:tcW w:w="0" w:type="auto"/>
            <w:shd w:val="clear" w:color="auto" w:fill="F8CBAD"/>
          </w:tcPr>
          <w:p w14:paraId="7184A272"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94,4</w:t>
            </w:r>
          </w:p>
        </w:tc>
        <w:tc>
          <w:tcPr>
            <w:tcW w:w="0" w:type="auto"/>
            <w:shd w:val="clear" w:color="auto" w:fill="F8CBAD"/>
          </w:tcPr>
          <w:p w14:paraId="0858F145"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F8CBAD"/>
          </w:tcPr>
          <w:p w14:paraId="572C8F4D" w14:textId="77777777" w:rsidR="00A434EF" w:rsidRPr="006C1634" w:rsidRDefault="00A434EF" w:rsidP="00123786">
            <w:pPr>
              <w:spacing w:line="240" w:lineRule="auto"/>
              <w:rPr>
                <w:rFonts w:asciiTheme="majorHAnsi" w:hAnsiTheme="majorHAnsi" w:cstheme="majorHAnsi"/>
                <w:sz w:val="15"/>
                <w:szCs w:val="15"/>
              </w:rPr>
            </w:pPr>
          </w:p>
        </w:tc>
      </w:tr>
      <w:tr w:rsidR="000004F0" w:rsidRPr="006C1634" w14:paraId="09903C17" w14:textId="77777777" w:rsidTr="000004F0">
        <w:trPr>
          <w:trHeight w:val="188"/>
        </w:trPr>
        <w:tc>
          <w:tcPr>
            <w:tcW w:w="0" w:type="auto"/>
            <w:shd w:val="clear" w:color="auto" w:fill="F8CBAD"/>
          </w:tcPr>
          <w:p w14:paraId="61375302"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PRP_9</w:t>
            </w:r>
          </w:p>
        </w:tc>
        <w:tc>
          <w:tcPr>
            <w:tcW w:w="2638" w:type="dxa"/>
            <w:shd w:val="clear" w:color="auto" w:fill="F8CBAD"/>
          </w:tcPr>
          <w:p w14:paraId="007794FC"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PRP_moderate</w:t>
            </w:r>
            <w:proofErr w:type="spellEnd"/>
          </w:p>
        </w:tc>
        <w:tc>
          <w:tcPr>
            <w:tcW w:w="294" w:type="dxa"/>
            <w:shd w:val="clear" w:color="auto" w:fill="F8CBAD"/>
          </w:tcPr>
          <w:p w14:paraId="0B203346"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11,6</w:t>
            </w:r>
          </w:p>
        </w:tc>
        <w:tc>
          <w:tcPr>
            <w:tcW w:w="343" w:type="dxa"/>
            <w:shd w:val="clear" w:color="auto" w:fill="F8CBAD"/>
          </w:tcPr>
          <w:p w14:paraId="6D5BA893"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F8CBAD"/>
          </w:tcPr>
          <w:p w14:paraId="09926ADC" w14:textId="59ED3D19" w:rsidR="00A434EF" w:rsidRPr="006C1634" w:rsidRDefault="000004F0" w:rsidP="00123786">
            <w:pPr>
              <w:spacing w:line="240" w:lineRule="auto"/>
              <w:rPr>
                <w:rFonts w:asciiTheme="majorHAnsi" w:hAnsiTheme="majorHAnsi" w:cstheme="majorHAnsi"/>
                <w:sz w:val="15"/>
                <w:szCs w:val="15"/>
              </w:rPr>
            </w:pPr>
            <w:r>
              <w:rPr>
                <w:rFonts w:asciiTheme="majorHAnsi" w:hAnsiTheme="majorHAnsi" w:cstheme="majorHAnsi"/>
                <w:sz w:val="15"/>
                <w:szCs w:val="15"/>
              </w:rPr>
              <w:t>NO</w:t>
            </w:r>
          </w:p>
        </w:tc>
        <w:tc>
          <w:tcPr>
            <w:tcW w:w="0" w:type="auto"/>
            <w:shd w:val="clear" w:color="auto" w:fill="F8CBAD"/>
          </w:tcPr>
          <w:p w14:paraId="765D5BED" w14:textId="634740B3" w:rsidR="00A434EF" w:rsidRPr="0004508F" w:rsidRDefault="000004F0" w:rsidP="00123786">
            <w:pPr>
              <w:spacing w:line="240" w:lineRule="auto"/>
              <w:rPr>
                <w:rFonts w:asciiTheme="majorHAnsi" w:hAnsiTheme="majorHAnsi" w:cstheme="majorHAnsi"/>
                <w:sz w:val="15"/>
                <w:szCs w:val="15"/>
                <w:lang w:val="en-US"/>
              </w:rPr>
            </w:pPr>
            <w:r>
              <w:rPr>
                <w:rFonts w:asciiTheme="majorHAnsi" w:hAnsiTheme="majorHAnsi" w:cstheme="majorHAnsi"/>
                <w:sz w:val="15"/>
                <w:szCs w:val="15"/>
                <w:lang w:val="en-US"/>
              </w:rPr>
              <w:t>NO</w:t>
            </w:r>
          </w:p>
        </w:tc>
        <w:tc>
          <w:tcPr>
            <w:tcW w:w="0" w:type="auto"/>
            <w:shd w:val="clear" w:color="auto" w:fill="F8CBAD"/>
          </w:tcPr>
          <w:p w14:paraId="711373F9"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66,9</w:t>
            </w:r>
          </w:p>
        </w:tc>
        <w:tc>
          <w:tcPr>
            <w:tcW w:w="0" w:type="auto"/>
            <w:shd w:val="clear" w:color="auto" w:fill="F8CBAD"/>
          </w:tcPr>
          <w:p w14:paraId="650C450E"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F8CBAD"/>
          </w:tcPr>
          <w:p w14:paraId="22C20D98" w14:textId="77777777" w:rsidR="00A434EF" w:rsidRPr="006C1634" w:rsidRDefault="00A434EF" w:rsidP="00123786">
            <w:pPr>
              <w:spacing w:line="240" w:lineRule="auto"/>
              <w:rPr>
                <w:rFonts w:asciiTheme="majorHAnsi" w:hAnsiTheme="majorHAnsi" w:cstheme="majorHAnsi"/>
                <w:sz w:val="15"/>
                <w:szCs w:val="15"/>
              </w:rPr>
            </w:pPr>
          </w:p>
        </w:tc>
      </w:tr>
      <w:tr w:rsidR="000004F0" w:rsidRPr="006C1634" w14:paraId="0B111275" w14:textId="77777777" w:rsidTr="00123786">
        <w:trPr>
          <w:trHeight w:val="200"/>
        </w:trPr>
        <w:tc>
          <w:tcPr>
            <w:tcW w:w="0" w:type="auto"/>
            <w:shd w:val="clear" w:color="auto" w:fill="ED7D31"/>
          </w:tcPr>
          <w:p w14:paraId="7D5DF6D9"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PRP_6c1</w:t>
            </w:r>
          </w:p>
        </w:tc>
        <w:tc>
          <w:tcPr>
            <w:tcW w:w="2638" w:type="dxa"/>
            <w:shd w:val="clear" w:color="auto" w:fill="ED7D31"/>
          </w:tcPr>
          <w:p w14:paraId="18D3E163" w14:textId="77777777" w:rsidR="00A434EF" w:rsidRPr="0004508F" w:rsidRDefault="00A434EF" w:rsidP="00123786">
            <w:pPr>
              <w:spacing w:line="240" w:lineRule="auto"/>
              <w:rPr>
                <w:rFonts w:asciiTheme="majorHAnsi" w:hAnsiTheme="majorHAnsi" w:cstheme="majorHAnsi"/>
                <w:sz w:val="15"/>
                <w:szCs w:val="15"/>
                <w:lang w:val="en-US"/>
              </w:rPr>
            </w:pPr>
            <w:proofErr w:type="spellStart"/>
            <w:r w:rsidRPr="0004508F">
              <w:rPr>
                <w:rFonts w:asciiTheme="majorHAnsi" w:hAnsiTheme="majorHAnsi" w:cstheme="majorHAnsi"/>
                <w:sz w:val="15"/>
                <w:szCs w:val="15"/>
                <w:lang w:val="en-US"/>
              </w:rPr>
              <w:t>PRP_moderate</w:t>
            </w:r>
            <w:proofErr w:type="spellEnd"/>
            <w:r w:rsidRPr="0004508F">
              <w:rPr>
                <w:rFonts w:asciiTheme="majorHAnsi" w:hAnsiTheme="majorHAnsi" w:cstheme="majorHAnsi"/>
                <w:sz w:val="15"/>
                <w:szCs w:val="15"/>
                <w:lang w:val="en-US"/>
              </w:rPr>
              <w:t xml:space="preserve"> (Pat 1 </w:t>
            </w:r>
            <w:proofErr w:type="spellStart"/>
            <w:r w:rsidRPr="0004508F">
              <w:rPr>
                <w:rFonts w:asciiTheme="majorHAnsi" w:hAnsiTheme="majorHAnsi" w:cstheme="majorHAnsi"/>
                <w:sz w:val="15"/>
                <w:szCs w:val="15"/>
                <w:lang w:val="en-US"/>
              </w:rPr>
              <w:t>wk</w:t>
            </w:r>
            <w:proofErr w:type="spellEnd"/>
            <w:r w:rsidRPr="0004508F">
              <w:rPr>
                <w:rFonts w:asciiTheme="majorHAnsi" w:hAnsiTheme="majorHAnsi" w:cstheme="majorHAnsi"/>
                <w:sz w:val="15"/>
                <w:szCs w:val="15"/>
                <w:lang w:val="en-US"/>
              </w:rPr>
              <w:t xml:space="preserve"> 0 lesional)</w:t>
            </w:r>
          </w:p>
        </w:tc>
        <w:tc>
          <w:tcPr>
            <w:tcW w:w="294" w:type="dxa"/>
            <w:shd w:val="clear" w:color="auto" w:fill="F8CBAD"/>
          </w:tcPr>
          <w:p w14:paraId="137A64DD"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11,4</w:t>
            </w:r>
          </w:p>
        </w:tc>
        <w:tc>
          <w:tcPr>
            <w:tcW w:w="343" w:type="dxa"/>
            <w:shd w:val="clear" w:color="auto" w:fill="F8CBAD"/>
          </w:tcPr>
          <w:p w14:paraId="597C3A37"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F8CBAD"/>
          </w:tcPr>
          <w:p w14:paraId="0DD23836"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F8CBAD"/>
          </w:tcPr>
          <w:p w14:paraId="54C31621"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F8CBAD"/>
          </w:tcPr>
          <w:p w14:paraId="5B34D7C3"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55,2</w:t>
            </w:r>
          </w:p>
        </w:tc>
        <w:tc>
          <w:tcPr>
            <w:tcW w:w="0" w:type="auto"/>
            <w:shd w:val="clear" w:color="auto" w:fill="F8CBAD"/>
          </w:tcPr>
          <w:p w14:paraId="154643A3"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F8CBAD"/>
          </w:tcPr>
          <w:p w14:paraId="439D77FE" w14:textId="77777777" w:rsidR="00A434EF" w:rsidRPr="006C1634" w:rsidRDefault="00A434EF" w:rsidP="00123786">
            <w:pPr>
              <w:spacing w:line="240" w:lineRule="auto"/>
              <w:rPr>
                <w:rFonts w:asciiTheme="majorHAnsi" w:hAnsiTheme="majorHAnsi" w:cstheme="majorHAnsi"/>
                <w:sz w:val="15"/>
                <w:szCs w:val="15"/>
              </w:rPr>
            </w:pPr>
          </w:p>
        </w:tc>
      </w:tr>
      <w:tr w:rsidR="000004F0" w:rsidRPr="006C1634" w14:paraId="502C7833" w14:textId="77777777" w:rsidTr="00123786">
        <w:trPr>
          <w:trHeight w:val="200"/>
        </w:trPr>
        <w:tc>
          <w:tcPr>
            <w:tcW w:w="0" w:type="auto"/>
            <w:shd w:val="clear" w:color="auto" w:fill="ED7D31"/>
          </w:tcPr>
          <w:p w14:paraId="28FDDB69"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PRP_6c2_healthy</w:t>
            </w:r>
          </w:p>
        </w:tc>
        <w:tc>
          <w:tcPr>
            <w:tcW w:w="2638" w:type="dxa"/>
            <w:shd w:val="clear" w:color="auto" w:fill="ED7D31"/>
          </w:tcPr>
          <w:p w14:paraId="2DD71ADF" w14:textId="77777777" w:rsidR="00A434EF" w:rsidRPr="0004508F" w:rsidRDefault="00A434EF" w:rsidP="00123786">
            <w:pPr>
              <w:spacing w:line="240" w:lineRule="auto"/>
              <w:rPr>
                <w:rFonts w:asciiTheme="majorHAnsi" w:hAnsiTheme="majorHAnsi" w:cstheme="majorHAnsi"/>
                <w:sz w:val="15"/>
                <w:szCs w:val="15"/>
                <w:lang w:val="en-US"/>
              </w:rPr>
            </w:pPr>
            <w:proofErr w:type="spellStart"/>
            <w:r w:rsidRPr="0004508F">
              <w:rPr>
                <w:rFonts w:asciiTheme="majorHAnsi" w:hAnsiTheme="majorHAnsi" w:cstheme="majorHAnsi"/>
                <w:sz w:val="15"/>
                <w:szCs w:val="15"/>
                <w:lang w:val="en-US"/>
              </w:rPr>
              <w:t>PRP_healthy</w:t>
            </w:r>
            <w:proofErr w:type="spellEnd"/>
            <w:r w:rsidRPr="0004508F">
              <w:rPr>
                <w:rFonts w:asciiTheme="majorHAnsi" w:hAnsiTheme="majorHAnsi" w:cstheme="majorHAnsi"/>
                <w:sz w:val="15"/>
                <w:szCs w:val="15"/>
                <w:lang w:val="en-US"/>
              </w:rPr>
              <w:t xml:space="preserve"> skin (Pat 1 </w:t>
            </w:r>
            <w:proofErr w:type="spellStart"/>
            <w:r w:rsidRPr="0004508F">
              <w:rPr>
                <w:rFonts w:asciiTheme="majorHAnsi" w:hAnsiTheme="majorHAnsi" w:cstheme="majorHAnsi"/>
                <w:sz w:val="15"/>
                <w:szCs w:val="15"/>
                <w:lang w:val="en-US"/>
              </w:rPr>
              <w:t>wk</w:t>
            </w:r>
            <w:proofErr w:type="spellEnd"/>
            <w:r w:rsidRPr="0004508F">
              <w:rPr>
                <w:rFonts w:asciiTheme="majorHAnsi" w:hAnsiTheme="majorHAnsi" w:cstheme="majorHAnsi"/>
                <w:sz w:val="15"/>
                <w:szCs w:val="15"/>
                <w:lang w:val="en-US"/>
              </w:rPr>
              <w:t xml:space="preserve"> 0 non-lesional)</w:t>
            </w:r>
          </w:p>
        </w:tc>
        <w:tc>
          <w:tcPr>
            <w:tcW w:w="294" w:type="dxa"/>
            <w:shd w:val="clear" w:color="auto" w:fill="F8CBAD"/>
          </w:tcPr>
          <w:p w14:paraId="302E9AAE"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11,4</w:t>
            </w:r>
          </w:p>
        </w:tc>
        <w:tc>
          <w:tcPr>
            <w:tcW w:w="343" w:type="dxa"/>
            <w:shd w:val="clear" w:color="auto" w:fill="F8CBAD"/>
          </w:tcPr>
          <w:p w14:paraId="06F0CB7F"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F8CBAD"/>
          </w:tcPr>
          <w:p w14:paraId="5EBB8926"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F8CBAD"/>
          </w:tcPr>
          <w:p w14:paraId="5B89519E"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F8CBAD"/>
          </w:tcPr>
          <w:p w14:paraId="3E0CF9EF" w14:textId="77777777" w:rsidR="00A434EF" w:rsidRPr="006C1634" w:rsidRDefault="00A434EF" w:rsidP="00123786">
            <w:pPr>
              <w:spacing w:line="240" w:lineRule="auto"/>
              <w:rPr>
                <w:rFonts w:asciiTheme="majorHAnsi" w:hAnsiTheme="majorHAnsi" w:cstheme="majorHAnsi"/>
                <w:sz w:val="15"/>
                <w:szCs w:val="15"/>
              </w:rPr>
            </w:pPr>
          </w:p>
        </w:tc>
        <w:tc>
          <w:tcPr>
            <w:tcW w:w="0" w:type="auto"/>
            <w:shd w:val="clear" w:color="auto" w:fill="F8CBAD"/>
          </w:tcPr>
          <w:p w14:paraId="12DD1002" w14:textId="77777777" w:rsidR="00A434EF" w:rsidRPr="006C1634" w:rsidRDefault="00A434EF" w:rsidP="00123786">
            <w:pPr>
              <w:spacing w:line="240" w:lineRule="auto"/>
              <w:rPr>
                <w:rFonts w:asciiTheme="majorHAnsi" w:hAnsiTheme="majorHAnsi" w:cstheme="majorHAnsi"/>
                <w:sz w:val="15"/>
                <w:szCs w:val="15"/>
              </w:rPr>
            </w:pPr>
          </w:p>
        </w:tc>
        <w:tc>
          <w:tcPr>
            <w:tcW w:w="0" w:type="auto"/>
            <w:shd w:val="clear" w:color="auto" w:fill="F8CBAD"/>
          </w:tcPr>
          <w:p w14:paraId="45BBC975" w14:textId="77777777" w:rsidR="00A434EF" w:rsidRPr="006C1634" w:rsidRDefault="00A434EF" w:rsidP="00123786">
            <w:pPr>
              <w:spacing w:line="240" w:lineRule="auto"/>
              <w:rPr>
                <w:rFonts w:asciiTheme="majorHAnsi" w:hAnsiTheme="majorHAnsi" w:cstheme="majorHAnsi"/>
                <w:sz w:val="15"/>
                <w:szCs w:val="15"/>
              </w:rPr>
            </w:pPr>
          </w:p>
        </w:tc>
      </w:tr>
      <w:tr w:rsidR="000004F0" w:rsidRPr="006C1634" w14:paraId="1D537051" w14:textId="77777777" w:rsidTr="00123786">
        <w:trPr>
          <w:trHeight w:val="200"/>
        </w:trPr>
        <w:tc>
          <w:tcPr>
            <w:tcW w:w="0" w:type="auto"/>
            <w:shd w:val="clear" w:color="auto" w:fill="F8CBAD"/>
          </w:tcPr>
          <w:p w14:paraId="550C2F8B"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PRP_10</w:t>
            </w:r>
          </w:p>
        </w:tc>
        <w:tc>
          <w:tcPr>
            <w:tcW w:w="2638" w:type="dxa"/>
            <w:shd w:val="clear" w:color="auto" w:fill="F8CBAD"/>
          </w:tcPr>
          <w:p w14:paraId="4F88BA5E"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PRP_mild</w:t>
            </w:r>
            <w:proofErr w:type="spellEnd"/>
          </w:p>
        </w:tc>
        <w:tc>
          <w:tcPr>
            <w:tcW w:w="294" w:type="dxa"/>
            <w:shd w:val="clear" w:color="auto" w:fill="F8CBAD"/>
          </w:tcPr>
          <w:p w14:paraId="4B627DF1"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9,4</w:t>
            </w:r>
          </w:p>
        </w:tc>
        <w:tc>
          <w:tcPr>
            <w:tcW w:w="343" w:type="dxa"/>
            <w:shd w:val="clear" w:color="auto" w:fill="F8CBAD"/>
          </w:tcPr>
          <w:p w14:paraId="1C865F91"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F8CBAD"/>
          </w:tcPr>
          <w:p w14:paraId="6A0D0F6C"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F8CBAD"/>
          </w:tcPr>
          <w:p w14:paraId="12158298" w14:textId="062E8E64" w:rsidR="00A434EF" w:rsidRPr="006C1634" w:rsidRDefault="006F73C3" w:rsidP="00123786">
            <w:pPr>
              <w:spacing w:line="240" w:lineRule="auto"/>
              <w:rPr>
                <w:rFonts w:asciiTheme="majorHAnsi" w:hAnsiTheme="majorHAnsi" w:cstheme="majorHAnsi"/>
                <w:sz w:val="15"/>
                <w:szCs w:val="15"/>
              </w:rPr>
            </w:pPr>
            <w:proofErr w:type="spellStart"/>
            <w:r>
              <w:rPr>
                <w:rFonts w:asciiTheme="majorHAnsi" w:hAnsiTheme="majorHAnsi" w:cstheme="majorHAnsi"/>
                <w:sz w:val="15"/>
                <w:szCs w:val="15"/>
              </w:rPr>
              <w:t>topical</w:t>
            </w:r>
            <w:proofErr w:type="spellEnd"/>
            <w:r>
              <w:rPr>
                <w:rFonts w:asciiTheme="majorHAnsi" w:hAnsiTheme="majorHAnsi" w:cstheme="majorHAnsi"/>
                <w:sz w:val="15"/>
                <w:szCs w:val="15"/>
              </w:rPr>
              <w:t xml:space="preserve"> </w:t>
            </w:r>
            <w:proofErr w:type="spellStart"/>
            <w:r w:rsidR="00A434EF" w:rsidRPr="006C1634">
              <w:rPr>
                <w:rFonts w:asciiTheme="majorHAnsi" w:hAnsiTheme="majorHAnsi" w:cstheme="majorHAnsi"/>
                <w:sz w:val="15"/>
                <w:szCs w:val="15"/>
              </w:rPr>
              <w:t>triamcinolone</w:t>
            </w:r>
            <w:proofErr w:type="spellEnd"/>
            <w:r w:rsidR="00A434EF" w:rsidRPr="006C1634">
              <w:rPr>
                <w:rFonts w:asciiTheme="majorHAnsi" w:hAnsiTheme="majorHAnsi" w:cstheme="majorHAnsi"/>
                <w:sz w:val="15"/>
                <w:szCs w:val="15"/>
              </w:rPr>
              <w:t xml:space="preserve"> </w:t>
            </w:r>
          </w:p>
        </w:tc>
        <w:tc>
          <w:tcPr>
            <w:tcW w:w="0" w:type="auto"/>
            <w:shd w:val="clear" w:color="auto" w:fill="F8CBAD"/>
          </w:tcPr>
          <w:p w14:paraId="5E3FCB52"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79,0</w:t>
            </w:r>
          </w:p>
        </w:tc>
        <w:tc>
          <w:tcPr>
            <w:tcW w:w="0" w:type="auto"/>
            <w:shd w:val="clear" w:color="auto" w:fill="F8CBAD"/>
          </w:tcPr>
          <w:p w14:paraId="5067FB47"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f</w:t>
            </w:r>
          </w:p>
        </w:tc>
        <w:tc>
          <w:tcPr>
            <w:tcW w:w="0" w:type="auto"/>
            <w:shd w:val="clear" w:color="auto" w:fill="F8CBAD"/>
          </w:tcPr>
          <w:p w14:paraId="401FC19D" w14:textId="77777777" w:rsidR="00A434EF" w:rsidRPr="006C1634" w:rsidRDefault="00A434EF" w:rsidP="00123786">
            <w:pPr>
              <w:spacing w:line="240" w:lineRule="auto"/>
              <w:rPr>
                <w:rFonts w:asciiTheme="majorHAnsi" w:hAnsiTheme="majorHAnsi" w:cstheme="majorHAnsi"/>
                <w:sz w:val="15"/>
                <w:szCs w:val="15"/>
              </w:rPr>
            </w:pPr>
          </w:p>
        </w:tc>
      </w:tr>
      <w:tr w:rsidR="000004F0" w:rsidRPr="006C1634" w14:paraId="4A0F9DAD" w14:textId="77777777" w:rsidTr="00123786">
        <w:trPr>
          <w:trHeight w:val="200"/>
        </w:trPr>
        <w:tc>
          <w:tcPr>
            <w:tcW w:w="0" w:type="auto"/>
            <w:shd w:val="clear" w:color="auto" w:fill="F8CBAD"/>
          </w:tcPr>
          <w:p w14:paraId="25088375"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PRP_11</w:t>
            </w:r>
          </w:p>
        </w:tc>
        <w:tc>
          <w:tcPr>
            <w:tcW w:w="2638" w:type="dxa"/>
            <w:shd w:val="clear" w:color="auto" w:fill="F8CBAD"/>
          </w:tcPr>
          <w:p w14:paraId="52A7E38A"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PRP_mild</w:t>
            </w:r>
            <w:proofErr w:type="spellEnd"/>
          </w:p>
        </w:tc>
        <w:tc>
          <w:tcPr>
            <w:tcW w:w="294" w:type="dxa"/>
            <w:shd w:val="clear" w:color="auto" w:fill="F8CBAD"/>
          </w:tcPr>
          <w:p w14:paraId="0DD0FC47"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5,8</w:t>
            </w:r>
          </w:p>
        </w:tc>
        <w:tc>
          <w:tcPr>
            <w:tcW w:w="343" w:type="dxa"/>
            <w:shd w:val="clear" w:color="auto" w:fill="F8CBAD"/>
          </w:tcPr>
          <w:p w14:paraId="256AECC9"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F8CBAD"/>
          </w:tcPr>
          <w:p w14:paraId="120AAF51"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YES</w:t>
            </w:r>
          </w:p>
        </w:tc>
        <w:tc>
          <w:tcPr>
            <w:tcW w:w="0" w:type="auto"/>
            <w:shd w:val="clear" w:color="auto" w:fill="F8CBAD"/>
          </w:tcPr>
          <w:p w14:paraId="3EF4772A" w14:textId="762B19F4"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 xml:space="preserve">PDN 40mg, </w:t>
            </w:r>
            <w:proofErr w:type="spellStart"/>
            <w:r w:rsidR="000004F0" w:rsidRPr="006C1634">
              <w:rPr>
                <w:rFonts w:asciiTheme="majorHAnsi" w:hAnsiTheme="majorHAnsi" w:cstheme="majorHAnsi"/>
                <w:sz w:val="15"/>
                <w:szCs w:val="15"/>
              </w:rPr>
              <w:t>topical</w:t>
            </w:r>
            <w:proofErr w:type="spellEnd"/>
            <w:r w:rsidR="000004F0" w:rsidRPr="006C1634">
              <w:rPr>
                <w:rFonts w:asciiTheme="majorHAnsi" w:hAnsiTheme="majorHAnsi" w:cstheme="majorHAnsi"/>
                <w:sz w:val="15"/>
                <w:szCs w:val="15"/>
              </w:rPr>
              <w:t xml:space="preserve"> </w:t>
            </w:r>
            <w:proofErr w:type="spellStart"/>
            <w:r w:rsidR="000004F0">
              <w:rPr>
                <w:rFonts w:asciiTheme="majorHAnsi" w:hAnsiTheme="majorHAnsi" w:cstheme="majorHAnsi"/>
                <w:sz w:val="15"/>
                <w:szCs w:val="15"/>
              </w:rPr>
              <w:t>mometasone</w:t>
            </w:r>
            <w:proofErr w:type="spellEnd"/>
          </w:p>
        </w:tc>
        <w:tc>
          <w:tcPr>
            <w:tcW w:w="0" w:type="auto"/>
            <w:shd w:val="clear" w:color="auto" w:fill="F8CBAD"/>
          </w:tcPr>
          <w:p w14:paraId="438C5DB3"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39,9</w:t>
            </w:r>
          </w:p>
        </w:tc>
        <w:tc>
          <w:tcPr>
            <w:tcW w:w="0" w:type="auto"/>
            <w:shd w:val="clear" w:color="auto" w:fill="F8CBAD"/>
          </w:tcPr>
          <w:p w14:paraId="7AF374E4"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f</w:t>
            </w:r>
          </w:p>
        </w:tc>
        <w:tc>
          <w:tcPr>
            <w:tcW w:w="0" w:type="auto"/>
            <w:shd w:val="clear" w:color="auto" w:fill="F8CBAD"/>
          </w:tcPr>
          <w:p w14:paraId="68D83900" w14:textId="77777777" w:rsidR="00A434EF" w:rsidRPr="006C1634" w:rsidRDefault="00A434EF" w:rsidP="00123786">
            <w:pPr>
              <w:spacing w:line="240" w:lineRule="auto"/>
              <w:rPr>
                <w:rFonts w:asciiTheme="majorHAnsi" w:hAnsiTheme="majorHAnsi" w:cstheme="majorHAnsi"/>
                <w:sz w:val="15"/>
                <w:szCs w:val="15"/>
              </w:rPr>
            </w:pPr>
          </w:p>
        </w:tc>
      </w:tr>
      <w:tr w:rsidR="000004F0" w:rsidRPr="00931D78" w14:paraId="53F9CD3C" w14:textId="77777777" w:rsidTr="00123786">
        <w:trPr>
          <w:trHeight w:val="200"/>
        </w:trPr>
        <w:tc>
          <w:tcPr>
            <w:tcW w:w="0" w:type="auto"/>
            <w:shd w:val="clear" w:color="auto" w:fill="ED7D31"/>
          </w:tcPr>
          <w:p w14:paraId="5420C62B"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PRP_5b</w:t>
            </w:r>
          </w:p>
        </w:tc>
        <w:tc>
          <w:tcPr>
            <w:tcW w:w="2638" w:type="dxa"/>
            <w:shd w:val="clear" w:color="auto" w:fill="ED7D31"/>
          </w:tcPr>
          <w:p w14:paraId="085F550A"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PRP_mild</w:t>
            </w:r>
            <w:proofErr w:type="spellEnd"/>
            <w:r w:rsidRPr="006C1634">
              <w:rPr>
                <w:rFonts w:asciiTheme="majorHAnsi" w:hAnsiTheme="majorHAnsi" w:cstheme="majorHAnsi"/>
                <w:sz w:val="15"/>
                <w:szCs w:val="15"/>
              </w:rPr>
              <w:t xml:space="preserve"> (Pat 2 </w:t>
            </w:r>
            <w:proofErr w:type="spellStart"/>
            <w:r w:rsidRPr="006C1634">
              <w:rPr>
                <w:rFonts w:asciiTheme="majorHAnsi" w:hAnsiTheme="majorHAnsi" w:cstheme="majorHAnsi"/>
                <w:sz w:val="15"/>
                <w:szCs w:val="15"/>
              </w:rPr>
              <w:t>wk</w:t>
            </w:r>
            <w:proofErr w:type="spellEnd"/>
            <w:r w:rsidRPr="006C1634">
              <w:rPr>
                <w:rFonts w:asciiTheme="majorHAnsi" w:hAnsiTheme="majorHAnsi" w:cstheme="majorHAnsi"/>
                <w:sz w:val="15"/>
                <w:szCs w:val="15"/>
              </w:rPr>
              <w:t xml:space="preserve"> 8)</w:t>
            </w:r>
          </w:p>
        </w:tc>
        <w:tc>
          <w:tcPr>
            <w:tcW w:w="294" w:type="dxa"/>
            <w:shd w:val="clear" w:color="auto" w:fill="F8CBAD"/>
          </w:tcPr>
          <w:p w14:paraId="4C4E05F2"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5,7</w:t>
            </w:r>
          </w:p>
        </w:tc>
        <w:tc>
          <w:tcPr>
            <w:tcW w:w="343" w:type="dxa"/>
            <w:shd w:val="clear" w:color="auto" w:fill="F8CBAD"/>
          </w:tcPr>
          <w:p w14:paraId="68470049"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F8CBAD"/>
          </w:tcPr>
          <w:p w14:paraId="06E2D587"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YES</w:t>
            </w:r>
          </w:p>
        </w:tc>
        <w:tc>
          <w:tcPr>
            <w:tcW w:w="0" w:type="auto"/>
            <w:shd w:val="clear" w:color="auto" w:fill="F8CBAD"/>
          </w:tcPr>
          <w:p w14:paraId="472649D3" w14:textId="7BD5D7A5" w:rsidR="00A434EF" w:rsidRPr="0004508F" w:rsidRDefault="00A434EF" w:rsidP="00123786">
            <w:pPr>
              <w:spacing w:line="240" w:lineRule="auto"/>
              <w:rPr>
                <w:rFonts w:asciiTheme="majorHAnsi" w:hAnsiTheme="majorHAnsi" w:cstheme="majorHAnsi"/>
                <w:sz w:val="15"/>
                <w:szCs w:val="15"/>
                <w:lang w:val="en-US"/>
              </w:rPr>
            </w:pPr>
            <w:r w:rsidRPr="0004508F">
              <w:rPr>
                <w:rFonts w:asciiTheme="majorHAnsi" w:hAnsiTheme="majorHAnsi" w:cstheme="majorHAnsi"/>
                <w:sz w:val="15"/>
                <w:szCs w:val="15"/>
                <w:lang w:val="en-US"/>
              </w:rPr>
              <w:t xml:space="preserve">Anakinra 200mg/d, </w:t>
            </w:r>
            <w:r w:rsidR="000004F0" w:rsidRPr="000004F0">
              <w:rPr>
                <w:rFonts w:asciiTheme="majorHAnsi" w:hAnsiTheme="majorHAnsi" w:cstheme="majorHAnsi"/>
                <w:sz w:val="15"/>
                <w:szCs w:val="15"/>
                <w:lang w:val="en-US"/>
              </w:rPr>
              <w:t>topical mometasone</w:t>
            </w:r>
          </w:p>
        </w:tc>
        <w:tc>
          <w:tcPr>
            <w:tcW w:w="0" w:type="auto"/>
            <w:shd w:val="clear" w:color="auto" w:fill="F8CBAD"/>
          </w:tcPr>
          <w:p w14:paraId="22EAFCD2" w14:textId="77777777" w:rsidR="00A434EF" w:rsidRPr="0004508F" w:rsidRDefault="00A434EF" w:rsidP="00123786">
            <w:pPr>
              <w:spacing w:line="240" w:lineRule="auto"/>
              <w:rPr>
                <w:rFonts w:asciiTheme="majorHAnsi" w:hAnsiTheme="majorHAnsi" w:cstheme="majorHAnsi"/>
                <w:sz w:val="15"/>
                <w:szCs w:val="15"/>
                <w:lang w:val="en-US"/>
              </w:rPr>
            </w:pPr>
          </w:p>
        </w:tc>
        <w:tc>
          <w:tcPr>
            <w:tcW w:w="0" w:type="auto"/>
            <w:shd w:val="clear" w:color="auto" w:fill="F8CBAD"/>
          </w:tcPr>
          <w:p w14:paraId="2BF1BD9C" w14:textId="77777777" w:rsidR="00A434EF" w:rsidRPr="0004508F" w:rsidRDefault="00A434EF" w:rsidP="00123786">
            <w:pPr>
              <w:spacing w:line="240" w:lineRule="auto"/>
              <w:rPr>
                <w:rFonts w:asciiTheme="majorHAnsi" w:hAnsiTheme="majorHAnsi" w:cstheme="majorHAnsi"/>
                <w:sz w:val="15"/>
                <w:szCs w:val="15"/>
                <w:lang w:val="en-US"/>
              </w:rPr>
            </w:pPr>
          </w:p>
        </w:tc>
        <w:tc>
          <w:tcPr>
            <w:tcW w:w="0" w:type="auto"/>
            <w:shd w:val="clear" w:color="auto" w:fill="F8CBAD"/>
          </w:tcPr>
          <w:p w14:paraId="7403E1C9" w14:textId="77777777" w:rsidR="00A434EF" w:rsidRPr="0004508F" w:rsidRDefault="00A434EF" w:rsidP="00123786">
            <w:pPr>
              <w:spacing w:line="240" w:lineRule="auto"/>
              <w:rPr>
                <w:rFonts w:asciiTheme="majorHAnsi" w:hAnsiTheme="majorHAnsi" w:cstheme="majorHAnsi"/>
                <w:sz w:val="15"/>
                <w:szCs w:val="15"/>
                <w:lang w:val="en-US"/>
              </w:rPr>
            </w:pPr>
          </w:p>
        </w:tc>
      </w:tr>
      <w:tr w:rsidR="000004F0" w:rsidRPr="006C1634" w14:paraId="43DCF926" w14:textId="77777777" w:rsidTr="00123786">
        <w:trPr>
          <w:trHeight w:val="200"/>
        </w:trPr>
        <w:tc>
          <w:tcPr>
            <w:tcW w:w="0" w:type="auto"/>
            <w:shd w:val="clear" w:color="auto" w:fill="F8CBAD"/>
          </w:tcPr>
          <w:p w14:paraId="31436252"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PRP_12</w:t>
            </w:r>
          </w:p>
        </w:tc>
        <w:tc>
          <w:tcPr>
            <w:tcW w:w="2638" w:type="dxa"/>
            <w:shd w:val="clear" w:color="auto" w:fill="F8CBAD"/>
          </w:tcPr>
          <w:p w14:paraId="011FB05F"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PRP_mild</w:t>
            </w:r>
            <w:proofErr w:type="spellEnd"/>
          </w:p>
        </w:tc>
        <w:tc>
          <w:tcPr>
            <w:tcW w:w="294" w:type="dxa"/>
            <w:shd w:val="clear" w:color="auto" w:fill="F8CBAD"/>
          </w:tcPr>
          <w:p w14:paraId="37BDD20D"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3,6</w:t>
            </w:r>
          </w:p>
        </w:tc>
        <w:tc>
          <w:tcPr>
            <w:tcW w:w="343" w:type="dxa"/>
            <w:shd w:val="clear" w:color="auto" w:fill="F8CBAD"/>
          </w:tcPr>
          <w:p w14:paraId="083016A4"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F8CBAD"/>
          </w:tcPr>
          <w:p w14:paraId="37E14F52"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YES</w:t>
            </w:r>
          </w:p>
        </w:tc>
        <w:tc>
          <w:tcPr>
            <w:tcW w:w="0" w:type="auto"/>
            <w:shd w:val="clear" w:color="auto" w:fill="F8CBAD"/>
          </w:tcPr>
          <w:p w14:paraId="59ACCA0A"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MTX 10mg/</w:t>
            </w:r>
            <w:proofErr w:type="spellStart"/>
            <w:r w:rsidRPr="006C1634">
              <w:rPr>
                <w:rFonts w:asciiTheme="majorHAnsi" w:hAnsiTheme="majorHAnsi" w:cstheme="majorHAnsi"/>
                <w:sz w:val="15"/>
                <w:szCs w:val="15"/>
              </w:rPr>
              <w:t>week</w:t>
            </w:r>
            <w:proofErr w:type="spellEnd"/>
          </w:p>
        </w:tc>
        <w:tc>
          <w:tcPr>
            <w:tcW w:w="0" w:type="auto"/>
            <w:shd w:val="clear" w:color="auto" w:fill="F8CBAD"/>
          </w:tcPr>
          <w:p w14:paraId="54CFC5E3"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75,7</w:t>
            </w:r>
          </w:p>
        </w:tc>
        <w:tc>
          <w:tcPr>
            <w:tcW w:w="0" w:type="auto"/>
            <w:shd w:val="clear" w:color="auto" w:fill="F8CBAD"/>
          </w:tcPr>
          <w:p w14:paraId="41E770A7"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f</w:t>
            </w:r>
          </w:p>
        </w:tc>
        <w:tc>
          <w:tcPr>
            <w:tcW w:w="0" w:type="auto"/>
            <w:shd w:val="clear" w:color="auto" w:fill="F8CBAD"/>
          </w:tcPr>
          <w:p w14:paraId="66D992AE" w14:textId="77777777" w:rsidR="00A434EF" w:rsidRPr="006C1634" w:rsidRDefault="00A434EF" w:rsidP="00123786">
            <w:pPr>
              <w:spacing w:line="240" w:lineRule="auto"/>
              <w:rPr>
                <w:rFonts w:asciiTheme="majorHAnsi" w:hAnsiTheme="majorHAnsi" w:cstheme="majorHAnsi"/>
                <w:sz w:val="15"/>
                <w:szCs w:val="15"/>
              </w:rPr>
            </w:pPr>
          </w:p>
        </w:tc>
      </w:tr>
      <w:tr w:rsidR="000004F0" w:rsidRPr="00931D78" w14:paraId="36D93E4C" w14:textId="77777777" w:rsidTr="00123786">
        <w:trPr>
          <w:trHeight w:val="200"/>
        </w:trPr>
        <w:tc>
          <w:tcPr>
            <w:tcW w:w="0" w:type="auto"/>
            <w:shd w:val="clear" w:color="auto" w:fill="ED7D31"/>
          </w:tcPr>
          <w:p w14:paraId="0F4EFBC7"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PRP_6d</w:t>
            </w:r>
          </w:p>
        </w:tc>
        <w:tc>
          <w:tcPr>
            <w:tcW w:w="2638" w:type="dxa"/>
            <w:shd w:val="clear" w:color="auto" w:fill="ED7D31"/>
          </w:tcPr>
          <w:p w14:paraId="641DB404" w14:textId="77777777" w:rsidR="00A434EF" w:rsidRPr="0004508F" w:rsidRDefault="00A434EF" w:rsidP="00123786">
            <w:pPr>
              <w:spacing w:line="240" w:lineRule="auto"/>
              <w:rPr>
                <w:rFonts w:asciiTheme="majorHAnsi" w:hAnsiTheme="majorHAnsi" w:cstheme="majorHAnsi"/>
                <w:sz w:val="15"/>
                <w:szCs w:val="15"/>
                <w:lang w:val="en-US"/>
              </w:rPr>
            </w:pPr>
            <w:proofErr w:type="spellStart"/>
            <w:r w:rsidRPr="0004508F">
              <w:rPr>
                <w:rFonts w:asciiTheme="majorHAnsi" w:hAnsiTheme="majorHAnsi" w:cstheme="majorHAnsi"/>
                <w:sz w:val="15"/>
                <w:szCs w:val="15"/>
                <w:lang w:val="en-US"/>
              </w:rPr>
              <w:t>PRP_mild</w:t>
            </w:r>
            <w:proofErr w:type="spellEnd"/>
            <w:r w:rsidRPr="0004508F">
              <w:rPr>
                <w:rFonts w:asciiTheme="majorHAnsi" w:hAnsiTheme="majorHAnsi" w:cstheme="majorHAnsi"/>
                <w:sz w:val="15"/>
                <w:szCs w:val="15"/>
                <w:lang w:val="en-US"/>
              </w:rPr>
              <w:t xml:space="preserve"> (Pat 1 </w:t>
            </w:r>
            <w:proofErr w:type="spellStart"/>
            <w:r w:rsidRPr="0004508F">
              <w:rPr>
                <w:rFonts w:asciiTheme="majorHAnsi" w:hAnsiTheme="majorHAnsi" w:cstheme="majorHAnsi"/>
                <w:sz w:val="15"/>
                <w:szCs w:val="15"/>
                <w:lang w:val="en-US"/>
              </w:rPr>
              <w:t>wk</w:t>
            </w:r>
            <w:proofErr w:type="spellEnd"/>
            <w:r w:rsidRPr="0004508F">
              <w:rPr>
                <w:rFonts w:asciiTheme="majorHAnsi" w:hAnsiTheme="majorHAnsi" w:cstheme="majorHAnsi"/>
                <w:sz w:val="15"/>
                <w:szCs w:val="15"/>
                <w:lang w:val="en-US"/>
              </w:rPr>
              <w:t xml:space="preserve"> 8 lesional)</w:t>
            </w:r>
          </w:p>
        </w:tc>
        <w:tc>
          <w:tcPr>
            <w:tcW w:w="294" w:type="dxa"/>
            <w:shd w:val="clear" w:color="auto" w:fill="F8CBAD"/>
          </w:tcPr>
          <w:p w14:paraId="628FFC88"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2,6</w:t>
            </w:r>
          </w:p>
        </w:tc>
        <w:tc>
          <w:tcPr>
            <w:tcW w:w="343" w:type="dxa"/>
            <w:shd w:val="clear" w:color="auto" w:fill="F8CBAD"/>
          </w:tcPr>
          <w:p w14:paraId="48D7C9A5"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F8CBAD"/>
          </w:tcPr>
          <w:p w14:paraId="195F896C"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YES</w:t>
            </w:r>
          </w:p>
        </w:tc>
        <w:tc>
          <w:tcPr>
            <w:tcW w:w="0" w:type="auto"/>
            <w:shd w:val="clear" w:color="auto" w:fill="F8CBAD"/>
          </w:tcPr>
          <w:p w14:paraId="0127BCD8" w14:textId="2F79D6C9" w:rsidR="00A434EF" w:rsidRPr="000004F0" w:rsidRDefault="00A434EF" w:rsidP="00123786">
            <w:pPr>
              <w:spacing w:line="240" w:lineRule="auto"/>
              <w:rPr>
                <w:rFonts w:asciiTheme="majorHAnsi" w:hAnsiTheme="majorHAnsi" w:cstheme="majorHAnsi"/>
                <w:sz w:val="15"/>
                <w:szCs w:val="15"/>
                <w:lang w:val="en-US"/>
              </w:rPr>
            </w:pPr>
            <w:r w:rsidRPr="0004508F">
              <w:rPr>
                <w:rFonts w:asciiTheme="majorHAnsi" w:hAnsiTheme="majorHAnsi" w:cstheme="majorHAnsi"/>
                <w:sz w:val="15"/>
                <w:szCs w:val="15"/>
                <w:lang w:val="en-US"/>
              </w:rPr>
              <w:t xml:space="preserve">Anakinra 200mg/d, </w:t>
            </w:r>
            <w:r w:rsidR="000004F0" w:rsidRPr="000004F0">
              <w:rPr>
                <w:rFonts w:asciiTheme="majorHAnsi" w:hAnsiTheme="majorHAnsi" w:cstheme="majorHAnsi"/>
                <w:sz w:val="15"/>
                <w:szCs w:val="15"/>
                <w:lang w:val="en-US"/>
              </w:rPr>
              <w:t>topical mometasone</w:t>
            </w:r>
          </w:p>
        </w:tc>
        <w:tc>
          <w:tcPr>
            <w:tcW w:w="0" w:type="auto"/>
            <w:shd w:val="clear" w:color="auto" w:fill="F8CBAD"/>
          </w:tcPr>
          <w:p w14:paraId="6C845E51" w14:textId="77777777" w:rsidR="00A434EF" w:rsidRPr="0004508F" w:rsidRDefault="00A434EF" w:rsidP="00123786">
            <w:pPr>
              <w:spacing w:line="240" w:lineRule="auto"/>
              <w:rPr>
                <w:rFonts w:asciiTheme="majorHAnsi" w:hAnsiTheme="majorHAnsi" w:cstheme="majorHAnsi"/>
                <w:sz w:val="15"/>
                <w:szCs w:val="15"/>
                <w:lang w:val="en-US"/>
              </w:rPr>
            </w:pPr>
          </w:p>
        </w:tc>
        <w:tc>
          <w:tcPr>
            <w:tcW w:w="0" w:type="auto"/>
            <w:shd w:val="clear" w:color="auto" w:fill="F8CBAD"/>
          </w:tcPr>
          <w:p w14:paraId="2D233DF1" w14:textId="77777777" w:rsidR="00A434EF" w:rsidRPr="0004508F" w:rsidRDefault="00A434EF" w:rsidP="00123786">
            <w:pPr>
              <w:spacing w:line="240" w:lineRule="auto"/>
              <w:rPr>
                <w:rFonts w:asciiTheme="majorHAnsi" w:hAnsiTheme="majorHAnsi" w:cstheme="majorHAnsi"/>
                <w:sz w:val="15"/>
                <w:szCs w:val="15"/>
                <w:lang w:val="en-US"/>
              </w:rPr>
            </w:pPr>
          </w:p>
        </w:tc>
        <w:tc>
          <w:tcPr>
            <w:tcW w:w="0" w:type="auto"/>
            <w:shd w:val="clear" w:color="auto" w:fill="F8CBAD"/>
          </w:tcPr>
          <w:p w14:paraId="3C0C16F3" w14:textId="77777777" w:rsidR="00A434EF" w:rsidRPr="0004508F" w:rsidRDefault="00A434EF" w:rsidP="00123786">
            <w:pPr>
              <w:spacing w:line="240" w:lineRule="auto"/>
              <w:rPr>
                <w:rFonts w:asciiTheme="majorHAnsi" w:hAnsiTheme="majorHAnsi" w:cstheme="majorHAnsi"/>
                <w:sz w:val="15"/>
                <w:szCs w:val="15"/>
                <w:lang w:val="en-US"/>
              </w:rPr>
            </w:pPr>
          </w:p>
        </w:tc>
      </w:tr>
      <w:tr w:rsidR="000004F0" w:rsidRPr="006C1634" w14:paraId="7A1727D4" w14:textId="77777777" w:rsidTr="00123786">
        <w:trPr>
          <w:trHeight w:val="200"/>
        </w:trPr>
        <w:tc>
          <w:tcPr>
            <w:tcW w:w="0" w:type="auto"/>
            <w:shd w:val="clear" w:color="auto" w:fill="F8CBAD"/>
          </w:tcPr>
          <w:p w14:paraId="4737B12A"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PRP_13</w:t>
            </w:r>
          </w:p>
        </w:tc>
        <w:tc>
          <w:tcPr>
            <w:tcW w:w="2638" w:type="dxa"/>
            <w:shd w:val="clear" w:color="auto" w:fill="F8CBAD"/>
          </w:tcPr>
          <w:p w14:paraId="3E948401"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PRP_mild</w:t>
            </w:r>
            <w:proofErr w:type="spellEnd"/>
          </w:p>
        </w:tc>
        <w:tc>
          <w:tcPr>
            <w:tcW w:w="294" w:type="dxa"/>
            <w:shd w:val="clear" w:color="auto" w:fill="F8CBAD"/>
          </w:tcPr>
          <w:p w14:paraId="6298FBD8"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2</w:t>
            </w:r>
          </w:p>
        </w:tc>
        <w:tc>
          <w:tcPr>
            <w:tcW w:w="343" w:type="dxa"/>
            <w:shd w:val="clear" w:color="auto" w:fill="F8CBAD"/>
          </w:tcPr>
          <w:p w14:paraId="22027360"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F8CBAD"/>
          </w:tcPr>
          <w:p w14:paraId="5310DE8C"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YES</w:t>
            </w:r>
          </w:p>
        </w:tc>
        <w:tc>
          <w:tcPr>
            <w:tcW w:w="0" w:type="auto"/>
            <w:shd w:val="clear" w:color="auto" w:fill="F8CBAD"/>
          </w:tcPr>
          <w:p w14:paraId="4936954C" w14:textId="73005503" w:rsidR="00A434EF" w:rsidRPr="0004508F" w:rsidRDefault="00A434EF" w:rsidP="00123786">
            <w:pPr>
              <w:spacing w:line="240" w:lineRule="auto"/>
              <w:rPr>
                <w:rFonts w:asciiTheme="majorHAnsi" w:hAnsiTheme="majorHAnsi" w:cstheme="majorHAnsi"/>
                <w:sz w:val="15"/>
                <w:szCs w:val="15"/>
                <w:lang w:val="en-US"/>
              </w:rPr>
            </w:pPr>
            <w:r w:rsidRPr="0004508F">
              <w:rPr>
                <w:rFonts w:asciiTheme="majorHAnsi" w:hAnsiTheme="majorHAnsi" w:cstheme="majorHAnsi"/>
                <w:sz w:val="15"/>
                <w:szCs w:val="15"/>
                <w:lang w:val="en-US"/>
              </w:rPr>
              <w:t>Prednisone 20mg/d</w:t>
            </w:r>
          </w:p>
        </w:tc>
        <w:tc>
          <w:tcPr>
            <w:tcW w:w="0" w:type="auto"/>
            <w:shd w:val="clear" w:color="auto" w:fill="F8CBAD"/>
          </w:tcPr>
          <w:p w14:paraId="4E0A68CA"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64,3</w:t>
            </w:r>
          </w:p>
        </w:tc>
        <w:tc>
          <w:tcPr>
            <w:tcW w:w="0" w:type="auto"/>
            <w:shd w:val="clear" w:color="auto" w:fill="F8CBAD"/>
          </w:tcPr>
          <w:p w14:paraId="0062E19B"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F8CBAD"/>
          </w:tcPr>
          <w:p w14:paraId="6C75B113" w14:textId="77777777" w:rsidR="00A434EF" w:rsidRPr="006C1634" w:rsidRDefault="00A434EF" w:rsidP="00123786">
            <w:pPr>
              <w:spacing w:line="240" w:lineRule="auto"/>
              <w:rPr>
                <w:rFonts w:asciiTheme="majorHAnsi" w:hAnsiTheme="majorHAnsi" w:cstheme="majorHAnsi"/>
                <w:sz w:val="15"/>
                <w:szCs w:val="15"/>
              </w:rPr>
            </w:pPr>
          </w:p>
        </w:tc>
      </w:tr>
      <w:tr w:rsidR="000004F0" w:rsidRPr="006C1634" w14:paraId="282FE768" w14:textId="77777777" w:rsidTr="00123786">
        <w:trPr>
          <w:trHeight w:val="200"/>
        </w:trPr>
        <w:tc>
          <w:tcPr>
            <w:tcW w:w="0" w:type="auto"/>
            <w:shd w:val="clear" w:color="auto" w:fill="D9E1F2"/>
          </w:tcPr>
          <w:p w14:paraId="655FD6E4"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post-PRP_2</w:t>
            </w:r>
          </w:p>
        </w:tc>
        <w:tc>
          <w:tcPr>
            <w:tcW w:w="2638" w:type="dxa"/>
            <w:shd w:val="clear" w:color="auto" w:fill="D9E1F2"/>
          </w:tcPr>
          <w:p w14:paraId="28C3D1CE" w14:textId="77777777" w:rsidR="00A434EF" w:rsidRPr="00123786" w:rsidRDefault="00A434EF" w:rsidP="00123786">
            <w:pPr>
              <w:spacing w:line="240" w:lineRule="auto"/>
              <w:rPr>
                <w:rFonts w:asciiTheme="majorHAnsi" w:hAnsiTheme="majorHAnsi" w:cstheme="majorHAnsi"/>
                <w:sz w:val="15"/>
                <w:szCs w:val="15"/>
                <w:lang w:val="en-US"/>
              </w:rPr>
            </w:pPr>
            <w:r w:rsidRPr="00123786">
              <w:rPr>
                <w:rFonts w:asciiTheme="majorHAnsi" w:hAnsiTheme="majorHAnsi" w:cstheme="majorHAnsi"/>
                <w:sz w:val="15"/>
                <w:szCs w:val="15"/>
                <w:lang w:val="en-US"/>
              </w:rPr>
              <w:t>post-PRP, healthy appearing skin</w:t>
            </w:r>
          </w:p>
        </w:tc>
        <w:tc>
          <w:tcPr>
            <w:tcW w:w="294" w:type="dxa"/>
            <w:shd w:val="clear" w:color="auto" w:fill="D9E1F2"/>
          </w:tcPr>
          <w:p w14:paraId="7B5491AA"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0,0</w:t>
            </w:r>
          </w:p>
        </w:tc>
        <w:tc>
          <w:tcPr>
            <w:tcW w:w="343" w:type="dxa"/>
            <w:shd w:val="clear" w:color="auto" w:fill="D9E1F2"/>
          </w:tcPr>
          <w:p w14:paraId="7665320C"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D9E1F2"/>
          </w:tcPr>
          <w:p w14:paraId="233DE9FA"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D9E1F2"/>
          </w:tcPr>
          <w:p w14:paraId="1945D9CA"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D9E1F2"/>
          </w:tcPr>
          <w:p w14:paraId="27C0D62D"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82,7</w:t>
            </w:r>
          </w:p>
        </w:tc>
        <w:tc>
          <w:tcPr>
            <w:tcW w:w="0" w:type="auto"/>
            <w:shd w:val="clear" w:color="auto" w:fill="D9E1F2"/>
          </w:tcPr>
          <w:p w14:paraId="2BE5543D"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D9E1F2"/>
          </w:tcPr>
          <w:p w14:paraId="17DD8479"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6,3</w:t>
            </w:r>
          </w:p>
        </w:tc>
      </w:tr>
      <w:tr w:rsidR="000004F0" w:rsidRPr="006C1634" w14:paraId="679458D2" w14:textId="77777777" w:rsidTr="00123786">
        <w:trPr>
          <w:trHeight w:val="200"/>
        </w:trPr>
        <w:tc>
          <w:tcPr>
            <w:tcW w:w="0" w:type="auto"/>
            <w:shd w:val="clear" w:color="auto" w:fill="D9E1F2"/>
          </w:tcPr>
          <w:p w14:paraId="50CD4544"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post-PRP_4</w:t>
            </w:r>
          </w:p>
        </w:tc>
        <w:tc>
          <w:tcPr>
            <w:tcW w:w="2638" w:type="dxa"/>
            <w:shd w:val="clear" w:color="auto" w:fill="D9E1F2"/>
          </w:tcPr>
          <w:p w14:paraId="6DE71C4A" w14:textId="77777777" w:rsidR="00A434EF" w:rsidRPr="00123786" w:rsidRDefault="00A434EF" w:rsidP="00123786">
            <w:pPr>
              <w:spacing w:line="240" w:lineRule="auto"/>
              <w:rPr>
                <w:rFonts w:asciiTheme="majorHAnsi" w:hAnsiTheme="majorHAnsi" w:cstheme="majorHAnsi"/>
                <w:sz w:val="15"/>
                <w:szCs w:val="15"/>
                <w:lang w:val="en-US"/>
              </w:rPr>
            </w:pPr>
            <w:r w:rsidRPr="00123786">
              <w:rPr>
                <w:rFonts w:asciiTheme="majorHAnsi" w:hAnsiTheme="majorHAnsi" w:cstheme="majorHAnsi"/>
                <w:sz w:val="15"/>
                <w:szCs w:val="15"/>
                <w:lang w:val="en-US"/>
              </w:rPr>
              <w:t>post-PRP, healthy appearing skin</w:t>
            </w:r>
          </w:p>
        </w:tc>
        <w:tc>
          <w:tcPr>
            <w:tcW w:w="294" w:type="dxa"/>
            <w:shd w:val="clear" w:color="auto" w:fill="D9E1F2"/>
          </w:tcPr>
          <w:p w14:paraId="563533E0"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0,0</w:t>
            </w:r>
          </w:p>
        </w:tc>
        <w:tc>
          <w:tcPr>
            <w:tcW w:w="343" w:type="dxa"/>
            <w:shd w:val="clear" w:color="auto" w:fill="D9E1F2"/>
          </w:tcPr>
          <w:p w14:paraId="5213EEEB"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D9E1F2"/>
          </w:tcPr>
          <w:p w14:paraId="61C17F57"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D9E1F2"/>
          </w:tcPr>
          <w:p w14:paraId="573F21DE"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D9E1F2"/>
          </w:tcPr>
          <w:p w14:paraId="2C0325C1"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71,3</w:t>
            </w:r>
          </w:p>
        </w:tc>
        <w:tc>
          <w:tcPr>
            <w:tcW w:w="0" w:type="auto"/>
            <w:shd w:val="clear" w:color="auto" w:fill="D9E1F2"/>
          </w:tcPr>
          <w:p w14:paraId="0FCC2A5E"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D9E1F2"/>
          </w:tcPr>
          <w:p w14:paraId="2682160B"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7,5</w:t>
            </w:r>
          </w:p>
        </w:tc>
      </w:tr>
      <w:tr w:rsidR="000004F0" w:rsidRPr="006C1634" w14:paraId="5B4398C8" w14:textId="77777777" w:rsidTr="00123786">
        <w:trPr>
          <w:trHeight w:val="200"/>
        </w:trPr>
        <w:tc>
          <w:tcPr>
            <w:tcW w:w="0" w:type="auto"/>
            <w:shd w:val="clear" w:color="auto" w:fill="D9E1F2"/>
          </w:tcPr>
          <w:p w14:paraId="41204C4D"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post-PRP_6b</w:t>
            </w:r>
          </w:p>
        </w:tc>
        <w:tc>
          <w:tcPr>
            <w:tcW w:w="2638" w:type="dxa"/>
            <w:shd w:val="clear" w:color="auto" w:fill="D9E1F2"/>
          </w:tcPr>
          <w:p w14:paraId="0F1C01EA" w14:textId="77777777" w:rsidR="00A434EF" w:rsidRPr="00123786" w:rsidRDefault="00A434EF" w:rsidP="00123786">
            <w:pPr>
              <w:spacing w:line="240" w:lineRule="auto"/>
              <w:rPr>
                <w:rFonts w:asciiTheme="majorHAnsi" w:hAnsiTheme="majorHAnsi" w:cstheme="majorHAnsi"/>
                <w:sz w:val="15"/>
                <w:szCs w:val="15"/>
                <w:lang w:val="en-US"/>
              </w:rPr>
            </w:pPr>
            <w:r w:rsidRPr="00123786">
              <w:rPr>
                <w:rFonts w:asciiTheme="majorHAnsi" w:hAnsiTheme="majorHAnsi" w:cstheme="majorHAnsi"/>
                <w:sz w:val="15"/>
                <w:szCs w:val="15"/>
                <w:lang w:val="en-US"/>
              </w:rPr>
              <w:t>post-PRP, healthy appearing skin</w:t>
            </w:r>
          </w:p>
        </w:tc>
        <w:tc>
          <w:tcPr>
            <w:tcW w:w="294" w:type="dxa"/>
            <w:shd w:val="clear" w:color="auto" w:fill="D9E1F2"/>
          </w:tcPr>
          <w:p w14:paraId="40821C9D"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1,9</w:t>
            </w:r>
          </w:p>
        </w:tc>
        <w:tc>
          <w:tcPr>
            <w:tcW w:w="343" w:type="dxa"/>
            <w:shd w:val="clear" w:color="auto" w:fill="D9E1F2"/>
          </w:tcPr>
          <w:p w14:paraId="5A908C20"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D9E1F2"/>
          </w:tcPr>
          <w:p w14:paraId="765C8056"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D9E1F2"/>
          </w:tcPr>
          <w:p w14:paraId="55B465D7" w14:textId="08684A6A" w:rsidR="00A434EF" w:rsidRPr="006C1634" w:rsidRDefault="000004F0" w:rsidP="00123786">
            <w:pPr>
              <w:spacing w:line="240" w:lineRule="auto"/>
              <w:rPr>
                <w:rFonts w:asciiTheme="majorHAnsi" w:hAnsiTheme="majorHAnsi" w:cstheme="majorHAnsi"/>
                <w:sz w:val="15"/>
                <w:szCs w:val="15"/>
              </w:rPr>
            </w:pPr>
            <w:proofErr w:type="spellStart"/>
            <w:r>
              <w:rPr>
                <w:rFonts w:ascii="Calibri" w:eastAsia="Times New Roman" w:hAnsi="Calibri" w:cs="Calibri"/>
                <w:color w:val="000000"/>
                <w:sz w:val="15"/>
                <w:szCs w:val="15"/>
                <w:lang w:val="de-DE" w:eastAsia="de-DE"/>
              </w:rPr>
              <w:t>topical</w:t>
            </w:r>
            <w:proofErr w:type="spellEnd"/>
            <w:r>
              <w:rPr>
                <w:rFonts w:ascii="Calibri" w:eastAsia="Times New Roman" w:hAnsi="Calibri" w:cs="Calibri"/>
                <w:color w:val="000000"/>
                <w:sz w:val="15"/>
                <w:szCs w:val="15"/>
                <w:lang w:val="de-DE" w:eastAsia="de-DE"/>
              </w:rPr>
              <w:t xml:space="preserve"> </w:t>
            </w:r>
            <w:proofErr w:type="spellStart"/>
            <w:r w:rsidRPr="000004F0">
              <w:rPr>
                <w:rFonts w:ascii="Calibri" w:eastAsia="Times New Roman" w:hAnsi="Calibri" w:cs="Calibri"/>
                <w:color w:val="000000"/>
                <w:sz w:val="15"/>
                <w:szCs w:val="15"/>
                <w:lang w:val="de-DE" w:eastAsia="de-DE"/>
              </w:rPr>
              <w:t>clobetasol</w:t>
            </w:r>
            <w:proofErr w:type="spellEnd"/>
            <w:r w:rsidRPr="006C1634">
              <w:rPr>
                <w:rFonts w:asciiTheme="majorHAnsi" w:hAnsiTheme="majorHAnsi" w:cstheme="majorHAnsi"/>
                <w:sz w:val="15"/>
                <w:szCs w:val="15"/>
              </w:rPr>
              <w:t xml:space="preserve"> </w:t>
            </w:r>
            <w:proofErr w:type="spellStart"/>
            <w:r>
              <w:rPr>
                <w:rFonts w:asciiTheme="majorHAnsi" w:hAnsiTheme="majorHAnsi" w:cstheme="majorHAnsi"/>
                <w:sz w:val="15"/>
                <w:szCs w:val="15"/>
              </w:rPr>
              <w:t>twice</w:t>
            </w:r>
            <w:proofErr w:type="spellEnd"/>
            <w:r>
              <w:rPr>
                <w:rFonts w:asciiTheme="majorHAnsi" w:hAnsiTheme="majorHAnsi" w:cstheme="majorHAnsi"/>
                <w:sz w:val="15"/>
                <w:szCs w:val="15"/>
              </w:rPr>
              <w:t xml:space="preserve"> </w:t>
            </w:r>
            <w:proofErr w:type="spellStart"/>
            <w:r w:rsidR="00A434EF" w:rsidRPr="006C1634">
              <w:rPr>
                <w:rFonts w:asciiTheme="majorHAnsi" w:hAnsiTheme="majorHAnsi" w:cstheme="majorHAnsi"/>
                <w:sz w:val="15"/>
                <w:szCs w:val="15"/>
              </w:rPr>
              <w:t>weekly</w:t>
            </w:r>
            <w:proofErr w:type="spellEnd"/>
          </w:p>
        </w:tc>
        <w:tc>
          <w:tcPr>
            <w:tcW w:w="0" w:type="auto"/>
            <w:shd w:val="clear" w:color="auto" w:fill="D9E1F2"/>
          </w:tcPr>
          <w:p w14:paraId="04B3DA07"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55,2</w:t>
            </w:r>
          </w:p>
        </w:tc>
        <w:tc>
          <w:tcPr>
            <w:tcW w:w="0" w:type="auto"/>
            <w:shd w:val="clear" w:color="auto" w:fill="D9E1F2"/>
          </w:tcPr>
          <w:p w14:paraId="02BFE7C2"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D9E1F2"/>
          </w:tcPr>
          <w:p w14:paraId="172AAD35"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2,6</w:t>
            </w:r>
          </w:p>
        </w:tc>
      </w:tr>
      <w:tr w:rsidR="000004F0" w:rsidRPr="006C1634" w14:paraId="77B3F6A5" w14:textId="77777777" w:rsidTr="00123786">
        <w:trPr>
          <w:trHeight w:val="200"/>
        </w:trPr>
        <w:tc>
          <w:tcPr>
            <w:tcW w:w="0" w:type="auto"/>
            <w:shd w:val="clear" w:color="auto" w:fill="D9E1F2"/>
          </w:tcPr>
          <w:p w14:paraId="4B4908EC"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post-PRP_8</w:t>
            </w:r>
          </w:p>
        </w:tc>
        <w:tc>
          <w:tcPr>
            <w:tcW w:w="2638" w:type="dxa"/>
            <w:shd w:val="clear" w:color="auto" w:fill="D9E1F2"/>
          </w:tcPr>
          <w:p w14:paraId="4BE81E86" w14:textId="77777777" w:rsidR="00A434EF" w:rsidRPr="00123786" w:rsidRDefault="00A434EF" w:rsidP="00123786">
            <w:pPr>
              <w:spacing w:line="240" w:lineRule="auto"/>
              <w:rPr>
                <w:rFonts w:asciiTheme="majorHAnsi" w:hAnsiTheme="majorHAnsi" w:cstheme="majorHAnsi"/>
                <w:sz w:val="15"/>
                <w:szCs w:val="15"/>
                <w:lang w:val="en-US"/>
              </w:rPr>
            </w:pPr>
            <w:r w:rsidRPr="00123786">
              <w:rPr>
                <w:rFonts w:asciiTheme="majorHAnsi" w:hAnsiTheme="majorHAnsi" w:cstheme="majorHAnsi"/>
                <w:sz w:val="15"/>
                <w:szCs w:val="15"/>
                <w:lang w:val="en-US"/>
              </w:rPr>
              <w:t>post-PRP, healthy appearing skin</w:t>
            </w:r>
          </w:p>
        </w:tc>
        <w:tc>
          <w:tcPr>
            <w:tcW w:w="294" w:type="dxa"/>
            <w:shd w:val="clear" w:color="auto" w:fill="D9E1F2"/>
          </w:tcPr>
          <w:p w14:paraId="22E7DDE3"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0,0</w:t>
            </w:r>
          </w:p>
        </w:tc>
        <w:tc>
          <w:tcPr>
            <w:tcW w:w="343" w:type="dxa"/>
            <w:shd w:val="clear" w:color="auto" w:fill="D9E1F2"/>
          </w:tcPr>
          <w:p w14:paraId="343813D3"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D9E1F2"/>
          </w:tcPr>
          <w:p w14:paraId="665D4EA1"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D9E1F2"/>
          </w:tcPr>
          <w:p w14:paraId="249E738C"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D9E1F2"/>
          </w:tcPr>
          <w:p w14:paraId="6DC37B67"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94,4</w:t>
            </w:r>
          </w:p>
        </w:tc>
        <w:tc>
          <w:tcPr>
            <w:tcW w:w="0" w:type="auto"/>
            <w:shd w:val="clear" w:color="auto" w:fill="D9E1F2"/>
          </w:tcPr>
          <w:p w14:paraId="7F620B6F"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D9E1F2"/>
          </w:tcPr>
          <w:p w14:paraId="6F5DAC9D"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1,7</w:t>
            </w:r>
          </w:p>
        </w:tc>
      </w:tr>
      <w:tr w:rsidR="000004F0" w:rsidRPr="006C1634" w14:paraId="54734F8E" w14:textId="77777777" w:rsidTr="00123786">
        <w:trPr>
          <w:trHeight w:val="200"/>
        </w:trPr>
        <w:tc>
          <w:tcPr>
            <w:tcW w:w="0" w:type="auto"/>
            <w:shd w:val="clear" w:color="auto" w:fill="D9E1F2"/>
          </w:tcPr>
          <w:p w14:paraId="4E0A22A2"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post-PRP_9</w:t>
            </w:r>
          </w:p>
        </w:tc>
        <w:tc>
          <w:tcPr>
            <w:tcW w:w="2638" w:type="dxa"/>
            <w:shd w:val="clear" w:color="auto" w:fill="D9E1F2"/>
          </w:tcPr>
          <w:p w14:paraId="75DF8314" w14:textId="77777777" w:rsidR="00A434EF" w:rsidRPr="00123786" w:rsidRDefault="00A434EF" w:rsidP="00123786">
            <w:pPr>
              <w:spacing w:line="240" w:lineRule="auto"/>
              <w:rPr>
                <w:rFonts w:asciiTheme="majorHAnsi" w:hAnsiTheme="majorHAnsi" w:cstheme="majorHAnsi"/>
                <w:sz w:val="15"/>
                <w:szCs w:val="15"/>
                <w:lang w:val="en-US"/>
              </w:rPr>
            </w:pPr>
            <w:r w:rsidRPr="00123786">
              <w:rPr>
                <w:rFonts w:asciiTheme="majorHAnsi" w:hAnsiTheme="majorHAnsi" w:cstheme="majorHAnsi"/>
                <w:sz w:val="15"/>
                <w:szCs w:val="15"/>
                <w:lang w:val="en-US"/>
              </w:rPr>
              <w:t>post-PRP, healthy appearing skin</w:t>
            </w:r>
          </w:p>
        </w:tc>
        <w:tc>
          <w:tcPr>
            <w:tcW w:w="294" w:type="dxa"/>
            <w:shd w:val="clear" w:color="auto" w:fill="D9E1F2"/>
          </w:tcPr>
          <w:p w14:paraId="1AB49B7E"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0,0</w:t>
            </w:r>
          </w:p>
        </w:tc>
        <w:tc>
          <w:tcPr>
            <w:tcW w:w="343" w:type="dxa"/>
            <w:shd w:val="clear" w:color="auto" w:fill="D9E1F2"/>
          </w:tcPr>
          <w:p w14:paraId="1DBDE2C1"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D9E1F2"/>
          </w:tcPr>
          <w:p w14:paraId="18B0BF83"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D9E1F2"/>
          </w:tcPr>
          <w:p w14:paraId="4FAFBD4F"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D9E1F2"/>
          </w:tcPr>
          <w:p w14:paraId="23FE6CCC"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66,9</w:t>
            </w:r>
          </w:p>
        </w:tc>
        <w:tc>
          <w:tcPr>
            <w:tcW w:w="0" w:type="auto"/>
            <w:shd w:val="clear" w:color="auto" w:fill="D9E1F2"/>
          </w:tcPr>
          <w:p w14:paraId="72A09391"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D9E1F2"/>
          </w:tcPr>
          <w:p w14:paraId="154A0A21"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1,3</w:t>
            </w:r>
          </w:p>
        </w:tc>
      </w:tr>
      <w:tr w:rsidR="000004F0" w:rsidRPr="006C1634" w14:paraId="2CBFC91B" w14:textId="77777777" w:rsidTr="00123786">
        <w:trPr>
          <w:trHeight w:val="200"/>
        </w:trPr>
        <w:tc>
          <w:tcPr>
            <w:tcW w:w="0" w:type="auto"/>
            <w:shd w:val="clear" w:color="auto" w:fill="D9E1F2"/>
          </w:tcPr>
          <w:p w14:paraId="66BFE3EF"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post-PRP_10</w:t>
            </w:r>
          </w:p>
        </w:tc>
        <w:tc>
          <w:tcPr>
            <w:tcW w:w="2638" w:type="dxa"/>
            <w:shd w:val="clear" w:color="auto" w:fill="D9E1F2"/>
          </w:tcPr>
          <w:p w14:paraId="6A98307F" w14:textId="77777777" w:rsidR="00A434EF" w:rsidRPr="00123786" w:rsidRDefault="00A434EF" w:rsidP="00123786">
            <w:pPr>
              <w:spacing w:line="240" w:lineRule="auto"/>
              <w:rPr>
                <w:rFonts w:asciiTheme="majorHAnsi" w:hAnsiTheme="majorHAnsi" w:cstheme="majorHAnsi"/>
                <w:sz w:val="15"/>
                <w:szCs w:val="15"/>
                <w:lang w:val="en-US"/>
              </w:rPr>
            </w:pPr>
            <w:r w:rsidRPr="00123786">
              <w:rPr>
                <w:rFonts w:asciiTheme="majorHAnsi" w:hAnsiTheme="majorHAnsi" w:cstheme="majorHAnsi"/>
                <w:sz w:val="15"/>
                <w:szCs w:val="15"/>
                <w:lang w:val="en-US"/>
              </w:rPr>
              <w:t>post-PRP, healthy appearing skin</w:t>
            </w:r>
          </w:p>
        </w:tc>
        <w:tc>
          <w:tcPr>
            <w:tcW w:w="294" w:type="dxa"/>
            <w:shd w:val="clear" w:color="auto" w:fill="D9E1F2"/>
          </w:tcPr>
          <w:p w14:paraId="6B896ED2"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0,0</w:t>
            </w:r>
          </w:p>
        </w:tc>
        <w:tc>
          <w:tcPr>
            <w:tcW w:w="343" w:type="dxa"/>
            <w:shd w:val="clear" w:color="auto" w:fill="D9E1F2"/>
          </w:tcPr>
          <w:p w14:paraId="126D63B4"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D9E1F2"/>
          </w:tcPr>
          <w:p w14:paraId="0996BC26"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D9E1F2"/>
          </w:tcPr>
          <w:p w14:paraId="76BCA36A"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D9E1F2"/>
          </w:tcPr>
          <w:p w14:paraId="3DD620C1"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79,0</w:t>
            </w:r>
          </w:p>
        </w:tc>
        <w:tc>
          <w:tcPr>
            <w:tcW w:w="0" w:type="auto"/>
            <w:shd w:val="clear" w:color="auto" w:fill="D9E1F2"/>
          </w:tcPr>
          <w:p w14:paraId="5AB360B5"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f</w:t>
            </w:r>
          </w:p>
        </w:tc>
        <w:tc>
          <w:tcPr>
            <w:tcW w:w="0" w:type="auto"/>
            <w:shd w:val="clear" w:color="auto" w:fill="D9E1F2"/>
          </w:tcPr>
          <w:p w14:paraId="2E91DC5E"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5,6</w:t>
            </w:r>
          </w:p>
        </w:tc>
      </w:tr>
      <w:tr w:rsidR="000004F0" w:rsidRPr="006C1634" w14:paraId="37D20F0F" w14:textId="77777777" w:rsidTr="00123786">
        <w:trPr>
          <w:trHeight w:val="200"/>
        </w:trPr>
        <w:tc>
          <w:tcPr>
            <w:tcW w:w="0" w:type="auto"/>
            <w:shd w:val="clear" w:color="auto" w:fill="D9E1F2"/>
          </w:tcPr>
          <w:p w14:paraId="5492EB2C"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post-PRP_11</w:t>
            </w:r>
          </w:p>
        </w:tc>
        <w:tc>
          <w:tcPr>
            <w:tcW w:w="2638" w:type="dxa"/>
            <w:shd w:val="clear" w:color="auto" w:fill="D9E1F2"/>
          </w:tcPr>
          <w:p w14:paraId="2354D313" w14:textId="77777777" w:rsidR="00A434EF" w:rsidRPr="00123786" w:rsidRDefault="00A434EF" w:rsidP="00123786">
            <w:pPr>
              <w:spacing w:line="240" w:lineRule="auto"/>
              <w:rPr>
                <w:rFonts w:asciiTheme="majorHAnsi" w:hAnsiTheme="majorHAnsi" w:cstheme="majorHAnsi"/>
                <w:sz w:val="15"/>
                <w:szCs w:val="15"/>
                <w:lang w:val="en-US"/>
              </w:rPr>
            </w:pPr>
            <w:r w:rsidRPr="00123786">
              <w:rPr>
                <w:rFonts w:asciiTheme="majorHAnsi" w:hAnsiTheme="majorHAnsi" w:cstheme="majorHAnsi"/>
                <w:sz w:val="15"/>
                <w:szCs w:val="15"/>
                <w:lang w:val="en-US"/>
              </w:rPr>
              <w:t>post-PRP, healthy appearing skin</w:t>
            </w:r>
          </w:p>
        </w:tc>
        <w:tc>
          <w:tcPr>
            <w:tcW w:w="294" w:type="dxa"/>
            <w:shd w:val="clear" w:color="auto" w:fill="D9E1F2"/>
          </w:tcPr>
          <w:p w14:paraId="08323C73"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0,0</w:t>
            </w:r>
          </w:p>
        </w:tc>
        <w:tc>
          <w:tcPr>
            <w:tcW w:w="343" w:type="dxa"/>
            <w:shd w:val="clear" w:color="auto" w:fill="D9E1F2"/>
          </w:tcPr>
          <w:p w14:paraId="0A45B244"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D9E1F2"/>
          </w:tcPr>
          <w:p w14:paraId="2ED48DCE"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D9E1F2"/>
          </w:tcPr>
          <w:p w14:paraId="2B50ED08"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D9E1F2"/>
          </w:tcPr>
          <w:p w14:paraId="5AA21389"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39,9</w:t>
            </w:r>
          </w:p>
        </w:tc>
        <w:tc>
          <w:tcPr>
            <w:tcW w:w="0" w:type="auto"/>
            <w:shd w:val="clear" w:color="auto" w:fill="D9E1F2"/>
          </w:tcPr>
          <w:p w14:paraId="16D4617D"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f</w:t>
            </w:r>
          </w:p>
        </w:tc>
        <w:tc>
          <w:tcPr>
            <w:tcW w:w="0" w:type="auto"/>
            <w:shd w:val="clear" w:color="auto" w:fill="D9E1F2"/>
          </w:tcPr>
          <w:p w14:paraId="6CACAF68"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5,8</w:t>
            </w:r>
          </w:p>
        </w:tc>
      </w:tr>
      <w:tr w:rsidR="000004F0" w:rsidRPr="006C1634" w14:paraId="60D2CE9F" w14:textId="77777777" w:rsidTr="00123786">
        <w:trPr>
          <w:trHeight w:val="200"/>
        </w:trPr>
        <w:tc>
          <w:tcPr>
            <w:tcW w:w="0" w:type="auto"/>
            <w:shd w:val="clear" w:color="auto" w:fill="D9E1F2"/>
          </w:tcPr>
          <w:p w14:paraId="10988A0B"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post-PRP_12</w:t>
            </w:r>
          </w:p>
        </w:tc>
        <w:tc>
          <w:tcPr>
            <w:tcW w:w="2638" w:type="dxa"/>
            <w:shd w:val="clear" w:color="auto" w:fill="D9E1F2"/>
          </w:tcPr>
          <w:p w14:paraId="46F4886F" w14:textId="77777777" w:rsidR="00A434EF" w:rsidRPr="00123786" w:rsidRDefault="00A434EF" w:rsidP="00123786">
            <w:pPr>
              <w:spacing w:line="240" w:lineRule="auto"/>
              <w:rPr>
                <w:rFonts w:asciiTheme="majorHAnsi" w:hAnsiTheme="majorHAnsi" w:cstheme="majorHAnsi"/>
                <w:sz w:val="15"/>
                <w:szCs w:val="15"/>
                <w:lang w:val="en-US"/>
              </w:rPr>
            </w:pPr>
            <w:r w:rsidRPr="00123786">
              <w:rPr>
                <w:rFonts w:asciiTheme="majorHAnsi" w:hAnsiTheme="majorHAnsi" w:cstheme="majorHAnsi"/>
                <w:sz w:val="15"/>
                <w:szCs w:val="15"/>
                <w:lang w:val="en-US"/>
              </w:rPr>
              <w:t>post-PRP, healthy appearing skin</w:t>
            </w:r>
          </w:p>
        </w:tc>
        <w:tc>
          <w:tcPr>
            <w:tcW w:w="294" w:type="dxa"/>
            <w:shd w:val="clear" w:color="auto" w:fill="D9E1F2"/>
          </w:tcPr>
          <w:p w14:paraId="2E22EC42"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0,0</w:t>
            </w:r>
          </w:p>
        </w:tc>
        <w:tc>
          <w:tcPr>
            <w:tcW w:w="343" w:type="dxa"/>
            <w:shd w:val="clear" w:color="auto" w:fill="D9E1F2"/>
          </w:tcPr>
          <w:p w14:paraId="0CCE62F7"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D9E1F2"/>
          </w:tcPr>
          <w:p w14:paraId="64B7600A"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D9E1F2"/>
          </w:tcPr>
          <w:p w14:paraId="69EC5651"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D9E1F2"/>
          </w:tcPr>
          <w:p w14:paraId="2AB856D7"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75,7</w:t>
            </w:r>
          </w:p>
        </w:tc>
        <w:tc>
          <w:tcPr>
            <w:tcW w:w="0" w:type="auto"/>
            <w:shd w:val="clear" w:color="auto" w:fill="D9E1F2"/>
          </w:tcPr>
          <w:p w14:paraId="7CE841C8"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f</w:t>
            </w:r>
          </w:p>
        </w:tc>
        <w:tc>
          <w:tcPr>
            <w:tcW w:w="0" w:type="auto"/>
            <w:shd w:val="clear" w:color="auto" w:fill="D9E1F2"/>
          </w:tcPr>
          <w:p w14:paraId="75308107"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6,8</w:t>
            </w:r>
          </w:p>
        </w:tc>
      </w:tr>
      <w:tr w:rsidR="000004F0" w:rsidRPr="006C1634" w14:paraId="4EAD676E" w14:textId="77777777" w:rsidTr="00123786">
        <w:trPr>
          <w:trHeight w:val="200"/>
        </w:trPr>
        <w:tc>
          <w:tcPr>
            <w:tcW w:w="0" w:type="auto"/>
            <w:shd w:val="clear" w:color="auto" w:fill="C6E0B4"/>
          </w:tcPr>
          <w:p w14:paraId="124D84F4"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PSO_1</w:t>
            </w:r>
          </w:p>
        </w:tc>
        <w:tc>
          <w:tcPr>
            <w:tcW w:w="2638" w:type="dxa"/>
            <w:shd w:val="clear" w:color="auto" w:fill="C6E0B4"/>
          </w:tcPr>
          <w:p w14:paraId="42F23A4A"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Psoriasis_severe</w:t>
            </w:r>
            <w:proofErr w:type="spellEnd"/>
          </w:p>
        </w:tc>
        <w:tc>
          <w:tcPr>
            <w:tcW w:w="294" w:type="dxa"/>
            <w:shd w:val="clear" w:color="auto" w:fill="C6E0B4"/>
          </w:tcPr>
          <w:p w14:paraId="61B304D1"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39,9</w:t>
            </w:r>
          </w:p>
        </w:tc>
        <w:tc>
          <w:tcPr>
            <w:tcW w:w="343" w:type="dxa"/>
            <w:shd w:val="clear" w:color="auto" w:fill="C6E0B4"/>
          </w:tcPr>
          <w:p w14:paraId="2BCCC142"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C6E0B4"/>
          </w:tcPr>
          <w:p w14:paraId="691EDA10"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C6E0B4"/>
          </w:tcPr>
          <w:p w14:paraId="5FA096E4" w14:textId="7F766464" w:rsidR="00A434EF" w:rsidRPr="006C1634" w:rsidRDefault="000004F0" w:rsidP="00123786">
            <w:pPr>
              <w:spacing w:line="240" w:lineRule="auto"/>
              <w:rPr>
                <w:rFonts w:asciiTheme="majorHAnsi" w:hAnsiTheme="majorHAnsi" w:cstheme="majorHAnsi"/>
                <w:sz w:val="15"/>
                <w:szCs w:val="15"/>
              </w:rPr>
            </w:pPr>
            <w:proofErr w:type="spellStart"/>
            <w:r>
              <w:rPr>
                <w:rFonts w:ascii="Calibri" w:eastAsia="Times New Roman" w:hAnsi="Calibri" w:cs="Calibri"/>
                <w:color w:val="000000"/>
                <w:sz w:val="15"/>
                <w:szCs w:val="15"/>
                <w:lang w:val="de-DE" w:eastAsia="de-DE"/>
              </w:rPr>
              <w:t>topical</w:t>
            </w:r>
            <w:proofErr w:type="spellEnd"/>
            <w:r>
              <w:rPr>
                <w:rFonts w:ascii="Calibri" w:eastAsia="Times New Roman" w:hAnsi="Calibri" w:cs="Calibri"/>
                <w:color w:val="000000"/>
                <w:sz w:val="15"/>
                <w:szCs w:val="15"/>
                <w:lang w:val="de-DE" w:eastAsia="de-DE"/>
              </w:rPr>
              <w:t xml:space="preserve"> </w:t>
            </w:r>
            <w:proofErr w:type="spellStart"/>
            <w:r w:rsidRPr="000004F0">
              <w:rPr>
                <w:rFonts w:ascii="Calibri" w:eastAsia="Times New Roman" w:hAnsi="Calibri" w:cs="Calibri"/>
                <w:color w:val="000000"/>
                <w:sz w:val="15"/>
                <w:szCs w:val="15"/>
                <w:lang w:val="de-DE" w:eastAsia="de-DE"/>
              </w:rPr>
              <w:t>clobetasol</w:t>
            </w:r>
            <w:proofErr w:type="spellEnd"/>
          </w:p>
        </w:tc>
        <w:tc>
          <w:tcPr>
            <w:tcW w:w="0" w:type="auto"/>
            <w:shd w:val="clear" w:color="auto" w:fill="C6E0B4"/>
          </w:tcPr>
          <w:p w14:paraId="2EC98511"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55,6</w:t>
            </w:r>
          </w:p>
        </w:tc>
        <w:tc>
          <w:tcPr>
            <w:tcW w:w="0" w:type="auto"/>
            <w:shd w:val="clear" w:color="auto" w:fill="C6E0B4"/>
          </w:tcPr>
          <w:p w14:paraId="0402A7A9"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C6E0B4"/>
          </w:tcPr>
          <w:p w14:paraId="74E6A0A2" w14:textId="77777777" w:rsidR="00A434EF" w:rsidRPr="006C1634" w:rsidRDefault="00A434EF" w:rsidP="00123786">
            <w:pPr>
              <w:spacing w:line="240" w:lineRule="auto"/>
              <w:rPr>
                <w:rFonts w:asciiTheme="majorHAnsi" w:hAnsiTheme="majorHAnsi" w:cstheme="majorHAnsi"/>
                <w:sz w:val="15"/>
                <w:szCs w:val="15"/>
              </w:rPr>
            </w:pPr>
          </w:p>
        </w:tc>
      </w:tr>
      <w:tr w:rsidR="000004F0" w:rsidRPr="006C1634" w14:paraId="42278FA3" w14:textId="77777777" w:rsidTr="00123786">
        <w:trPr>
          <w:trHeight w:val="200"/>
        </w:trPr>
        <w:tc>
          <w:tcPr>
            <w:tcW w:w="0" w:type="auto"/>
            <w:shd w:val="clear" w:color="auto" w:fill="C6E0B4"/>
          </w:tcPr>
          <w:p w14:paraId="6D65B51C"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PSO_2</w:t>
            </w:r>
          </w:p>
        </w:tc>
        <w:tc>
          <w:tcPr>
            <w:tcW w:w="2638" w:type="dxa"/>
            <w:shd w:val="clear" w:color="auto" w:fill="C6E0B4"/>
          </w:tcPr>
          <w:p w14:paraId="71E1DE51"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Psoriasis_severe</w:t>
            </w:r>
            <w:proofErr w:type="spellEnd"/>
          </w:p>
        </w:tc>
        <w:tc>
          <w:tcPr>
            <w:tcW w:w="294" w:type="dxa"/>
            <w:shd w:val="clear" w:color="auto" w:fill="C6E0B4"/>
          </w:tcPr>
          <w:p w14:paraId="011AC00B"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30,6</w:t>
            </w:r>
          </w:p>
        </w:tc>
        <w:tc>
          <w:tcPr>
            <w:tcW w:w="343" w:type="dxa"/>
            <w:shd w:val="clear" w:color="auto" w:fill="C6E0B4"/>
          </w:tcPr>
          <w:p w14:paraId="7A4607C9"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C6E0B4"/>
          </w:tcPr>
          <w:p w14:paraId="6BA5A726"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YES</w:t>
            </w:r>
          </w:p>
        </w:tc>
        <w:tc>
          <w:tcPr>
            <w:tcW w:w="0" w:type="auto"/>
            <w:shd w:val="clear" w:color="auto" w:fill="C6E0B4"/>
          </w:tcPr>
          <w:p w14:paraId="4D0A4F38" w14:textId="04AA1DD5" w:rsidR="00A434EF" w:rsidRPr="006C1634" w:rsidRDefault="000004F0" w:rsidP="00123786">
            <w:pPr>
              <w:spacing w:line="240" w:lineRule="auto"/>
              <w:rPr>
                <w:rFonts w:asciiTheme="majorHAnsi" w:hAnsiTheme="majorHAnsi" w:cstheme="majorHAnsi"/>
                <w:sz w:val="15"/>
                <w:szCs w:val="15"/>
              </w:rPr>
            </w:pPr>
            <w:proofErr w:type="spellStart"/>
            <w:r>
              <w:rPr>
                <w:rFonts w:asciiTheme="majorHAnsi" w:hAnsiTheme="majorHAnsi" w:cstheme="majorHAnsi"/>
                <w:sz w:val="15"/>
                <w:szCs w:val="15"/>
              </w:rPr>
              <w:t>Etanercept</w:t>
            </w:r>
            <w:proofErr w:type="spellEnd"/>
          </w:p>
        </w:tc>
        <w:tc>
          <w:tcPr>
            <w:tcW w:w="0" w:type="auto"/>
            <w:shd w:val="clear" w:color="auto" w:fill="C6E0B4"/>
          </w:tcPr>
          <w:p w14:paraId="1F8DFF46"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59,5</w:t>
            </w:r>
          </w:p>
        </w:tc>
        <w:tc>
          <w:tcPr>
            <w:tcW w:w="0" w:type="auto"/>
            <w:shd w:val="clear" w:color="auto" w:fill="C6E0B4"/>
          </w:tcPr>
          <w:p w14:paraId="2586D16F"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C6E0B4"/>
          </w:tcPr>
          <w:p w14:paraId="401D6139" w14:textId="77777777" w:rsidR="00A434EF" w:rsidRPr="006C1634" w:rsidRDefault="00A434EF" w:rsidP="00123786">
            <w:pPr>
              <w:spacing w:line="240" w:lineRule="auto"/>
              <w:rPr>
                <w:rFonts w:asciiTheme="majorHAnsi" w:hAnsiTheme="majorHAnsi" w:cstheme="majorHAnsi"/>
                <w:sz w:val="15"/>
                <w:szCs w:val="15"/>
              </w:rPr>
            </w:pPr>
          </w:p>
        </w:tc>
      </w:tr>
      <w:tr w:rsidR="000004F0" w:rsidRPr="006C1634" w14:paraId="2DDCC727" w14:textId="77777777" w:rsidTr="00123786">
        <w:trPr>
          <w:trHeight w:val="200"/>
        </w:trPr>
        <w:tc>
          <w:tcPr>
            <w:tcW w:w="0" w:type="auto"/>
            <w:shd w:val="clear" w:color="auto" w:fill="C6E0B4"/>
          </w:tcPr>
          <w:p w14:paraId="02BE4872"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PSO_3</w:t>
            </w:r>
          </w:p>
        </w:tc>
        <w:tc>
          <w:tcPr>
            <w:tcW w:w="2638" w:type="dxa"/>
            <w:shd w:val="clear" w:color="auto" w:fill="C6E0B4"/>
          </w:tcPr>
          <w:p w14:paraId="58EDE3ED"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Psoriasis_mild</w:t>
            </w:r>
            <w:proofErr w:type="spellEnd"/>
          </w:p>
        </w:tc>
        <w:tc>
          <w:tcPr>
            <w:tcW w:w="294" w:type="dxa"/>
            <w:shd w:val="clear" w:color="auto" w:fill="C6E0B4"/>
          </w:tcPr>
          <w:p w14:paraId="394DE2E0"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9,3</w:t>
            </w:r>
          </w:p>
        </w:tc>
        <w:tc>
          <w:tcPr>
            <w:tcW w:w="343" w:type="dxa"/>
            <w:shd w:val="clear" w:color="auto" w:fill="C6E0B4"/>
          </w:tcPr>
          <w:p w14:paraId="7C058BCE"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C6E0B4"/>
          </w:tcPr>
          <w:p w14:paraId="7BD15545"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C6E0B4"/>
          </w:tcPr>
          <w:p w14:paraId="28C12696" w14:textId="1E21693F" w:rsidR="00A434EF" w:rsidRPr="006C1634" w:rsidRDefault="000004F0" w:rsidP="00123786">
            <w:pPr>
              <w:spacing w:line="240" w:lineRule="auto"/>
              <w:rPr>
                <w:rFonts w:asciiTheme="majorHAnsi" w:hAnsiTheme="majorHAnsi" w:cstheme="majorHAnsi"/>
                <w:sz w:val="15"/>
                <w:szCs w:val="15"/>
              </w:rPr>
            </w:pPr>
            <w:proofErr w:type="spellStart"/>
            <w:r w:rsidRPr="000004F0">
              <w:rPr>
                <w:rFonts w:ascii="Calibri" w:eastAsia="Times New Roman" w:hAnsi="Calibri" w:cs="Calibri"/>
                <w:color w:val="000000"/>
                <w:sz w:val="15"/>
                <w:szCs w:val="15"/>
                <w:lang w:val="de-DE" w:eastAsia="de-DE"/>
              </w:rPr>
              <w:t>topical</w:t>
            </w:r>
            <w:proofErr w:type="spellEnd"/>
            <w:r w:rsidRPr="000004F0">
              <w:rPr>
                <w:rFonts w:ascii="Calibri" w:eastAsia="Times New Roman" w:hAnsi="Calibri" w:cs="Calibri"/>
                <w:color w:val="000000"/>
                <w:sz w:val="15"/>
                <w:szCs w:val="15"/>
                <w:lang w:val="de-DE" w:eastAsia="de-DE"/>
              </w:rPr>
              <w:t xml:space="preserve"> </w:t>
            </w:r>
            <w:proofErr w:type="spellStart"/>
            <w:r w:rsidRPr="000004F0">
              <w:rPr>
                <w:rFonts w:ascii="Calibri" w:eastAsia="Times New Roman" w:hAnsi="Calibri" w:cs="Calibri"/>
                <w:color w:val="000000"/>
                <w:sz w:val="15"/>
                <w:szCs w:val="15"/>
                <w:lang w:val="de-DE" w:eastAsia="de-DE"/>
              </w:rPr>
              <w:t>clobetasol</w:t>
            </w:r>
            <w:proofErr w:type="spellEnd"/>
            <w:r w:rsidRPr="000004F0">
              <w:rPr>
                <w:rFonts w:ascii="Calibri" w:eastAsia="Times New Roman" w:hAnsi="Calibri" w:cs="Calibri"/>
                <w:color w:val="000000"/>
                <w:sz w:val="15"/>
                <w:szCs w:val="15"/>
                <w:lang w:val="de-DE" w:eastAsia="de-DE"/>
              </w:rPr>
              <w:t xml:space="preserve">, </w:t>
            </w:r>
            <w:proofErr w:type="spellStart"/>
            <w:r w:rsidRPr="000004F0">
              <w:rPr>
                <w:rFonts w:ascii="Calibri" w:eastAsia="Times New Roman" w:hAnsi="Calibri" w:cs="Calibri"/>
                <w:color w:val="000000"/>
                <w:sz w:val="15"/>
                <w:szCs w:val="15"/>
                <w:lang w:val="de-DE" w:eastAsia="de-DE"/>
              </w:rPr>
              <w:t>topical</w:t>
            </w:r>
            <w:proofErr w:type="spellEnd"/>
            <w:r w:rsidRPr="000004F0">
              <w:rPr>
                <w:rFonts w:ascii="Calibri" w:eastAsia="Times New Roman" w:hAnsi="Calibri" w:cs="Calibri"/>
                <w:color w:val="000000"/>
                <w:sz w:val="15"/>
                <w:szCs w:val="15"/>
                <w:lang w:val="de-DE" w:eastAsia="de-DE"/>
              </w:rPr>
              <w:t xml:space="preserve"> </w:t>
            </w:r>
            <w:proofErr w:type="spellStart"/>
            <w:r w:rsidRPr="000004F0">
              <w:rPr>
                <w:rFonts w:ascii="Calibri" w:eastAsia="Times New Roman" w:hAnsi="Calibri" w:cs="Calibri"/>
                <w:color w:val="000000"/>
                <w:sz w:val="15"/>
                <w:szCs w:val="15"/>
                <w:lang w:val="de-DE" w:eastAsia="de-DE"/>
              </w:rPr>
              <w:t>tacrolimus</w:t>
            </w:r>
            <w:proofErr w:type="spellEnd"/>
          </w:p>
        </w:tc>
        <w:tc>
          <w:tcPr>
            <w:tcW w:w="0" w:type="auto"/>
            <w:shd w:val="clear" w:color="auto" w:fill="C6E0B4"/>
          </w:tcPr>
          <w:p w14:paraId="14F21F56"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33,1</w:t>
            </w:r>
          </w:p>
        </w:tc>
        <w:tc>
          <w:tcPr>
            <w:tcW w:w="0" w:type="auto"/>
            <w:shd w:val="clear" w:color="auto" w:fill="C6E0B4"/>
          </w:tcPr>
          <w:p w14:paraId="27A8EDBA"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C6E0B4"/>
          </w:tcPr>
          <w:p w14:paraId="16B4B6FD" w14:textId="77777777" w:rsidR="00A434EF" w:rsidRPr="006C1634" w:rsidRDefault="00A434EF" w:rsidP="00123786">
            <w:pPr>
              <w:spacing w:line="240" w:lineRule="auto"/>
              <w:rPr>
                <w:rFonts w:asciiTheme="majorHAnsi" w:hAnsiTheme="majorHAnsi" w:cstheme="majorHAnsi"/>
                <w:sz w:val="15"/>
                <w:szCs w:val="15"/>
              </w:rPr>
            </w:pPr>
          </w:p>
        </w:tc>
      </w:tr>
      <w:tr w:rsidR="000004F0" w:rsidRPr="006C1634" w14:paraId="4450B568" w14:textId="77777777" w:rsidTr="00123786">
        <w:trPr>
          <w:trHeight w:val="200"/>
        </w:trPr>
        <w:tc>
          <w:tcPr>
            <w:tcW w:w="0" w:type="auto"/>
            <w:shd w:val="clear" w:color="auto" w:fill="C6E0B4"/>
          </w:tcPr>
          <w:p w14:paraId="09D0E256"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PSO_4</w:t>
            </w:r>
          </w:p>
        </w:tc>
        <w:tc>
          <w:tcPr>
            <w:tcW w:w="2638" w:type="dxa"/>
            <w:shd w:val="clear" w:color="auto" w:fill="C6E0B4"/>
          </w:tcPr>
          <w:p w14:paraId="2D87B571"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Psoriasis_mild</w:t>
            </w:r>
            <w:proofErr w:type="spellEnd"/>
          </w:p>
        </w:tc>
        <w:tc>
          <w:tcPr>
            <w:tcW w:w="294" w:type="dxa"/>
            <w:shd w:val="clear" w:color="auto" w:fill="C6E0B4"/>
          </w:tcPr>
          <w:p w14:paraId="4A486C5E"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8,0</w:t>
            </w:r>
          </w:p>
        </w:tc>
        <w:tc>
          <w:tcPr>
            <w:tcW w:w="343" w:type="dxa"/>
            <w:shd w:val="clear" w:color="auto" w:fill="C6E0B4"/>
          </w:tcPr>
          <w:p w14:paraId="57723474"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C6E0B4"/>
          </w:tcPr>
          <w:p w14:paraId="53532BF8"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C6E0B4"/>
          </w:tcPr>
          <w:p w14:paraId="38CA9D2A"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 (Moisturizer)</w:t>
            </w:r>
          </w:p>
        </w:tc>
        <w:tc>
          <w:tcPr>
            <w:tcW w:w="0" w:type="auto"/>
            <w:shd w:val="clear" w:color="auto" w:fill="C6E0B4"/>
          </w:tcPr>
          <w:p w14:paraId="4FFC2674"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62,7</w:t>
            </w:r>
          </w:p>
        </w:tc>
        <w:tc>
          <w:tcPr>
            <w:tcW w:w="0" w:type="auto"/>
            <w:shd w:val="clear" w:color="auto" w:fill="C6E0B4"/>
          </w:tcPr>
          <w:p w14:paraId="175C13F3"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C6E0B4"/>
          </w:tcPr>
          <w:p w14:paraId="427602A8" w14:textId="77777777" w:rsidR="00A434EF" w:rsidRPr="006C1634" w:rsidRDefault="00A434EF" w:rsidP="00123786">
            <w:pPr>
              <w:spacing w:line="240" w:lineRule="auto"/>
              <w:rPr>
                <w:rFonts w:asciiTheme="majorHAnsi" w:hAnsiTheme="majorHAnsi" w:cstheme="majorHAnsi"/>
                <w:sz w:val="15"/>
                <w:szCs w:val="15"/>
              </w:rPr>
            </w:pPr>
          </w:p>
        </w:tc>
      </w:tr>
      <w:tr w:rsidR="000004F0" w:rsidRPr="006C1634" w14:paraId="03A2A185" w14:textId="77777777" w:rsidTr="00123786">
        <w:trPr>
          <w:trHeight w:val="200"/>
        </w:trPr>
        <w:tc>
          <w:tcPr>
            <w:tcW w:w="0" w:type="auto"/>
            <w:shd w:val="clear" w:color="auto" w:fill="C6E0B4"/>
          </w:tcPr>
          <w:p w14:paraId="674C3078"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PSO_5</w:t>
            </w:r>
          </w:p>
        </w:tc>
        <w:tc>
          <w:tcPr>
            <w:tcW w:w="2638" w:type="dxa"/>
            <w:shd w:val="clear" w:color="auto" w:fill="C6E0B4"/>
          </w:tcPr>
          <w:p w14:paraId="70EC55B1" w14:textId="77777777" w:rsidR="00A434EF" w:rsidRPr="006C1634" w:rsidRDefault="00A434EF" w:rsidP="00123786">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Psoriasis_mild</w:t>
            </w:r>
            <w:proofErr w:type="spellEnd"/>
          </w:p>
        </w:tc>
        <w:tc>
          <w:tcPr>
            <w:tcW w:w="294" w:type="dxa"/>
            <w:shd w:val="clear" w:color="auto" w:fill="C6E0B4"/>
          </w:tcPr>
          <w:p w14:paraId="35A048EF"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2,1</w:t>
            </w:r>
          </w:p>
        </w:tc>
        <w:tc>
          <w:tcPr>
            <w:tcW w:w="343" w:type="dxa"/>
            <w:shd w:val="clear" w:color="auto" w:fill="C6E0B4"/>
          </w:tcPr>
          <w:p w14:paraId="611AC660" w14:textId="77777777" w:rsidR="00A434EF" w:rsidRPr="006C1634" w:rsidRDefault="00A434EF" w:rsidP="00123786">
            <w:pPr>
              <w:spacing w:line="240" w:lineRule="auto"/>
              <w:rPr>
                <w:rFonts w:asciiTheme="majorHAnsi" w:hAnsiTheme="majorHAnsi" w:cstheme="majorHAnsi"/>
                <w:sz w:val="15"/>
                <w:szCs w:val="15"/>
              </w:rPr>
            </w:pPr>
          </w:p>
        </w:tc>
        <w:tc>
          <w:tcPr>
            <w:tcW w:w="806" w:type="dxa"/>
            <w:shd w:val="clear" w:color="auto" w:fill="C6E0B4"/>
          </w:tcPr>
          <w:p w14:paraId="5B392AA3"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C6E0B4"/>
          </w:tcPr>
          <w:p w14:paraId="3B25A048" w14:textId="3983F39F" w:rsidR="00A434EF" w:rsidRPr="006C1634" w:rsidRDefault="000004F0" w:rsidP="00123786">
            <w:pPr>
              <w:spacing w:line="240" w:lineRule="auto"/>
              <w:rPr>
                <w:rFonts w:asciiTheme="majorHAnsi" w:hAnsiTheme="majorHAnsi" w:cstheme="majorHAnsi"/>
                <w:sz w:val="15"/>
                <w:szCs w:val="15"/>
              </w:rPr>
            </w:pPr>
            <w:proofErr w:type="spellStart"/>
            <w:r>
              <w:rPr>
                <w:rFonts w:ascii="Calibri" w:eastAsia="Times New Roman" w:hAnsi="Calibri" w:cs="Calibri"/>
                <w:color w:val="000000"/>
                <w:sz w:val="15"/>
                <w:szCs w:val="15"/>
                <w:lang w:val="de-DE" w:eastAsia="de-DE"/>
              </w:rPr>
              <w:t>topical</w:t>
            </w:r>
            <w:proofErr w:type="spellEnd"/>
            <w:r>
              <w:rPr>
                <w:rFonts w:ascii="Calibri" w:eastAsia="Times New Roman" w:hAnsi="Calibri" w:cs="Calibri"/>
                <w:color w:val="000000"/>
                <w:sz w:val="15"/>
                <w:szCs w:val="15"/>
                <w:lang w:val="de-DE" w:eastAsia="de-DE"/>
              </w:rPr>
              <w:t xml:space="preserve"> </w:t>
            </w:r>
            <w:proofErr w:type="spellStart"/>
            <w:r w:rsidRPr="000004F0">
              <w:rPr>
                <w:rFonts w:ascii="Calibri" w:eastAsia="Times New Roman" w:hAnsi="Calibri" w:cs="Calibri"/>
                <w:color w:val="000000"/>
                <w:sz w:val="15"/>
                <w:szCs w:val="15"/>
                <w:lang w:val="de-DE" w:eastAsia="de-DE"/>
              </w:rPr>
              <w:t>clobetasol</w:t>
            </w:r>
            <w:proofErr w:type="spellEnd"/>
          </w:p>
        </w:tc>
        <w:tc>
          <w:tcPr>
            <w:tcW w:w="0" w:type="auto"/>
            <w:shd w:val="clear" w:color="auto" w:fill="C6E0B4"/>
          </w:tcPr>
          <w:p w14:paraId="2D82C7AB"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62,7</w:t>
            </w:r>
          </w:p>
        </w:tc>
        <w:tc>
          <w:tcPr>
            <w:tcW w:w="0" w:type="auto"/>
            <w:shd w:val="clear" w:color="auto" w:fill="C6E0B4"/>
          </w:tcPr>
          <w:p w14:paraId="0D32B8FA" w14:textId="77777777" w:rsidR="00A434EF" w:rsidRPr="006C1634" w:rsidRDefault="00A434EF" w:rsidP="00123786">
            <w:pPr>
              <w:spacing w:line="240" w:lineRule="auto"/>
              <w:rPr>
                <w:rFonts w:asciiTheme="majorHAnsi" w:hAnsiTheme="majorHAnsi" w:cstheme="majorHAnsi"/>
                <w:sz w:val="15"/>
                <w:szCs w:val="15"/>
              </w:rPr>
            </w:pPr>
            <w:r w:rsidRPr="006C1634">
              <w:rPr>
                <w:rFonts w:asciiTheme="majorHAnsi" w:hAnsiTheme="majorHAnsi" w:cstheme="majorHAnsi"/>
                <w:sz w:val="15"/>
                <w:szCs w:val="15"/>
              </w:rPr>
              <w:t>f</w:t>
            </w:r>
          </w:p>
        </w:tc>
        <w:tc>
          <w:tcPr>
            <w:tcW w:w="0" w:type="auto"/>
            <w:shd w:val="clear" w:color="auto" w:fill="C6E0B4"/>
          </w:tcPr>
          <w:p w14:paraId="6DEEF7BB" w14:textId="77777777" w:rsidR="00A434EF" w:rsidRPr="006C1634" w:rsidRDefault="00A434EF" w:rsidP="00123786">
            <w:pPr>
              <w:spacing w:line="240" w:lineRule="auto"/>
              <w:rPr>
                <w:rFonts w:asciiTheme="majorHAnsi" w:hAnsiTheme="majorHAnsi" w:cstheme="majorHAnsi"/>
                <w:sz w:val="15"/>
                <w:szCs w:val="15"/>
              </w:rPr>
            </w:pPr>
          </w:p>
        </w:tc>
      </w:tr>
      <w:tr w:rsidR="000004F0" w:rsidRPr="006C1634" w14:paraId="0EB7CF14" w14:textId="77777777" w:rsidTr="007B0C73">
        <w:trPr>
          <w:trHeight w:val="200"/>
        </w:trPr>
        <w:tc>
          <w:tcPr>
            <w:tcW w:w="0" w:type="auto"/>
            <w:shd w:val="clear" w:color="auto" w:fill="C6E0B4"/>
          </w:tcPr>
          <w:p w14:paraId="111B240A"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PSO_6_healthy</w:t>
            </w:r>
          </w:p>
        </w:tc>
        <w:tc>
          <w:tcPr>
            <w:tcW w:w="2638" w:type="dxa"/>
            <w:shd w:val="clear" w:color="auto" w:fill="C6E0B4"/>
          </w:tcPr>
          <w:p w14:paraId="59425A5D" w14:textId="77777777" w:rsidR="000004F0" w:rsidRPr="00123786" w:rsidRDefault="000004F0" w:rsidP="000004F0">
            <w:pPr>
              <w:spacing w:line="240" w:lineRule="auto"/>
              <w:rPr>
                <w:rFonts w:asciiTheme="majorHAnsi" w:hAnsiTheme="majorHAnsi" w:cstheme="majorHAnsi"/>
                <w:sz w:val="15"/>
                <w:szCs w:val="15"/>
                <w:lang w:val="en-US"/>
              </w:rPr>
            </w:pPr>
            <w:proofErr w:type="spellStart"/>
            <w:r w:rsidRPr="00123786">
              <w:rPr>
                <w:rFonts w:asciiTheme="majorHAnsi" w:hAnsiTheme="majorHAnsi" w:cstheme="majorHAnsi"/>
                <w:sz w:val="15"/>
                <w:szCs w:val="15"/>
                <w:lang w:val="en-US"/>
              </w:rPr>
              <w:t>Psoriasis_healthy</w:t>
            </w:r>
            <w:proofErr w:type="spellEnd"/>
            <w:r w:rsidRPr="00123786">
              <w:rPr>
                <w:rFonts w:asciiTheme="majorHAnsi" w:hAnsiTheme="majorHAnsi" w:cstheme="majorHAnsi"/>
                <w:sz w:val="15"/>
                <w:szCs w:val="15"/>
                <w:lang w:val="en-US"/>
              </w:rPr>
              <w:t xml:space="preserve"> appearing skin (non-lesional)</w:t>
            </w:r>
          </w:p>
        </w:tc>
        <w:tc>
          <w:tcPr>
            <w:tcW w:w="294" w:type="dxa"/>
            <w:shd w:val="clear" w:color="auto" w:fill="C6E0B4"/>
          </w:tcPr>
          <w:p w14:paraId="61918D9B"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7,9</w:t>
            </w:r>
          </w:p>
        </w:tc>
        <w:tc>
          <w:tcPr>
            <w:tcW w:w="343" w:type="dxa"/>
            <w:shd w:val="clear" w:color="auto" w:fill="C6E0B4"/>
          </w:tcPr>
          <w:p w14:paraId="27F25BC3" w14:textId="77777777" w:rsidR="000004F0" w:rsidRPr="006C1634" w:rsidRDefault="000004F0" w:rsidP="000004F0">
            <w:pPr>
              <w:spacing w:line="240" w:lineRule="auto"/>
              <w:rPr>
                <w:rFonts w:asciiTheme="majorHAnsi" w:hAnsiTheme="majorHAnsi" w:cstheme="majorHAnsi"/>
                <w:sz w:val="15"/>
                <w:szCs w:val="15"/>
              </w:rPr>
            </w:pPr>
          </w:p>
        </w:tc>
        <w:tc>
          <w:tcPr>
            <w:tcW w:w="806" w:type="dxa"/>
            <w:shd w:val="clear" w:color="auto" w:fill="C6E0B4"/>
          </w:tcPr>
          <w:p w14:paraId="17B70343"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C6E0B4"/>
            <w:vAlign w:val="bottom"/>
          </w:tcPr>
          <w:p w14:paraId="6304D663" w14:textId="59530BB6" w:rsidR="000004F0" w:rsidRPr="000004F0" w:rsidRDefault="000004F0" w:rsidP="000004F0">
            <w:pPr>
              <w:spacing w:line="240" w:lineRule="auto"/>
              <w:rPr>
                <w:rFonts w:asciiTheme="majorHAnsi" w:hAnsiTheme="majorHAnsi" w:cstheme="majorHAnsi"/>
                <w:sz w:val="15"/>
                <w:szCs w:val="15"/>
                <w:lang w:val="en-US"/>
              </w:rPr>
            </w:pPr>
            <w:r w:rsidRPr="000004F0">
              <w:rPr>
                <w:rFonts w:ascii="Calibri" w:eastAsia="Times New Roman" w:hAnsi="Calibri" w:cs="Calibri"/>
                <w:color w:val="000000"/>
                <w:sz w:val="15"/>
                <w:szCs w:val="15"/>
                <w:lang w:val="en-US" w:eastAsia="de-DE"/>
              </w:rPr>
              <w:t>topical calcipotriene and betamethasone dipropionate</w:t>
            </w:r>
          </w:p>
        </w:tc>
        <w:tc>
          <w:tcPr>
            <w:tcW w:w="0" w:type="auto"/>
            <w:shd w:val="clear" w:color="auto" w:fill="C6E0B4"/>
          </w:tcPr>
          <w:p w14:paraId="4BA184E2"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62,9</w:t>
            </w:r>
          </w:p>
        </w:tc>
        <w:tc>
          <w:tcPr>
            <w:tcW w:w="0" w:type="auto"/>
            <w:shd w:val="clear" w:color="auto" w:fill="C6E0B4"/>
          </w:tcPr>
          <w:p w14:paraId="0E73A1AE"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C6E0B4"/>
          </w:tcPr>
          <w:p w14:paraId="050E3FF2" w14:textId="77777777" w:rsidR="000004F0" w:rsidRPr="006C1634" w:rsidRDefault="000004F0" w:rsidP="000004F0">
            <w:pPr>
              <w:spacing w:line="240" w:lineRule="auto"/>
              <w:rPr>
                <w:rFonts w:asciiTheme="majorHAnsi" w:hAnsiTheme="majorHAnsi" w:cstheme="majorHAnsi"/>
                <w:sz w:val="15"/>
                <w:szCs w:val="15"/>
              </w:rPr>
            </w:pPr>
          </w:p>
        </w:tc>
      </w:tr>
      <w:tr w:rsidR="000004F0" w:rsidRPr="006C1634" w14:paraId="1E18622B" w14:textId="77777777" w:rsidTr="00123786">
        <w:trPr>
          <w:trHeight w:val="200"/>
        </w:trPr>
        <w:tc>
          <w:tcPr>
            <w:tcW w:w="0" w:type="auto"/>
            <w:shd w:val="clear" w:color="auto" w:fill="FFF2CC"/>
          </w:tcPr>
          <w:p w14:paraId="3C8FF387"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AD_1</w:t>
            </w:r>
          </w:p>
        </w:tc>
        <w:tc>
          <w:tcPr>
            <w:tcW w:w="2638" w:type="dxa"/>
            <w:shd w:val="clear" w:color="auto" w:fill="FFF2CC"/>
          </w:tcPr>
          <w:p w14:paraId="797E63E5" w14:textId="77777777" w:rsidR="000004F0" w:rsidRPr="006C1634" w:rsidRDefault="000004F0" w:rsidP="000004F0">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atopic</w:t>
            </w:r>
            <w:proofErr w:type="spellEnd"/>
            <w:r w:rsidRPr="006C1634">
              <w:rPr>
                <w:rFonts w:asciiTheme="majorHAnsi" w:hAnsiTheme="majorHAnsi" w:cstheme="majorHAnsi"/>
                <w:sz w:val="15"/>
                <w:szCs w:val="15"/>
              </w:rPr>
              <w:t xml:space="preserve"> </w:t>
            </w:r>
            <w:proofErr w:type="spellStart"/>
            <w:r w:rsidRPr="006C1634">
              <w:rPr>
                <w:rFonts w:asciiTheme="majorHAnsi" w:hAnsiTheme="majorHAnsi" w:cstheme="majorHAnsi"/>
                <w:sz w:val="15"/>
                <w:szCs w:val="15"/>
              </w:rPr>
              <w:t>dermatitis_very</w:t>
            </w:r>
            <w:proofErr w:type="spellEnd"/>
            <w:r w:rsidRPr="006C1634">
              <w:rPr>
                <w:rFonts w:asciiTheme="majorHAnsi" w:hAnsiTheme="majorHAnsi" w:cstheme="majorHAnsi"/>
                <w:sz w:val="15"/>
                <w:szCs w:val="15"/>
              </w:rPr>
              <w:t xml:space="preserve"> </w:t>
            </w:r>
            <w:proofErr w:type="spellStart"/>
            <w:r w:rsidRPr="006C1634">
              <w:rPr>
                <w:rFonts w:asciiTheme="majorHAnsi" w:hAnsiTheme="majorHAnsi" w:cstheme="majorHAnsi"/>
                <w:sz w:val="15"/>
                <w:szCs w:val="15"/>
              </w:rPr>
              <w:t>severe</w:t>
            </w:r>
            <w:proofErr w:type="spellEnd"/>
          </w:p>
        </w:tc>
        <w:tc>
          <w:tcPr>
            <w:tcW w:w="294" w:type="dxa"/>
            <w:shd w:val="clear" w:color="auto" w:fill="FFF2CC"/>
          </w:tcPr>
          <w:p w14:paraId="00CB50F1" w14:textId="77777777" w:rsidR="000004F0" w:rsidRPr="006C1634" w:rsidRDefault="000004F0" w:rsidP="000004F0">
            <w:pPr>
              <w:spacing w:line="240" w:lineRule="auto"/>
              <w:rPr>
                <w:rFonts w:asciiTheme="majorHAnsi" w:hAnsiTheme="majorHAnsi" w:cstheme="majorHAnsi"/>
                <w:sz w:val="15"/>
                <w:szCs w:val="15"/>
              </w:rPr>
            </w:pPr>
          </w:p>
        </w:tc>
        <w:tc>
          <w:tcPr>
            <w:tcW w:w="343" w:type="dxa"/>
            <w:shd w:val="clear" w:color="auto" w:fill="FFF2CC"/>
          </w:tcPr>
          <w:p w14:paraId="12ECCDB3"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54</w:t>
            </w:r>
          </w:p>
        </w:tc>
        <w:tc>
          <w:tcPr>
            <w:tcW w:w="806" w:type="dxa"/>
            <w:shd w:val="clear" w:color="auto" w:fill="FFF2CC"/>
          </w:tcPr>
          <w:p w14:paraId="219BFC96"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FFF2CC"/>
          </w:tcPr>
          <w:p w14:paraId="7835BA14" w14:textId="6186C4C9" w:rsidR="000004F0" w:rsidRPr="006C1634" w:rsidRDefault="000004F0" w:rsidP="000004F0">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topical</w:t>
            </w:r>
            <w:proofErr w:type="spellEnd"/>
            <w:r w:rsidRPr="006C1634">
              <w:rPr>
                <w:rFonts w:asciiTheme="majorHAnsi" w:hAnsiTheme="majorHAnsi" w:cstheme="majorHAnsi"/>
                <w:sz w:val="15"/>
                <w:szCs w:val="15"/>
              </w:rPr>
              <w:t xml:space="preserve"> </w:t>
            </w:r>
            <w:proofErr w:type="spellStart"/>
            <w:r>
              <w:rPr>
                <w:rFonts w:asciiTheme="majorHAnsi" w:hAnsiTheme="majorHAnsi" w:cstheme="majorHAnsi"/>
                <w:sz w:val="15"/>
                <w:szCs w:val="15"/>
              </w:rPr>
              <w:t>mometasone</w:t>
            </w:r>
            <w:proofErr w:type="spellEnd"/>
          </w:p>
        </w:tc>
        <w:tc>
          <w:tcPr>
            <w:tcW w:w="0" w:type="auto"/>
            <w:shd w:val="clear" w:color="auto" w:fill="FFF2CC"/>
          </w:tcPr>
          <w:p w14:paraId="40308092"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50,6</w:t>
            </w:r>
          </w:p>
        </w:tc>
        <w:tc>
          <w:tcPr>
            <w:tcW w:w="0" w:type="auto"/>
            <w:shd w:val="clear" w:color="auto" w:fill="FFF2CC"/>
          </w:tcPr>
          <w:p w14:paraId="1FC14778"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FFF2CC"/>
          </w:tcPr>
          <w:p w14:paraId="54DF85AF" w14:textId="77777777" w:rsidR="000004F0" w:rsidRPr="006C1634" w:rsidRDefault="000004F0" w:rsidP="000004F0">
            <w:pPr>
              <w:spacing w:line="240" w:lineRule="auto"/>
              <w:rPr>
                <w:rFonts w:asciiTheme="majorHAnsi" w:hAnsiTheme="majorHAnsi" w:cstheme="majorHAnsi"/>
                <w:sz w:val="15"/>
                <w:szCs w:val="15"/>
              </w:rPr>
            </w:pPr>
          </w:p>
        </w:tc>
      </w:tr>
      <w:tr w:rsidR="000004F0" w:rsidRPr="006C1634" w14:paraId="28E0AA21" w14:textId="77777777" w:rsidTr="00123786">
        <w:trPr>
          <w:trHeight w:val="200"/>
        </w:trPr>
        <w:tc>
          <w:tcPr>
            <w:tcW w:w="0" w:type="auto"/>
            <w:shd w:val="clear" w:color="auto" w:fill="FFF2CC"/>
          </w:tcPr>
          <w:p w14:paraId="287ACC10"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AD_2</w:t>
            </w:r>
          </w:p>
        </w:tc>
        <w:tc>
          <w:tcPr>
            <w:tcW w:w="2638" w:type="dxa"/>
            <w:shd w:val="clear" w:color="auto" w:fill="FFF2CC"/>
          </w:tcPr>
          <w:p w14:paraId="09F33D62" w14:textId="77777777" w:rsidR="000004F0" w:rsidRPr="006C1634" w:rsidRDefault="000004F0" w:rsidP="000004F0">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atopic</w:t>
            </w:r>
            <w:proofErr w:type="spellEnd"/>
            <w:r w:rsidRPr="006C1634">
              <w:rPr>
                <w:rFonts w:asciiTheme="majorHAnsi" w:hAnsiTheme="majorHAnsi" w:cstheme="majorHAnsi"/>
                <w:sz w:val="15"/>
                <w:szCs w:val="15"/>
              </w:rPr>
              <w:t xml:space="preserve"> </w:t>
            </w:r>
            <w:proofErr w:type="spellStart"/>
            <w:r w:rsidRPr="006C1634">
              <w:rPr>
                <w:rFonts w:asciiTheme="majorHAnsi" w:hAnsiTheme="majorHAnsi" w:cstheme="majorHAnsi"/>
                <w:sz w:val="15"/>
                <w:szCs w:val="15"/>
              </w:rPr>
              <w:t>dermatitis_severe</w:t>
            </w:r>
            <w:proofErr w:type="spellEnd"/>
          </w:p>
        </w:tc>
        <w:tc>
          <w:tcPr>
            <w:tcW w:w="294" w:type="dxa"/>
            <w:shd w:val="clear" w:color="auto" w:fill="FFF2CC"/>
          </w:tcPr>
          <w:p w14:paraId="53869B96" w14:textId="77777777" w:rsidR="000004F0" w:rsidRPr="006C1634" w:rsidRDefault="000004F0" w:rsidP="000004F0">
            <w:pPr>
              <w:spacing w:line="240" w:lineRule="auto"/>
              <w:rPr>
                <w:rFonts w:asciiTheme="majorHAnsi" w:hAnsiTheme="majorHAnsi" w:cstheme="majorHAnsi"/>
                <w:sz w:val="15"/>
                <w:szCs w:val="15"/>
              </w:rPr>
            </w:pPr>
          </w:p>
        </w:tc>
        <w:tc>
          <w:tcPr>
            <w:tcW w:w="343" w:type="dxa"/>
            <w:shd w:val="clear" w:color="auto" w:fill="FFF2CC"/>
          </w:tcPr>
          <w:p w14:paraId="6E0BB22A"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43</w:t>
            </w:r>
          </w:p>
        </w:tc>
        <w:tc>
          <w:tcPr>
            <w:tcW w:w="806" w:type="dxa"/>
            <w:shd w:val="clear" w:color="auto" w:fill="FFF2CC"/>
          </w:tcPr>
          <w:p w14:paraId="51BEEBF2"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FFF2CC"/>
          </w:tcPr>
          <w:p w14:paraId="246E71F7" w14:textId="0DF790A6" w:rsidR="000004F0" w:rsidRPr="006C1634" w:rsidRDefault="000004F0" w:rsidP="000004F0">
            <w:pPr>
              <w:spacing w:line="240" w:lineRule="auto"/>
              <w:rPr>
                <w:rFonts w:asciiTheme="majorHAnsi" w:hAnsiTheme="majorHAnsi" w:cstheme="majorHAnsi"/>
                <w:sz w:val="15"/>
                <w:szCs w:val="15"/>
              </w:rPr>
            </w:pPr>
            <w:proofErr w:type="spellStart"/>
            <w:r>
              <w:rPr>
                <w:rFonts w:ascii="Calibri" w:eastAsia="Times New Roman" w:hAnsi="Calibri" w:cs="Calibri"/>
                <w:color w:val="000000"/>
                <w:sz w:val="15"/>
                <w:szCs w:val="15"/>
                <w:lang w:val="de-DE" w:eastAsia="de-DE"/>
              </w:rPr>
              <w:t>topical</w:t>
            </w:r>
            <w:proofErr w:type="spellEnd"/>
            <w:r>
              <w:rPr>
                <w:rFonts w:ascii="Calibri" w:eastAsia="Times New Roman" w:hAnsi="Calibri" w:cs="Calibri"/>
                <w:color w:val="000000"/>
                <w:sz w:val="15"/>
                <w:szCs w:val="15"/>
                <w:lang w:val="de-DE" w:eastAsia="de-DE"/>
              </w:rPr>
              <w:t xml:space="preserve"> </w:t>
            </w:r>
            <w:proofErr w:type="spellStart"/>
            <w:r w:rsidRPr="000004F0">
              <w:rPr>
                <w:rFonts w:ascii="Calibri" w:eastAsia="Times New Roman" w:hAnsi="Calibri" w:cs="Calibri"/>
                <w:color w:val="000000"/>
                <w:sz w:val="15"/>
                <w:szCs w:val="15"/>
                <w:lang w:val="de-DE" w:eastAsia="de-DE"/>
              </w:rPr>
              <w:t>clobetasol</w:t>
            </w:r>
            <w:proofErr w:type="spellEnd"/>
          </w:p>
        </w:tc>
        <w:tc>
          <w:tcPr>
            <w:tcW w:w="0" w:type="auto"/>
            <w:shd w:val="clear" w:color="auto" w:fill="FFF2CC"/>
          </w:tcPr>
          <w:p w14:paraId="3C16DC69"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65,7</w:t>
            </w:r>
          </w:p>
        </w:tc>
        <w:tc>
          <w:tcPr>
            <w:tcW w:w="0" w:type="auto"/>
            <w:shd w:val="clear" w:color="auto" w:fill="FFF2CC"/>
          </w:tcPr>
          <w:p w14:paraId="54126D27"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FFF2CC"/>
          </w:tcPr>
          <w:p w14:paraId="61F2562B" w14:textId="77777777" w:rsidR="000004F0" w:rsidRPr="006C1634" w:rsidRDefault="000004F0" w:rsidP="000004F0">
            <w:pPr>
              <w:spacing w:line="240" w:lineRule="auto"/>
              <w:rPr>
                <w:rFonts w:asciiTheme="majorHAnsi" w:hAnsiTheme="majorHAnsi" w:cstheme="majorHAnsi"/>
                <w:sz w:val="15"/>
                <w:szCs w:val="15"/>
              </w:rPr>
            </w:pPr>
          </w:p>
        </w:tc>
      </w:tr>
      <w:tr w:rsidR="000004F0" w:rsidRPr="006C1634" w14:paraId="5686A9F8" w14:textId="77777777" w:rsidTr="00123786">
        <w:trPr>
          <w:trHeight w:val="200"/>
        </w:trPr>
        <w:tc>
          <w:tcPr>
            <w:tcW w:w="0" w:type="auto"/>
            <w:shd w:val="clear" w:color="auto" w:fill="FFF2CC"/>
          </w:tcPr>
          <w:p w14:paraId="4DEB8D27"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AD_3</w:t>
            </w:r>
          </w:p>
        </w:tc>
        <w:tc>
          <w:tcPr>
            <w:tcW w:w="2638" w:type="dxa"/>
            <w:shd w:val="clear" w:color="auto" w:fill="FFF2CC"/>
          </w:tcPr>
          <w:p w14:paraId="6092F0DA" w14:textId="77777777" w:rsidR="000004F0" w:rsidRPr="006C1634" w:rsidRDefault="000004F0" w:rsidP="000004F0">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atopic</w:t>
            </w:r>
            <w:proofErr w:type="spellEnd"/>
            <w:r w:rsidRPr="006C1634">
              <w:rPr>
                <w:rFonts w:asciiTheme="majorHAnsi" w:hAnsiTheme="majorHAnsi" w:cstheme="majorHAnsi"/>
                <w:sz w:val="15"/>
                <w:szCs w:val="15"/>
              </w:rPr>
              <w:t xml:space="preserve"> </w:t>
            </w:r>
            <w:proofErr w:type="spellStart"/>
            <w:r w:rsidRPr="006C1634">
              <w:rPr>
                <w:rFonts w:asciiTheme="majorHAnsi" w:hAnsiTheme="majorHAnsi" w:cstheme="majorHAnsi"/>
                <w:sz w:val="15"/>
                <w:szCs w:val="15"/>
              </w:rPr>
              <w:t>dermatitis_severe</w:t>
            </w:r>
            <w:proofErr w:type="spellEnd"/>
          </w:p>
        </w:tc>
        <w:tc>
          <w:tcPr>
            <w:tcW w:w="294" w:type="dxa"/>
            <w:shd w:val="clear" w:color="auto" w:fill="FFF2CC"/>
          </w:tcPr>
          <w:p w14:paraId="002EB351" w14:textId="77777777" w:rsidR="000004F0" w:rsidRPr="006C1634" w:rsidRDefault="000004F0" w:rsidP="000004F0">
            <w:pPr>
              <w:spacing w:line="240" w:lineRule="auto"/>
              <w:rPr>
                <w:rFonts w:asciiTheme="majorHAnsi" w:hAnsiTheme="majorHAnsi" w:cstheme="majorHAnsi"/>
                <w:sz w:val="15"/>
                <w:szCs w:val="15"/>
              </w:rPr>
            </w:pPr>
          </w:p>
        </w:tc>
        <w:tc>
          <w:tcPr>
            <w:tcW w:w="343" w:type="dxa"/>
            <w:shd w:val="clear" w:color="auto" w:fill="FFF2CC"/>
          </w:tcPr>
          <w:p w14:paraId="1AA1CEEB"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23,9</w:t>
            </w:r>
          </w:p>
        </w:tc>
        <w:tc>
          <w:tcPr>
            <w:tcW w:w="806" w:type="dxa"/>
            <w:shd w:val="clear" w:color="auto" w:fill="FFF2CC"/>
          </w:tcPr>
          <w:p w14:paraId="4C8BD275"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FFF2CC"/>
          </w:tcPr>
          <w:p w14:paraId="2B15A67B"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NO (Moisturizer)</w:t>
            </w:r>
          </w:p>
        </w:tc>
        <w:tc>
          <w:tcPr>
            <w:tcW w:w="0" w:type="auto"/>
            <w:shd w:val="clear" w:color="auto" w:fill="FFF2CC"/>
          </w:tcPr>
          <w:p w14:paraId="78A08FC7"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56,9</w:t>
            </w:r>
          </w:p>
        </w:tc>
        <w:tc>
          <w:tcPr>
            <w:tcW w:w="0" w:type="auto"/>
            <w:shd w:val="clear" w:color="auto" w:fill="FFF2CC"/>
          </w:tcPr>
          <w:p w14:paraId="42B8AFFE"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f</w:t>
            </w:r>
          </w:p>
        </w:tc>
        <w:tc>
          <w:tcPr>
            <w:tcW w:w="0" w:type="auto"/>
            <w:shd w:val="clear" w:color="auto" w:fill="FFF2CC"/>
          </w:tcPr>
          <w:p w14:paraId="42446FED" w14:textId="77777777" w:rsidR="000004F0" w:rsidRPr="006C1634" w:rsidRDefault="000004F0" w:rsidP="000004F0">
            <w:pPr>
              <w:spacing w:line="240" w:lineRule="auto"/>
              <w:rPr>
                <w:rFonts w:asciiTheme="majorHAnsi" w:hAnsiTheme="majorHAnsi" w:cstheme="majorHAnsi"/>
                <w:sz w:val="15"/>
                <w:szCs w:val="15"/>
              </w:rPr>
            </w:pPr>
          </w:p>
        </w:tc>
      </w:tr>
      <w:tr w:rsidR="000004F0" w:rsidRPr="006C1634" w14:paraId="14AE57B5" w14:textId="77777777" w:rsidTr="00123786">
        <w:trPr>
          <w:trHeight w:val="200"/>
        </w:trPr>
        <w:tc>
          <w:tcPr>
            <w:tcW w:w="0" w:type="auto"/>
            <w:shd w:val="clear" w:color="auto" w:fill="FFF2CC"/>
          </w:tcPr>
          <w:p w14:paraId="073364E4"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AD_4</w:t>
            </w:r>
          </w:p>
        </w:tc>
        <w:tc>
          <w:tcPr>
            <w:tcW w:w="2638" w:type="dxa"/>
            <w:shd w:val="clear" w:color="auto" w:fill="FFF2CC"/>
          </w:tcPr>
          <w:p w14:paraId="59B2317A" w14:textId="77777777" w:rsidR="000004F0" w:rsidRPr="006C1634" w:rsidRDefault="000004F0" w:rsidP="000004F0">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atopic</w:t>
            </w:r>
            <w:proofErr w:type="spellEnd"/>
            <w:r w:rsidRPr="006C1634">
              <w:rPr>
                <w:rFonts w:asciiTheme="majorHAnsi" w:hAnsiTheme="majorHAnsi" w:cstheme="majorHAnsi"/>
                <w:sz w:val="15"/>
                <w:szCs w:val="15"/>
              </w:rPr>
              <w:t xml:space="preserve"> </w:t>
            </w:r>
            <w:proofErr w:type="spellStart"/>
            <w:r w:rsidRPr="006C1634">
              <w:rPr>
                <w:rFonts w:asciiTheme="majorHAnsi" w:hAnsiTheme="majorHAnsi" w:cstheme="majorHAnsi"/>
                <w:sz w:val="15"/>
                <w:szCs w:val="15"/>
              </w:rPr>
              <w:t>dermatitis_moderate</w:t>
            </w:r>
            <w:proofErr w:type="spellEnd"/>
          </w:p>
        </w:tc>
        <w:tc>
          <w:tcPr>
            <w:tcW w:w="294" w:type="dxa"/>
            <w:shd w:val="clear" w:color="auto" w:fill="FFF2CC"/>
          </w:tcPr>
          <w:p w14:paraId="24210D6F" w14:textId="77777777" w:rsidR="000004F0" w:rsidRPr="006C1634" w:rsidRDefault="000004F0" w:rsidP="000004F0">
            <w:pPr>
              <w:spacing w:line="240" w:lineRule="auto"/>
              <w:rPr>
                <w:rFonts w:asciiTheme="majorHAnsi" w:hAnsiTheme="majorHAnsi" w:cstheme="majorHAnsi"/>
                <w:sz w:val="15"/>
                <w:szCs w:val="15"/>
              </w:rPr>
            </w:pPr>
          </w:p>
        </w:tc>
        <w:tc>
          <w:tcPr>
            <w:tcW w:w="343" w:type="dxa"/>
            <w:shd w:val="clear" w:color="auto" w:fill="FFF2CC"/>
          </w:tcPr>
          <w:p w14:paraId="230D1552"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16,4</w:t>
            </w:r>
          </w:p>
        </w:tc>
        <w:tc>
          <w:tcPr>
            <w:tcW w:w="806" w:type="dxa"/>
            <w:shd w:val="clear" w:color="auto" w:fill="FFF2CC"/>
          </w:tcPr>
          <w:p w14:paraId="47F7B4E5"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FFF2CC"/>
          </w:tcPr>
          <w:p w14:paraId="04E38153"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NO (Moisturizer)</w:t>
            </w:r>
          </w:p>
        </w:tc>
        <w:tc>
          <w:tcPr>
            <w:tcW w:w="0" w:type="auto"/>
            <w:shd w:val="clear" w:color="auto" w:fill="FFF2CC"/>
          </w:tcPr>
          <w:p w14:paraId="26E4EF3F"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32,8</w:t>
            </w:r>
          </w:p>
        </w:tc>
        <w:tc>
          <w:tcPr>
            <w:tcW w:w="0" w:type="auto"/>
            <w:shd w:val="clear" w:color="auto" w:fill="FFF2CC"/>
          </w:tcPr>
          <w:p w14:paraId="37BB102A"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f</w:t>
            </w:r>
          </w:p>
        </w:tc>
        <w:tc>
          <w:tcPr>
            <w:tcW w:w="0" w:type="auto"/>
            <w:shd w:val="clear" w:color="auto" w:fill="FFF2CC"/>
          </w:tcPr>
          <w:p w14:paraId="1E67F1A7" w14:textId="77777777" w:rsidR="000004F0" w:rsidRPr="006C1634" w:rsidRDefault="000004F0" w:rsidP="000004F0">
            <w:pPr>
              <w:spacing w:line="240" w:lineRule="auto"/>
              <w:rPr>
                <w:rFonts w:asciiTheme="majorHAnsi" w:hAnsiTheme="majorHAnsi" w:cstheme="majorHAnsi"/>
                <w:sz w:val="15"/>
                <w:szCs w:val="15"/>
              </w:rPr>
            </w:pPr>
          </w:p>
        </w:tc>
      </w:tr>
      <w:tr w:rsidR="000004F0" w:rsidRPr="006C1634" w14:paraId="6411C837" w14:textId="77777777" w:rsidTr="00123786">
        <w:trPr>
          <w:trHeight w:val="199"/>
        </w:trPr>
        <w:tc>
          <w:tcPr>
            <w:tcW w:w="0" w:type="auto"/>
            <w:shd w:val="clear" w:color="auto" w:fill="FFF2CC"/>
          </w:tcPr>
          <w:p w14:paraId="7F676B87"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AD_5</w:t>
            </w:r>
          </w:p>
        </w:tc>
        <w:tc>
          <w:tcPr>
            <w:tcW w:w="2638" w:type="dxa"/>
            <w:shd w:val="clear" w:color="auto" w:fill="FFF2CC"/>
          </w:tcPr>
          <w:p w14:paraId="3D9523C3" w14:textId="77777777" w:rsidR="000004F0" w:rsidRPr="006C1634" w:rsidRDefault="000004F0" w:rsidP="000004F0">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atopic</w:t>
            </w:r>
            <w:proofErr w:type="spellEnd"/>
            <w:r w:rsidRPr="006C1634">
              <w:rPr>
                <w:rFonts w:asciiTheme="majorHAnsi" w:hAnsiTheme="majorHAnsi" w:cstheme="majorHAnsi"/>
                <w:sz w:val="15"/>
                <w:szCs w:val="15"/>
              </w:rPr>
              <w:t xml:space="preserve"> </w:t>
            </w:r>
            <w:proofErr w:type="spellStart"/>
            <w:r w:rsidRPr="006C1634">
              <w:rPr>
                <w:rFonts w:asciiTheme="majorHAnsi" w:hAnsiTheme="majorHAnsi" w:cstheme="majorHAnsi"/>
                <w:sz w:val="15"/>
                <w:szCs w:val="15"/>
              </w:rPr>
              <w:t>dermatitis_moderate</w:t>
            </w:r>
            <w:proofErr w:type="spellEnd"/>
          </w:p>
        </w:tc>
        <w:tc>
          <w:tcPr>
            <w:tcW w:w="294" w:type="dxa"/>
            <w:shd w:val="clear" w:color="auto" w:fill="FFF2CC"/>
          </w:tcPr>
          <w:p w14:paraId="1D89C449" w14:textId="77777777" w:rsidR="000004F0" w:rsidRPr="006C1634" w:rsidRDefault="000004F0" w:rsidP="000004F0">
            <w:pPr>
              <w:spacing w:line="240" w:lineRule="auto"/>
              <w:rPr>
                <w:rFonts w:asciiTheme="majorHAnsi" w:hAnsiTheme="majorHAnsi" w:cstheme="majorHAnsi"/>
                <w:sz w:val="15"/>
                <w:szCs w:val="15"/>
              </w:rPr>
            </w:pPr>
          </w:p>
        </w:tc>
        <w:tc>
          <w:tcPr>
            <w:tcW w:w="343" w:type="dxa"/>
            <w:shd w:val="clear" w:color="auto" w:fill="FFF2CC"/>
          </w:tcPr>
          <w:p w14:paraId="493BF332"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11,6</w:t>
            </w:r>
          </w:p>
        </w:tc>
        <w:tc>
          <w:tcPr>
            <w:tcW w:w="806" w:type="dxa"/>
            <w:shd w:val="clear" w:color="auto" w:fill="FFF2CC"/>
          </w:tcPr>
          <w:p w14:paraId="1BED945E"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FFF2CC"/>
          </w:tcPr>
          <w:p w14:paraId="04618D67" w14:textId="288540F1" w:rsidR="000004F0" w:rsidRPr="006C1634" w:rsidRDefault="000004F0" w:rsidP="000004F0">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topical</w:t>
            </w:r>
            <w:proofErr w:type="spellEnd"/>
            <w:r w:rsidRPr="006C1634">
              <w:rPr>
                <w:rFonts w:asciiTheme="majorHAnsi" w:hAnsiTheme="majorHAnsi" w:cstheme="majorHAnsi"/>
                <w:sz w:val="15"/>
                <w:szCs w:val="15"/>
              </w:rPr>
              <w:t xml:space="preserve"> </w:t>
            </w:r>
            <w:proofErr w:type="spellStart"/>
            <w:r>
              <w:rPr>
                <w:rFonts w:asciiTheme="majorHAnsi" w:hAnsiTheme="majorHAnsi" w:cstheme="majorHAnsi"/>
                <w:sz w:val="15"/>
                <w:szCs w:val="15"/>
              </w:rPr>
              <w:t>mometasone</w:t>
            </w:r>
            <w:proofErr w:type="spellEnd"/>
          </w:p>
        </w:tc>
        <w:tc>
          <w:tcPr>
            <w:tcW w:w="0" w:type="auto"/>
            <w:shd w:val="clear" w:color="auto" w:fill="FFF2CC"/>
          </w:tcPr>
          <w:p w14:paraId="2D7A6530"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50,0</w:t>
            </w:r>
          </w:p>
        </w:tc>
        <w:tc>
          <w:tcPr>
            <w:tcW w:w="0" w:type="auto"/>
            <w:shd w:val="clear" w:color="auto" w:fill="FFF2CC"/>
          </w:tcPr>
          <w:p w14:paraId="4B88A1D4"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FFF2CC"/>
          </w:tcPr>
          <w:p w14:paraId="53B50F1E" w14:textId="77777777" w:rsidR="000004F0" w:rsidRPr="006C1634" w:rsidRDefault="000004F0" w:rsidP="000004F0">
            <w:pPr>
              <w:spacing w:line="240" w:lineRule="auto"/>
              <w:rPr>
                <w:rFonts w:asciiTheme="majorHAnsi" w:hAnsiTheme="majorHAnsi" w:cstheme="majorHAnsi"/>
                <w:sz w:val="15"/>
                <w:szCs w:val="15"/>
              </w:rPr>
            </w:pPr>
          </w:p>
        </w:tc>
      </w:tr>
      <w:tr w:rsidR="000004F0" w:rsidRPr="006C1634" w14:paraId="28368B18" w14:textId="77777777" w:rsidTr="00123786">
        <w:trPr>
          <w:trHeight w:val="200"/>
        </w:trPr>
        <w:tc>
          <w:tcPr>
            <w:tcW w:w="0" w:type="auto"/>
            <w:shd w:val="clear" w:color="auto" w:fill="FFF2CC"/>
          </w:tcPr>
          <w:p w14:paraId="193AC96A"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AD_6</w:t>
            </w:r>
          </w:p>
        </w:tc>
        <w:tc>
          <w:tcPr>
            <w:tcW w:w="2638" w:type="dxa"/>
            <w:shd w:val="clear" w:color="auto" w:fill="FFF2CC"/>
          </w:tcPr>
          <w:p w14:paraId="7F4D9C67" w14:textId="77777777" w:rsidR="000004F0" w:rsidRPr="006C1634" w:rsidRDefault="000004F0" w:rsidP="000004F0">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atopic</w:t>
            </w:r>
            <w:proofErr w:type="spellEnd"/>
            <w:r w:rsidRPr="006C1634">
              <w:rPr>
                <w:rFonts w:asciiTheme="majorHAnsi" w:hAnsiTheme="majorHAnsi" w:cstheme="majorHAnsi"/>
                <w:sz w:val="15"/>
                <w:szCs w:val="15"/>
              </w:rPr>
              <w:t xml:space="preserve"> </w:t>
            </w:r>
            <w:proofErr w:type="spellStart"/>
            <w:r w:rsidRPr="006C1634">
              <w:rPr>
                <w:rFonts w:asciiTheme="majorHAnsi" w:hAnsiTheme="majorHAnsi" w:cstheme="majorHAnsi"/>
                <w:sz w:val="15"/>
                <w:szCs w:val="15"/>
              </w:rPr>
              <w:t>dermatitis_moderate</w:t>
            </w:r>
            <w:proofErr w:type="spellEnd"/>
          </w:p>
        </w:tc>
        <w:tc>
          <w:tcPr>
            <w:tcW w:w="294" w:type="dxa"/>
            <w:shd w:val="clear" w:color="auto" w:fill="FFF2CC"/>
          </w:tcPr>
          <w:p w14:paraId="5F7624C3" w14:textId="77777777" w:rsidR="000004F0" w:rsidRPr="006C1634" w:rsidRDefault="000004F0" w:rsidP="000004F0">
            <w:pPr>
              <w:spacing w:line="240" w:lineRule="auto"/>
              <w:rPr>
                <w:rFonts w:asciiTheme="majorHAnsi" w:hAnsiTheme="majorHAnsi" w:cstheme="majorHAnsi"/>
                <w:sz w:val="15"/>
                <w:szCs w:val="15"/>
              </w:rPr>
            </w:pPr>
          </w:p>
        </w:tc>
        <w:tc>
          <w:tcPr>
            <w:tcW w:w="343" w:type="dxa"/>
            <w:shd w:val="clear" w:color="auto" w:fill="FFF2CC"/>
          </w:tcPr>
          <w:p w14:paraId="526D24BB"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8,7</w:t>
            </w:r>
          </w:p>
        </w:tc>
        <w:tc>
          <w:tcPr>
            <w:tcW w:w="806" w:type="dxa"/>
            <w:shd w:val="clear" w:color="auto" w:fill="FFF2CC"/>
          </w:tcPr>
          <w:p w14:paraId="4026F63F"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FFF2CC"/>
          </w:tcPr>
          <w:p w14:paraId="31C1A056" w14:textId="2C614333" w:rsidR="000004F0" w:rsidRPr="006C1634" w:rsidRDefault="000004F0" w:rsidP="000004F0">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topical</w:t>
            </w:r>
            <w:proofErr w:type="spellEnd"/>
            <w:r w:rsidRPr="006C1634">
              <w:rPr>
                <w:rFonts w:asciiTheme="majorHAnsi" w:hAnsiTheme="majorHAnsi" w:cstheme="majorHAnsi"/>
                <w:sz w:val="15"/>
                <w:szCs w:val="15"/>
              </w:rPr>
              <w:t xml:space="preserve"> </w:t>
            </w:r>
            <w:proofErr w:type="spellStart"/>
            <w:r>
              <w:rPr>
                <w:rFonts w:asciiTheme="majorHAnsi" w:hAnsiTheme="majorHAnsi" w:cstheme="majorHAnsi"/>
                <w:sz w:val="15"/>
                <w:szCs w:val="15"/>
              </w:rPr>
              <w:t>mometasone</w:t>
            </w:r>
            <w:proofErr w:type="spellEnd"/>
          </w:p>
        </w:tc>
        <w:tc>
          <w:tcPr>
            <w:tcW w:w="0" w:type="auto"/>
            <w:shd w:val="clear" w:color="auto" w:fill="FFF2CC"/>
          </w:tcPr>
          <w:p w14:paraId="6C30C7B9"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37,7</w:t>
            </w:r>
          </w:p>
        </w:tc>
        <w:tc>
          <w:tcPr>
            <w:tcW w:w="0" w:type="auto"/>
            <w:shd w:val="clear" w:color="auto" w:fill="FFF2CC"/>
          </w:tcPr>
          <w:p w14:paraId="266B0529"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f</w:t>
            </w:r>
          </w:p>
        </w:tc>
        <w:tc>
          <w:tcPr>
            <w:tcW w:w="0" w:type="auto"/>
            <w:shd w:val="clear" w:color="auto" w:fill="FFF2CC"/>
          </w:tcPr>
          <w:p w14:paraId="72B1C098" w14:textId="77777777" w:rsidR="000004F0" w:rsidRPr="006C1634" w:rsidRDefault="000004F0" w:rsidP="000004F0">
            <w:pPr>
              <w:spacing w:line="240" w:lineRule="auto"/>
              <w:rPr>
                <w:rFonts w:asciiTheme="majorHAnsi" w:hAnsiTheme="majorHAnsi" w:cstheme="majorHAnsi"/>
                <w:sz w:val="15"/>
                <w:szCs w:val="15"/>
              </w:rPr>
            </w:pPr>
          </w:p>
        </w:tc>
      </w:tr>
      <w:tr w:rsidR="000004F0" w:rsidRPr="006C1634" w14:paraId="38E173CB" w14:textId="77777777" w:rsidTr="00123786">
        <w:trPr>
          <w:trHeight w:val="200"/>
        </w:trPr>
        <w:tc>
          <w:tcPr>
            <w:tcW w:w="0" w:type="auto"/>
            <w:shd w:val="clear" w:color="auto" w:fill="FFF2CC"/>
          </w:tcPr>
          <w:p w14:paraId="4F82E592"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AD_7</w:t>
            </w:r>
          </w:p>
        </w:tc>
        <w:tc>
          <w:tcPr>
            <w:tcW w:w="2638" w:type="dxa"/>
            <w:shd w:val="clear" w:color="auto" w:fill="FFF2CC"/>
          </w:tcPr>
          <w:p w14:paraId="6BADE150" w14:textId="77777777" w:rsidR="000004F0" w:rsidRPr="006C1634" w:rsidRDefault="000004F0" w:rsidP="000004F0">
            <w:pPr>
              <w:spacing w:line="240" w:lineRule="auto"/>
              <w:rPr>
                <w:rFonts w:asciiTheme="majorHAnsi" w:hAnsiTheme="majorHAnsi" w:cstheme="majorHAnsi"/>
                <w:sz w:val="15"/>
                <w:szCs w:val="15"/>
              </w:rPr>
            </w:pPr>
            <w:proofErr w:type="spellStart"/>
            <w:r w:rsidRPr="006C1634">
              <w:rPr>
                <w:rFonts w:asciiTheme="majorHAnsi" w:hAnsiTheme="majorHAnsi" w:cstheme="majorHAnsi"/>
                <w:sz w:val="15"/>
                <w:szCs w:val="15"/>
              </w:rPr>
              <w:t>atopic</w:t>
            </w:r>
            <w:proofErr w:type="spellEnd"/>
            <w:r w:rsidRPr="006C1634">
              <w:rPr>
                <w:rFonts w:asciiTheme="majorHAnsi" w:hAnsiTheme="majorHAnsi" w:cstheme="majorHAnsi"/>
                <w:sz w:val="15"/>
                <w:szCs w:val="15"/>
              </w:rPr>
              <w:t xml:space="preserve"> </w:t>
            </w:r>
            <w:proofErr w:type="spellStart"/>
            <w:r w:rsidRPr="006C1634">
              <w:rPr>
                <w:rFonts w:asciiTheme="majorHAnsi" w:hAnsiTheme="majorHAnsi" w:cstheme="majorHAnsi"/>
                <w:sz w:val="15"/>
                <w:szCs w:val="15"/>
              </w:rPr>
              <w:t>dermatitis_mild</w:t>
            </w:r>
            <w:proofErr w:type="spellEnd"/>
          </w:p>
        </w:tc>
        <w:tc>
          <w:tcPr>
            <w:tcW w:w="294" w:type="dxa"/>
            <w:shd w:val="clear" w:color="auto" w:fill="FFF2CC"/>
          </w:tcPr>
          <w:p w14:paraId="08A99AA6" w14:textId="77777777" w:rsidR="000004F0" w:rsidRPr="006C1634" w:rsidRDefault="000004F0" w:rsidP="000004F0">
            <w:pPr>
              <w:spacing w:line="240" w:lineRule="auto"/>
              <w:rPr>
                <w:rFonts w:asciiTheme="majorHAnsi" w:hAnsiTheme="majorHAnsi" w:cstheme="majorHAnsi"/>
                <w:sz w:val="15"/>
                <w:szCs w:val="15"/>
              </w:rPr>
            </w:pPr>
          </w:p>
        </w:tc>
        <w:tc>
          <w:tcPr>
            <w:tcW w:w="343" w:type="dxa"/>
            <w:shd w:val="clear" w:color="auto" w:fill="FFF2CC"/>
          </w:tcPr>
          <w:p w14:paraId="6D9E8B06"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6,7</w:t>
            </w:r>
          </w:p>
        </w:tc>
        <w:tc>
          <w:tcPr>
            <w:tcW w:w="806" w:type="dxa"/>
            <w:shd w:val="clear" w:color="auto" w:fill="FFF2CC"/>
          </w:tcPr>
          <w:p w14:paraId="76485246"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NO</w:t>
            </w:r>
          </w:p>
        </w:tc>
        <w:tc>
          <w:tcPr>
            <w:tcW w:w="0" w:type="auto"/>
            <w:shd w:val="clear" w:color="auto" w:fill="FFF2CC"/>
          </w:tcPr>
          <w:p w14:paraId="4F893340"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NO (Moisturizer)</w:t>
            </w:r>
          </w:p>
        </w:tc>
        <w:tc>
          <w:tcPr>
            <w:tcW w:w="0" w:type="auto"/>
            <w:shd w:val="clear" w:color="auto" w:fill="FFF2CC"/>
          </w:tcPr>
          <w:p w14:paraId="5D8006C6"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29,0</w:t>
            </w:r>
          </w:p>
        </w:tc>
        <w:tc>
          <w:tcPr>
            <w:tcW w:w="0" w:type="auto"/>
            <w:shd w:val="clear" w:color="auto" w:fill="FFF2CC"/>
          </w:tcPr>
          <w:p w14:paraId="1390C2AF"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m</w:t>
            </w:r>
          </w:p>
        </w:tc>
        <w:tc>
          <w:tcPr>
            <w:tcW w:w="0" w:type="auto"/>
            <w:shd w:val="clear" w:color="auto" w:fill="FFF2CC"/>
          </w:tcPr>
          <w:p w14:paraId="33896481" w14:textId="77777777" w:rsidR="000004F0" w:rsidRPr="006C1634" w:rsidRDefault="000004F0" w:rsidP="000004F0">
            <w:pPr>
              <w:spacing w:line="240" w:lineRule="auto"/>
              <w:rPr>
                <w:rFonts w:asciiTheme="majorHAnsi" w:hAnsiTheme="majorHAnsi" w:cstheme="majorHAnsi"/>
                <w:sz w:val="15"/>
                <w:szCs w:val="15"/>
              </w:rPr>
            </w:pPr>
          </w:p>
        </w:tc>
      </w:tr>
      <w:tr w:rsidR="000004F0" w:rsidRPr="00123786" w14:paraId="0E289272" w14:textId="77777777" w:rsidTr="00123786">
        <w:trPr>
          <w:trHeight w:val="199"/>
        </w:trPr>
        <w:tc>
          <w:tcPr>
            <w:tcW w:w="0" w:type="auto"/>
            <w:shd w:val="clear" w:color="auto" w:fill="F2F2F2"/>
          </w:tcPr>
          <w:p w14:paraId="3C23FECD" w14:textId="77777777" w:rsidR="000004F0" w:rsidRPr="006C1634" w:rsidRDefault="000004F0" w:rsidP="000004F0">
            <w:pPr>
              <w:spacing w:line="240" w:lineRule="auto"/>
              <w:rPr>
                <w:rFonts w:asciiTheme="majorHAnsi" w:hAnsiTheme="majorHAnsi" w:cstheme="majorHAnsi"/>
                <w:sz w:val="15"/>
                <w:szCs w:val="15"/>
              </w:rPr>
            </w:pPr>
            <w:r w:rsidRPr="006C1634">
              <w:rPr>
                <w:rFonts w:asciiTheme="majorHAnsi" w:hAnsiTheme="majorHAnsi" w:cstheme="majorHAnsi"/>
                <w:sz w:val="15"/>
                <w:szCs w:val="15"/>
              </w:rPr>
              <w:t>HC_1 - 8</w:t>
            </w:r>
          </w:p>
        </w:tc>
        <w:tc>
          <w:tcPr>
            <w:tcW w:w="2638" w:type="dxa"/>
            <w:shd w:val="clear" w:color="auto" w:fill="F2F2F2"/>
          </w:tcPr>
          <w:p w14:paraId="4BF2BFF6" w14:textId="264DB2CD" w:rsidR="000004F0" w:rsidRPr="00123786" w:rsidRDefault="000004F0" w:rsidP="000004F0">
            <w:pPr>
              <w:spacing w:line="240" w:lineRule="auto"/>
              <w:rPr>
                <w:rFonts w:asciiTheme="majorHAnsi" w:hAnsiTheme="majorHAnsi" w:cstheme="majorHAnsi"/>
                <w:sz w:val="15"/>
                <w:szCs w:val="15"/>
                <w:lang w:val="en-US"/>
              </w:rPr>
            </w:pPr>
            <w:r w:rsidRPr="00123786">
              <w:rPr>
                <w:rFonts w:asciiTheme="majorHAnsi" w:hAnsiTheme="majorHAnsi" w:cstheme="majorHAnsi"/>
                <w:sz w:val="15"/>
                <w:szCs w:val="15"/>
                <w:lang w:val="en-US"/>
              </w:rPr>
              <w:t>healthy, normal skin (anonymized)</w:t>
            </w:r>
          </w:p>
        </w:tc>
        <w:tc>
          <w:tcPr>
            <w:tcW w:w="294" w:type="dxa"/>
            <w:shd w:val="clear" w:color="auto" w:fill="F2F2F2"/>
          </w:tcPr>
          <w:p w14:paraId="3ABB10C4" w14:textId="77777777" w:rsidR="000004F0" w:rsidRPr="00123786" w:rsidRDefault="000004F0" w:rsidP="000004F0">
            <w:pPr>
              <w:spacing w:line="240" w:lineRule="auto"/>
              <w:rPr>
                <w:rFonts w:asciiTheme="majorHAnsi" w:hAnsiTheme="majorHAnsi" w:cstheme="majorHAnsi"/>
                <w:sz w:val="15"/>
                <w:szCs w:val="15"/>
                <w:lang w:val="en-US"/>
              </w:rPr>
            </w:pPr>
          </w:p>
        </w:tc>
        <w:tc>
          <w:tcPr>
            <w:tcW w:w="343" w:type="dxa"/>
            <w:shd w:val="clear" w:color="auto" w:fill="F2F2F2"/>
          </w:tcPr>
          <w:p w14:paraId="357F0539" w14:textId="77777777" w:rsidR="000004F0" w:rsidRPr="00123786" w:rsidRDefault="000004F0" w:rsidP="000004F0">
            <w:pPr>
              <w:spacing w:line="240" w:lineRule="auto"/>
              <w:rPr>
                <w:rFonts w:asciiTheme="majorHAnsi" w:hAnsiTheme="majorHAnsi" w:cstheme="majorHAnsi"/>
                <w:sz w:val="15"/>
                <w:szCs w:val="15"/>
                <w:lang w:val="en-US"/>
              </w:rPr>
            </w:pPr>
          </w:p>
        </w:tc>
        <w:tc>
          <w:tcPr>
            <w:tcW w:w="806" w:type="dxa"/>
            <w:shd w:val="clear" w:color="auto" w:fill="F2F2F2"/>
          </w:tcPr>
          <w:p w14:paraId="64F82343" w14:textId="4A6F2E3D" w:rsidR="000004F0" w:rsidRPr="00123786" w:rsidRDefault="000004F0" w:rsidP="000004F0">
            <w:pPr>
              <w:spacing w:line="240" w:lineRule="auto"/>
              <w:rPr>
                <w:rFonts w:asciiTheme="majorHAnsi" w:hAnsiTheme="majorHAnsi" w:cstheme="majorHAnsi"/>
                <w:sz w:val="15"/>
                <w:szCs w:val="15"/>
                <w:lang w:val="en-US"/>
              </w:rPr>
            </w:pPr>
            <w:r>
              <w:rPr>
                <w:rFonts w:asciiTheme="majorHAnsi" w:hAnsiTheme="majorHAnsi" w:cstheme="majorHAnsi"/>
                <w:sz w:val="15"/>
                <w:szCs w:val="15"/>
                <w:lang w:val="en-US"/>
              </w:rPr>
              <w:t>NO</w:t>
            </w:r>
          </w:p>
        </w:tc>
        <w:tc>
          <w:tcPr>
            <w:tcW w:w="0" w:type="auto"/>
            <w:shd w:val="clear" w:color="auto" w:fill="F2F2F2"/>
          </w:tcPr>
          <w:p w14:paraId="1E6DAD17" w14:textId="1657D028" w:rsidR="000004F0" w:rsidRPr="00123786" w:rsidRDefault="000004F0" w:rsidP="000004F0">
            <w:pPr>
              <w:spacing w:line="240" w:lineRule="auto"/>
              <w:rPr>
                <w:rFonts w:asciiTheme="majorHAnsi" w:hAnsiTheme="majorHAnsi" w:cstheme="majorHAnsi"/>
                <w:sz w:val="15"/>
                <w:szCs w:val="15"/>
                <w:lang w:val="en-US"/>
              </w:rPr>
            </w:pPr>
            <w:r>
              <w:rPr>
                <w:rFonts w:asciiTheme="majorHAnsi" w:hAnsiTheme="majorHAnsi" w:cstheme="majorHAnsi"/>
                <w:sz w:val="15"/>
                <w:szCs w:val="15"/>
                <w:lang w:val="en-US"/>
              </w:rPr>
              <w:t>NO</w:t>
            </w:r>
          </w:p>
        </w:tc>
        <w:tc>
          <w:tcPr>
            <w:tcW w:w="0" w:type="auto"/>
            <w:shd w:val="clear" w:color="auto" w:fill="F2F2F2"/>
          </w:tcPr>
          <w:p w14:paraId="70960679" w14:textId="77777777" w:rsidR="000004F0" w:rsidRPr="00123786" w:rsidRDefault="000004F0" w:rsidP="000004F0">
            <w:pPr>
              <w:spacing w:line="240" w:lineRule="auto"/>
              <w:rPr>
                <w:rFonts w:asciiTheme="majorHAnsi" w:hAnsiTheme="majorHAnsi" w:cstheme="majorHAnsi"/>
                <w:sz w:val="15"/>
                <w:szCs w:val="15"/>
                <w:lang w:val="en-US"/>
              </w:rPr>
            </w:pPr>
          </w:p>
        </w:tc>
        <w:tc>
          <w:tcPr>
            <w:tcW w:w="0" w:type="auto"/>
            <w:shd w:val="clear" w:color="auto" w:fill="F2F2F2"/>
          </w:tcPr>
          <w:p w14:paraId="468335DC" w14:textId="77777777" w:rsidR="000004F0" w:rsidRPr="00123786" w:rsidRDefault="000004F0" w:rsidP="000004F0">
            <w:pPr>
              <w:spacing w:line="240" w:lineRule="auto"/>
              <w:rPr>
                <w:rFonts w:asciiTheme="majorHAnsi" w:hAnsiTheme="majorHAnsi" w:cstheme="majorHAnsi"/>
                <w:sz w:val="15"/>
                <w:szCs w:val="15"/>
                <w:lang w:val="en-US"/>
              </w:rPr>
            </w:pPr>
          </w:p>
        </w:tc>
        <w:tc>
          <w:tcPr>
            <w:tcW w:w="0" w:type="auto"/>
            <w:shd w:val="clear" w:color="auto" w:fill="F2F2F2"/>
          </w:tcPr>
          <w:p w14:paraId="32B613F6" w14:textId="77777777" w:rsidR="000004F0" w:rsidRPr="00123786" w:rsidRDefault="000004F0" w:rsidP="000004F0">
            <w:pPr>
              <w:spacing w:line="240" w:lineRule="auto"/>
              <w:rPr>
                <w:rFonts w:asciiTheme="majorHAnsi" w:hAnsiTheme="majorHAnsi" w:cstheme="majorHAnsi"/>
                <w:sz w:val="15"/>
                <w:szCs w:val="15"/>
                <w:lang w:val="en-US"/>
              </w:rPr>
            </w:pPr>
          </w:p>
        </w:tc>
      </w:tr>
    </w:tbl>
    <w:p w14:paraId="2D6316CE" w14:textId="34B457DE" w:rsidR="006F73C3" w:rsidRDefault="00A434EF">
      <w:pPr>
        <w:rPr>
          <w:rFonts w:ascii="Calibri" w:eastAsia="Calibri" w:hAnsi="Calibri" w:cs="Calibri"/>
          <w:lang w:val="en-US"/>
        </w:rPr>
      </w:pPr>
      <w:r w:rsidRPr="00534DA6">
        <w:rPr>
          <w:rFonts w:ascii="Calibri" w:eastAsia="Calibri" w:hAnsi="Calibri" w:cs="Calibri"/>
          <w:lang w:val="en-US"/>
        </w:rPr>
        <w:t xml:space="preserve"> </w:t>
      </w:r>
      <w:r w:rsidR="006F73C3">
        <w:rPr>
          <w:rFonts w:ascii="Calibri" w:eastAsia="Calibri" w:hAnsi="Calibri" w:cs="Calibri"/>
          <w:lang w:val="en-US"/>
        </w:rPr>
        <w:br w:type="page"/>
      </w:r>
    </w:p>
    <w:p w14:paraId="12F60EAB" w14:textId="4E13A969" w:rsidR="00A434EF" w:rsidRPr="005211BB" w:rsidRDefault="00A434EF" w:rsidP="00A434EF">
      <w:pPr>
        <w:pStyle w:val="Heading2"/>
        <w:rPr>
          <w:sz w:val="28"/>
          <w:szCs w:val="28"/>
          <w:lang w:val="en-US"/>
        </w:rPr>
      </w:pPr>
      <w:bookmarkStart w:id="38" w:name="_Toc144374739"/>
      <w:r w:rsidRPr="005211BB">
        <w:rPr>
          <w:sz w:val="28"/>
          <w:szCs w:val="28"/>
          <w:lang w:val="en-US"/>
        </w:rPr>
        <w:lastRenderedPageBreak/>
        <w:t>Table S2.</w:t>
      </w:r>
      <w:bookmarkEnd w:id="38"/>
    </w:p>
    <w:p w14:paraId="455E06BE" w14:textId="202E4741" w:rsidR="00E94639" w:rsidRDefault="00A434EF" w:rsidP="00A434EF">
      <w:pPr>
        <w:rPr>
          <w:rFonts w:ascii="Calibri" w:eastAsia="Calibri" w:hAnsi="Calibri" w:cs="Calibri"/>
          <w:lang w:val="en-US"/>
        </w:rPr>
      </w:pPr>
      <w:r w:rsidRPr="00534DA6">
        <w:rPr>
          <w:rFonts w:ascii="Calibri" w:eastAsia="Calibri" w:hAnsi="Calibri" w:cs="Calibri"/>
          <w:lang w:val="en-US"/>
        </w:rPr>
        <w:t xml:space="preserve">Detailed treatment history of patients 1-3, including comorbidities, concomitant medication, </w:t>
      </w:r>
      <w:proofErr w:type="spellStart"/>
      <w:r w:rsidRPr="00534DA6">
        <w:rPr>
          <w:rFonts w:ascii="Calibri" w:eastAsia="Calibri" w:hAnsi="Calibri" w:cs="Calibri"/>
          <w:lang w:val="en-US"/>
        </w:rPr>
        <w:t>noxa</w:t>
      </w:r>
      <w:proofErr w:type="spellEnd"/>
      <w:r w:rsidRPr="00534DA6">
        <w:rPr>
          <w:rFonts w:ascii="Calibri" w:eastAsia="Calibri" w:hAnsi="Calibri" w:cs="Calibri"/>
          <w:lang w:val="en-US"/>
        </w:rPr>
        <w:t xml:space="preserve">, </w:t>
      </w:r>
      <w:r w:rsidR="00E94639" w:rsidRPr="00534DA6">
        <w:rPr>
          <w:rFonts w:ascii="Calibri" w:eastAsia="Calibri" w:hAnsi="Calibri" w:cs="Calibri"/>
          <w:lang w:val="en-US"/>
        </w:rPr>
        <w:t>weight / height.</w:t>
      </w:r>
    </w:p>
    <w:p w14:paraId="5D325155" w14:textId="7D67B53A" w:rsidR="00A434EF" w:rsidRPr="00534DA6" w:rsidRDefault="00A434EF" w:rsidP="00A434EF">
      <w:pPr>
        <w:rPr>
          <w:rFonts w:ascii="Calibri" w:eastAsia="Calibri" w:hAnsi="Calibri" w:cs="Calibri"/>
          <w:lang w:val="en-US"/>
        </w:rPr>
      </w:pPr>
    </w:p>
    <w:tbl>
      <w:tblPr>
        <w:tblpPr w:leftFromText="180" w:rightFromText="180" w:vertAnchor="text" w:horzAnchor="margin" w:tblpY="-255"/>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1E0" w:firstRow="1" w:lastRow="1" w:firstColumn="1" w:lastColumn="1" w:noHBand="0" w:noVBand="0"/>
      </w:tblPr>
      <w:tblGrid>
        <w:gridCol w:w="1992"/>
        <w:gridCol w:w="740"/>
        <w:gridCol w:w="6277"/>
      </w:tblGrid>
      <w:tr w:rsidR="00A434EF" w:rsidRPr="006C1634" w14:paraId="791DB44C" w14:textId="77777777" w:rsidTr="00123786">
        <w:trPr>
          <w:trHeight w:val="419"/>
        </w:trPr>
        <w:tc>
          <w:tcPr>
            <w:tcW w:w="0" w:type="auto"/>
            <w:shd w:val="clear" w:color="auto" w:fill="D9D9D9"/>
          </w:tcPr>
          <w:p w14:paraId="4FA0B609" w14:textId="11DD2541" w:rsidR="00A434EF" w:rsidRPr="000E4817" w:rsidRDefault="00A434EF" w:rsidP="000004F0">
            <w:pPr>
              <w:pStyle w:val="TableParagraph"/>
              <w:spacing w:line="170" w:lineRule="exact"/>
              <w:ind w:left="0"/>
              <w:rPr>
                <w:rFonts w:asciiTheme="majorHAnsi" w:hAnsiTheme="majorHAnsi" w:cstheme="majorHAnsi"/>
                <w:b/>
                <w:bCs/>
                <w:sz w:val="15"/>
                <w:szCs w:val="15"/>
              </w:rPr>
            </w:pPr>
            <w:r>
              <w:rPr>
                <w:rFonts w:asciiTheme="majorHAnsi" w:hAnsiTheme="majorHAnsi" w:cstheme="majorHAnsi"/>
                <w:b/>
                <w:bCs/>
                <w:sz w:val="15"/>
                <w:szCs w:val="15"/>
              </w:rPr>
              <w:t xml:space="preserve"> </w:t>
            </w:r>
            <w:r w:rsidRPr="000E4817">
              <w:rPr>
                <w:rFonts w:asciiTheme="majorHAnsi" w:hAnsiTheme="majorHAnsi" w:cstheme="majorHAnsi"/>
                <w:b/>
                <w:bCs/>
                <w:sz w:val="15"/>
                <w:szCs w:val="15"/>
              </w:rPr>
              <w:t>Patient 1</w:t>
            </w:r>
          </w:p>
        </w:tc>
        <w:tc>
          <w:tcPr>
            <w:tcW w:w="0" w:type="auto"/>
            <w:shd w:val="clear" w:color="auto" w:fill="D9D9D9"/>
          </w:tcPr>
          <w:p w14:paraId="63744FC2" w14:textId="77777777" w:rsidR="00A434EF" w:rsidRPr="000E4817" w:rsidRDefault="00A434EF" w:rsidP="00123786">
            <w:pPr>
              <w:pStyle w:val="TableParagraph"/>
              <w:spacing w:before="10" w:line="240" w:lineRule="auto"/>
              <w:ind w:left="70"/>
              <w:rPr>
                <w:rFonts w:asciiTheme="majorHAnsi" w:hAnsiTheme="majorHAnsi" w:cstheme="majorHAnsi"/>
                <w:b/>
                <w:bCs/>
                <w:sz w:val="15"/>
                <w:szCs w:val="15"/>
              </w:rPr>
            </w:pPr>
            <w:r w:rsidRPr="000E4817">
              <w:rPr>
                <w:rFonts w:asciiTheme="majorHAnsi" w:hAnsiTheme="majorHAnsi" w:cstheme="majorHAnsi"/>
                <w:b/>
                <w:bCs/>
                <w:sz w:val="15"/>
                <w:szCs w:val="15"/>
              </w:rPr>
              <w:t>months on</w:t>
            </w:r>
          </w:p>
          <w:p w14:paraId="0024B32D" w14:textId="77777777" w:rsidR="00A434EF" w:rsidRPr="000E4817" w:rsidRDefault="00A434EF" w:rsidP="00123786">
            <w:pPr>
              <w:pStyle w:val="TableParagraph"/>
              <w:spacing w:before="36" w:line="170" w:lineRule="exact"/>
              <w:ind w:left="70"/>
              <w:rPr>
                <w:rFonts w:asciiTheme="majorHAnsi" w:hAnsiTheme="majorHAnsi" w:cstheme="majorHAnsi"/>
                <w:b/>
                <w:bCs/>
                <w:sz w:val="15"/>
                <w:szCs w:val="15"/>
              </w:rPr>
            </w:pPr>
            <w:r w:rsidRPr="000E4817">
              <w:rPr>
                <w:rFonts w:asciiTheme="majorHAnsi" w:hAnsiTheme="majorHAnsi" w:cstheme="majorHAnsi"/>
                <w:b/>
                <w:bCs/>
                <w:sz w:val="15"/>
                <w:szCs w:val="15"/>
              </w:rPr>
              <w:t>treatment</w:t>
            </w:r>
          </w:p>
        </w:tc>
        <w:tc>
          <w:tcPr>
            <w:tcW w:w="0" w:type="auto"/>
            <w:shd w:val="clear" w:color="auto" w:fill="D9D9D9"/>
          </w:tcPr>
          <w:p w14:paraId="1AFA75D4" w14:textId="77777777" w:rsidR="00A434EF" w:rsidRPr="000E4817" w:rsidRDefault="00A434EF" w:rsidP="00123786">
            <w:pPr>
              <w:pStyle w:val="TableParagraph"/>
              <w:spacing w:before="11" w:line="240" w:lineRule="auto"/>
              <w:ind w:left="0"/>
              <w:rPr>
                <w:rFonts w:asciiTheme="majorHAnsi" w:hAnsiTheme="majorHAnsi" w:cstheme="majorHAnsi"/>
                <w:b/>
                <w:bCs/>
                <w:sz w:val="15"/>
                <w:szCs w:val="15"/>
              </w:rPr>
            </w:pPr>
          </w:p>
          <w:p w14:paraId="15870D80" w14:textId="77777777" w:rsidR="00A434EF" w:rsidRPr="000E4817" w:rsidRDefault="00A434EF" w:rsidP="00123786">
            <w:pPr>
              <w:pStyle w:val="TableParagraph"/>
              <w:spacing w:line="170" w:lineRule="exact"/>
              <w:rPr>
                <w:rFonts w:asciiTheme="majorHAnsi" w:hAnsiTheme="majorHAnsi" w:cstheme="majorHAnsi"/>
                <w:b/>
                <w:bCs/>
                <w:sz w:val="15"/>
                <w:szCs w:val="15"/>
              </w:rPr>
            </w:pPr>
            <w:r w:rsidRPr="000E4817">
              <w:rPr>
                <w:rFonts w:asciiTheme="majorHAnsi" w:hAnsiTheme="majorHAnsi" w:cstheme="majorHAnsi"/>
                <w:b/>
                <w:bCs/>
                <w:sz w:val="15"/>
                <w:szCs w:val="15"/>
              </w:rPr>
              <w:t>response</w:t>
            </w:r>
          </w:p>
        </w:tc>
      </w:tr>
      <w:tr w:rsidR="00A434EF" w:rsidRPr="006C1634" w14:paraId="7776C584" w14:textId="77777777" w:rsidTr="00123786">
        <w:trPr>
          <w:trHeight w:val="180"/>
        </w:trPr>
        <w:tc>
          <w:tcPr>
            <w:tcW w:w="0" w:type="auto"/>
          </w:tcPr>
          <w:p w14:paraId="039ACEC9"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UVB narrow band, three times weekly</w:t>
            </w:r>
          </w:p>
        </w:tc>
        <w:tc>
          <w:tcPr>
            <w:tcW w:w="0" w:type="auto"/>
          </w:tcPr>
          <w:p w14:paraId="64FB9C35" w14:textId="77777777" w:rsidR="00A434EF" w:rsidRPr="006C1634" w:rsidRDefault="00A434EF" w:rsidP="00123786">
            <w:pPr>
              <w:pStyle w:val="TableParagraph"/>
              <w:ind w:left="0" w:right="366"/>
              <w:jc w:val="right"/>
              <w:rPr>
                <w:rFonts w:asciiTheme="majorHAnsi" w:hAnsiTheme="majorHAnsi" w:cstheme="majorHAnsi"/>
                <w:sz w:val="15"/>
                <w:szCs w:val="15"/>
              </w:rPr>
            </w:pPr>
            <w:r w:rsidRPr="006C1634">
              <w:rPr>
                <w:rFonts w:asciiTheme="majorHAnsi" w:hAnsiTheme="majorHAnsi" w:cstheme="majorHAnsi"/>
                <w:sz w:val="15"/>
                <w:szCs w:val="15"/>
              </w:rPr>
              <w:t>1</w:t>
            </w:r>
          </w:p>
        </w:tc>
        <w:tc>
          <w:tcPr>
            <w:tcW w:w="0" w:type="auto"/>
          </w:tcPr>
          <w:p w14:paraId="23A47705"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worsening of PRP</w:t>
            </w:r>
          </w:p>
        </w:tc>
      </w:tr>
      <w:tr w:rsidR="00A434EF" w:rsidRPr="006C1634" w14:paraId="65FD9351" w14:textId="77777777" w:rsidTr="00123786">
        <w:trPr>
          <w:trHeight w:val="180"/>
        </w:trPr>
        <w:tc>
          <w:tcPr>
            <w:tcW w:w="0" w:type="auto"/>
          </w:tcPr>
          <w:p w14:paraId="22845CD4"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Acitretin 10mg/d</w:t>
            </w:r>
          </w:p>
        </w:tc>
        <w:tc>
          <w:tcPr>
            <w:tcW w:w="0" w:type="auto"/>
          </w:tcPr>
          <w:p w14:paraId="4AE9FEDE" w14:textId="77777777" w:rsidR="00A434EF" w:rsidRPr="006C1634" w:rsidRDefault="00A434EF" w:rsidP="00123786">
            <w:pPr>
              <w:pStyle w:val="TableParagraph"/>
              <w:ind w:left="0" w:right="366"/>
              <w:jc w:val="right"/>
              <w:rPr>
                <w:rFonts w:asciiTheme="majorHAnsi" w:hAnsiTheme="majorHAnsi" w:cstheme="majorHAnsi"/>
                <w:sz w:val="15"/>
                <w:szCs w:val="15"/>
              </w:rPr>
            </w:pPr>
            <w:r w:rsidRPr="006C1634">
              <w:rPr>
                <w:rFonts w:asciiTheme="majorHAnsi" w:hAnsiTheme="majorHAnsi" w:cstheme="majorHAnsi"/>
                <w:sz w:val="15"/>
                <w:szCs w:val="15"/>
              </w:rPr>
              <w:t>4</w:t>
            </w:r>
          </w:p>
        </w:tc>
        <w:tc>
          <w:tcPr>
            <w:tcW w:w="0" w:type="auto"/>
          </w:tcPr>
          <w:p w14:paraId="0DE359ED"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insufficient control</w:t>
            </w:r>
          </w:p>
        </w:tc>
      </w:tr>
      <w:tr w:rsidR="00A434EF" w:rsidRPr="006C1634" w14:paraId="604EEEEB" w14:textId="77777777" w:rsidTr="00123786">
        <w:trPr>
          <w:trHeight w:val="180"/>
        </w:trPr>
        <w:tc>
          <w:tcPr>
            <w:tcW w:w="0" w:type="auto"/>
          </w:tcPr>
          <w:p w14:paraId="4C09696F"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Acitretin 25mg/d</w:t>
            </w:r>
          </w:p>
        </w:tc>
        <w:tc>
          <w:tcPr>
            <w:tcW w:w="0" w:type="auto"/>
          </w:tcPr>
          <w:p w14:paraId="201EAD74" w14:textId="77777777" w:rsidR="00A434EF" w:rsidRPr="006C1634" w:rsidRDefault="00A434EF" w:rsidP="00123786">
            <w:pPr>
              <w:pStyle w:val="TableParagraph"/>
              <w:ind w:left="0" w:right="366"/>
              <w:jc w:val="right"/>
              <w:rPr>
                <w:rFonts w:asciiTheme="majorHAnsi" w:hAnsiTheme="majorHAnsi" w:cstheme="majorHAnsi"/>
                <w:sz w:val="15"/>
                <w:szCs w:val="15"/>
              </w:rPr>
            </w:pPr>
            <w:r w:rsidRPr="006C1634">
              <w:rPr>
                <w:rFonts w:asciiTheme="majorHAnsi" w:hAnsiTheme="majorHAnsi" w:cstheme="majorHAnsi"/>
                <w:sz w:val="15"/>
                <w:szCs w:val="15"/>
              </w:rPr>
              <w:t>3</w:t>
            </w:r>
          </w:p>
        </w:tc>
        <w:tc>
          <w:tcPr>
            <w:tcW w:w="0" w:type="auto"/>
          </w:tcPr>
          <w:p w14:paraId="53F104B8"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insufficient control</w:t>
            </w:r>
          </w:p>
        </w:tc>
      </w:tr>
      <w:tr w:rsidR="00A434EF" w:rsidRPr="006C1634" w14:paraId="3DDFFEAE" w14:textId="77777777" w:rsidTr="00123786">
        <w:trPr>
          <w:trHeight w:val="180"/>
        </w:trPr>
        <w:tc>
          <w:tcPr>
            <w:tcW w:w="0" w:type="auto"/>
          </w:tcPr>
          <w:p w14:paraId="4F3092AC"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 xml:space="preserve">Methotrexate 15mg </w:t>
            </w:r>
            <w:proofErr w:type="spellStart"/>
            <w:r w:rsidRPr="006C1634">
              <w:rPr>
                <w:rFonts w:asciiTheme="majorHAnsi" w:hAnsiTheme="majorHAnsi" w:cstheme="majorHAnsi"/>
                <w:sz w:val="15"/>
                <w:szCs w:val="15"/>
              </w:rPr>
              <w:t>s.c.</w:t>
            </w:r>
            <w:proofErr w:type="spellEnd"/>
            <w:r w:rsidRPr="006C1634">
              <w:rPr>
                <w:rFonts w:asciiTheme="majorHAnsi" w:hAnsiTheme="majorHAnsi" w:cstheme="majorHAnsi"/>
                <w:sz w:val="15"/>
                <w:szCs w:val="15"/>
              </w:rPr>
              <w:t>/week</w:t>
            </w:r>
          </w:p>
        </w:tc>
        <w:tc>
          <w:tcPr>
            <w:tcW w:w="0" w:type="auto"/>
          </w:tcPr>
          <w:p w14:paraId="1577C081" w14:textId="77777777" w:rsidR="00A434EF" w:rsidRPr="006C1634" w:rsidRDefault="00A434EF" w:rsidP="00123786">
            <w:pPr>
              <w:pStyle w:val="TableParagraph"/>
              <w:ind w:left="0" w:right="366"/>
              <w:jc w:val="right"/>
              <w:rPr>
                <w:rFonts w:asciiTheme="majorHAnsi" w:hAnsiTheme="majorHAnsi" w:cstheme="majorHAnsi"/>
                <w:sz w:val="15"/>
                <w:szCs w:val="15"/>
              </w:rPr>
            </w:pPr>
            <w:r w:rsidRPr="006C1634">
              <w:rPr>
                <w:rFonts w:asciiTheme="majorHAnsi" w:hAnsiTheme="majorHAnsi" w:cstheme="majorHAnsi"/>
                <w:sz w:val="15"/>
                <w:szCs w:val="15"/>
              </w:rPr>
              <w:t>4</w:t>
            </w:r>
          </w:p>
        </w:tc>
        <w:tc>
          <w:tcPr>
            <w:tcW w:w="0" w:type="auto"/>
          </w:tcPr>
          <w:p w14:paraId="2E20DD8C"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insufficient control</w:t>
            </w:r>
          </w:p>
        </w:tc>
      </w:tr>
      <w:tr w:rsidR="00A434EF" w:rsidRPr="006C1634" w14:paraId="70034811" w14:textId="77777777" w:rsidTr="00123786">
        <w:trPr>
          <w:trHeight w:val="200"/>
        </w:trPr>
        <w:tc>
          <w:tcPr>
            <w:tcW w:w="0" w:type="auto"/>
          </w:tcPr>
          <w:p w14:paraId="553A233D" w14:textId="77777777" w:rsidR="00A434EF" w:rsidRPr="006C1634" w:rsidRDefault="00A434EF" w:rsidP="00123786">
            <w:pPr>
              <w:pStyle w:val="TableParagraph"/>
              <w:spacing w:before="10" w:line="170" w:lineRule="exact"/>
              <w:rPr>
                <w:rFonts w:asciiTheme="majorHAnsi" w:hAnsiTheme="majorHAnsi" w:cstheme="majorHAnsi"/>
                <w:sz w:val="15"/>
                <w:szCs w:val="15"/>
              </w:rPr>
            </w:pPr>
            <w:r w:rsidRPr="006C1634">
              <w:rPr>
                <w:rFonts w:asciiTheme="majorHAnsi" w:hAnsiTheme="majorHAnsi" w:cstheme="majorHAnsi"/>
                <w:sz w:val="15"/>
                <w:szCs w:val="15"/>
              </w:rPr>
              <w:t>Adalimumab, 80mg week 0, then from week 1 on 40mg q2w</w:t>
            </w:r>
          </w:p>
        </w:tc>
        <w:tc>
          <w:tcPr>
            <w:tcW w:w="0" w:type="auto"/>
          </w:tcPr>
          <w:p w14:paraId="3266C6AF" w14:textId="77777777" w:rsidR="00A434EF" w:rsidRPr="006C1634" w:rsidRDefault="00A434EF" w:rsidP="00123786">
            <w:pPr>
              <w:pStyle w:val="TableParagraph"/>
              <w:spacing w:before="10" w:line="170" w:lineRule="exact"/>
              <w:ind w:left="0" w:right="329"/>
              <w:jc w:val="right"/>
              <w:rPr>
                <w:rFonts w:asciiTheme="majorHAnsi" w:hAnsiTheme="majorHAnsi" w:cstheme="majorHAnsi"/>
                <w:sz w:val="15"/>
                <w:szCs w:val="15"/>
              </w:rPr>
            </w:pPr>
            <w:r w:rsidRPr="006C1634">
              <w:rPr>
                <w:rFonts w:asciiTheme="majorHAnsi" w:hAnsiTheme="majorHAnsi" w:cstheme="majorHAnsi"/>
                <w:sz w:val="15"/>
                <w:szCs w:val="15"/>
              </w:rPr>
              <w:t>17</w:t>
            </w:r>
          </w:p>
        </w:tc>
        <w:tc>
          <w:tcPr>
            <w:tcW w:w="0" w:type="auto"/>
          </w:tcPr>
          <w:p w14:paraId="2BE0F427" w14:textId="77777777" w:rsidR="00A434EF" w:rsidRPr="006C1634" w:rsidRDefault="00A434EF" w:rsidP="00123786">
            <w:pPr>
              <w:pStyle w:val="TableParagraph"/>
              <w:spacing w:before="10" w:line="170" w:lineRule="exact"/>
              <w:rPr>
                <w:rFonts w:asciiTheme="majorHAnsi" w:hAnsiTheme="majorHAnsi" w:cstheme="majorHAnsi"/>
                <w:sz w:val="15"/>
                <w:szCs w:val="15"/>
              </w:rPr>
            </w:pPr>
            <w:r w:rsidRPr="006C1634">
              <w:rPr>
                <w:rFonts w:asciiTheme="majorHAnsi" w:hAnsiTheme="majorHAnsi" w:cstheme="majorHAnsi"/>
                <w:sz w:val="15"/>
                <w:szCs w:val="15"/>
              </w:rPr>
              <w:t>insufficient control</w:t>
            </w:r>
          </w:p>
        </w:tc>
      </w:tr>
      <w:tr w:rsidR="00A434EF" w:rsidRPr="00931D78" w14:paraId="0B0BD9B3" w14:textId="77777777" w:rsidTr="00123786">
        <w:trPr>
          <w:trHeight w:val="180"/>
        </w:trPr>
        <w:tc>
          <w:tcPr>
            <w:tcW w:w="0" w:type="auto"/>
          </w:tcPr>
          <w:p w14:paraId="48F0B474"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Anakinra 100mg/d for 6 weeks, 200mg/d for 6 weeks</w:t>
            </w:r>
          </w:p>
        </w:tc>
        <w:tc>
          <w:tcPr>
            <w:tcW w:w="0" w:type="auto"/>
          </w:tcPr>
          <w:p w14:paraId="55479EC8" w14:textId="77777777" w:rsidR="00A434EF" w:rsidRPr="006C1634" w:rsidRDefault="00A434EF" w:rsidP="00123786">
            <w:pPr>
              <w:pStyle w:val="TableParagraph"/>
              <w:ind w:left="0" w:right="366"/>
              <w:jc w:val="right"/>
              <w:rPr>
                <w:rFonts w:asciiTheme="majorHAnsi" w:hAnsiTheme="majorHAnsi" w:cstheme="majorHAnsi"/>
                <w:sz w:val="15"/>
                <w:szCs w:val="15"/>
              </w:rPr>
            </w:pPr>
            <w:r w:rsidRPr="006C1634">
              <w:rPr>
                <w:rFonts w:asciiTheme="majorHAnsi" w:hAnsiTheme="majorHAnsi" w:cstheme="majorHAnsi"/>
                <w:sz w:val="15"/>
                <w:szCs w:val="15"/>
              </w:rPr>
              <w:t>3</w:t>
            </w:r>
          </w:p>
        </w:tc>
        <w:tc>
          <w:tcPr>
            <w:tcW w:w="0" w:type="auto"/>
          </w:tcPr>
          <w:p w14:paraId="37A333ED"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PASI75, loss of response upon cessation of treatment, lack of cost coverage</w:t>
            </w:r>
          </w:p>
        </w:tc>
      </w:tr>
      <w:tr w:rsidR="00A434EF" w:rsidRPr="006C1634" w14:paraId="21E8954A" w14:textId="77777777" w:rsidTr="00123786">
        <w:trPr>
          <w:trHeight w:val="200"/>
        </w:trPr>
        <w:tc>
          <w:tcPr>
            <w:tcW w:w="0" w:type="auto"/>
          </w:tcPr>
          <w:p w14:paraId="60AB7042" w14:textId="77777777" w:rsidR="00A434EF" w:rsidRPr="006C1634" w:rsidRDefault="00A434EF" w:rsidP="00123786">
            <w:pPr>
              <w:pStyle w:val="TableParagraph"/>
              <w:spacing w:before="10" w:line="170" w:lineRule="exact"/>
              <w:rPr>
                <w:rFonts w:asciiTheme="majorHAnsi" w:hAnsiTheme="majorHAnsi" w:cstheme="majorHAnsi"/>
                <w:sz w:val="15"/>
                <w:szCs w:val="15"/>
              </w:rPr>
            </w:pPr>
            <w:r w:rsidRPr="006C1634">
              <w:rPr>
                <w:rFonts w:asciiTheme="majorHAnsi" w:hAnsiTheme="majorHAnsi" w:cstheme="majorHAnsi"/>
                <w:sz w:val="15"/>
                <w:szCs w:val="15"/>
              </w:rPr>
              <w:t>Adalimumab, 80mg week 0, then from week 1 on 40mg q2w</w:t>
            </w:r>
          </w:p>
        </w:tc>
        <w:tc>
          <w:tcPr>
            <w:tcW w:w="0" w:type="auto"/>
          </w:tcPr>
          <w:p w14:paraId="2BFE71B7" w14:textId="77777777" w:rsidR="00A434EF" w:rsidRPr="006C1634" w:rsidRDefault="00A434EF" w:rsidP="00123786">
            <w:pPr>
              <w:pStyle w:val="TableParagraph"/>
              <w:spacing w:before="10" w:line="170" w:lineRule="exact"/>
              <w:ind w:left="0" w:right="329"/>
              <w:jc w:val="right"/>
              <w:rPr>
                <w:rFonts w:asciiTheme="majorHAnsi" w:hAnsiTheme="majorHAnsi" w:cstheme="majorHAnsi"/>
                <w:sz w:val="15"/>
                <w:szCs w:val="15"/>
              </w:rPr>
            </w:pPr>
            <w:r w:rsidRPr="006C1634">
              <w:rPr>
                <w:rFonts w:asciiTheme="majorHAnsi" w:hAnsiTheme="majorHAnsi" w:cstheme="majorHAnsi"/>
                <w:sz w:val="15"/>
                <w:szCs w:val="15"/>
              </w:rPr>
              <w:t>12</w:t>
            </w:r>
          </w:p>
        </w:tc>
        <w:tc>
          <w:tcPr>
            <w:tcW w:w="0" w:type="auto"/>
          </w:tcPr>
          <w:p w14:paraId="5B5D35DF" w14:textId="77777777" w:rsidR="00A434EF" w:rsidRPr="006C1634" w:rsidRDefault="00A434EF" w:rsidP="00123786">
            <w:pPr>
              <w:pStyle w:val="TableParagraph"/>
              <w:spacing w:before="10" w:line="170" w:lineRule="exact"/>
              <w:rPr>
                <w:rFonts w:asciiTheme="majorHAnsi" w:hAnsiTheme="majorHAnsi" w:cstheme="majorHAnsi"/>
                <w:sz w:val="15"/>
                <w:szCs w:val="15"/>
              </w:rPr>
            </w:pPr>
            <w:r w:rsidRPr="006C1634">
              <w:rPr>
                <w:rFonts w:asciiTheme="majorHAnsi" w:hAnsiTheme="majorHAnsi" w:cstheme="majorHAnsi"/>
                <w:sz w:val="15"/>
                <w:szCs w:val="15"/>
              </w:rPr>
              <w:t>insufficient control</w:t>
            </w:r>
          </w:p>
        </w:tc>
      </w:tr>
      <w:tr w:rsidR="00A434EF" w:rsidRPr="006C1634" w14:paraId="4AB479A2" w14:textId="77777777" w:rsidTr="00123786">
        <w:trPr>
          <w:trHeight w:val="180"/>
        </w:trPr>
        <w:tc>
          <w:tcPr>
            <w:tcW w:w="0" w:type="auto"/>
          </w:tcPr>
          <w:p w14:paraId="72B3F339" w14:textId="77777777" w:rsidR="00A434EF" w:rsidRPr="006C1634" w:rsidRDefault="00A434EF" w:rsidP="00123786">
            <w:pPr>
              <w:pStyle w:val="TableParagraph"/>
              <w:rPr>
                <w:rFonts w:asciiTheme="majorHAnsi" w:hAnsiTheme="majorHAnsi" w:cstheme="majorHAnsi"/>
                <w:sz w:val="15"/>
                <w:szCs w:val="15"/>
              </w:rPr>
            </w:pPr>
            <w:proofErr w:type="spellStart"/>
            <w:r w:rsidRPr="006C1634">
              <w:rPr>
                <w:rFonts w:asciiTheme="majorHAnsi" w:hAnsiTheme="majorHAnsi" w:cstheme="majorHAnsi"/>
                <w:sz w:val="15"/>
                <w:szCs w:val="15"/>
              </w:rPr>
              <w:t>Guselkumab</w:t>
            </w:r>
            <w:proofErr w:type="spellEnd"/>
            <w:r w:rsidRPr="006C1634">
              <w:rPr>
                <w:rFonts w:asciiTheme="majorHAnsi" w:hAnsiTheme="majorHAnsi" w:cstheme="majorHAnsi"/>
                <w:sz w:val="15"/>
                <w:szCs w:val="15"/>
              </w:rPr>
              <w:t xml:space="preserve"> 100mg, week 0 and 4, every 8 weeks</w:t>
            </w:r>
          </w:p>
        </w:tc>
        <w:tc>
          <w:tcPr>
            <w:tcW w:w="0" w:type="auto"/>
          </w:tcPr>
          <w:p w14:paraId="7C86CC83" w14:textId="77777777" w:rsidR="00A434EF" w:rsidRPr="006C1634" w:rsidRDefault="00A434EF" w:rsidP="00123786">
            <w:pPr>
              <w:pStyle w:val="TableParagraph"/>
              <w:ind w:left="0" w:right="366"/>
              <w:jc w:val="right"/>
              <w:rPr>
                <w:rFonts w:asciiTheme="majorHAnsi" w:hAnsiTheme="majorHAnsi" w:cstheme="majorHAnsi"/>
                <w:sz w:val="15"/>
                <w:szCs w:val="15"/>
              </w:rPr>
            </w:pPr>
            <w:r w:rsidRPr="006C1634">
              <w:rPr>
                <w:rFonts w:asciiTheme="majorHAnsi" w:hAnsiTheme="majorHAnsi" w:cstheme="majorHAnsi"/>
                <w:sz w:val="15"/>
                <w:szCs w:val="15"/>
              </w:rPr>
              <w:t>6</w:t>
            </w:r>
          </w:p>
        </w:tc>
        <w:tc>
          <w:tcPr>
            <w:tcW w:w="0" w:type="auto"/>
          </w:tcPr>
          <w:p w14:paraId="5A60B2B4"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insufficient control</w:t>
            </w:r>
          </w:p>
        </w:tc>
      </w:tr>
      <w:tr w:rsidR="00A434EF" w:rsidRPr="006C1634" w14:paraId="4AC8E727" w14:textId="77777777" w:rsidTr="00123786">
        <w:trPr>
          <w:trHeight w:val="200"/>
        </w:trPr>
        <w:tc>
          <w:tcPr>
            <w:tcW w:w="0" w:type="auto"/>
          </w:tcPr>
          <w:p w14:paraId="08AB1851" w14:textId="77777777" w:rsidR="00A434EF" w:rsidRPr="006C1634" w:rsidRDefault="00A434EF" w:rsidP="00123786">
            <w:pPr>
              <w:pStyle w:val="TableParagraph"/>
              <w:spacing w:before="10" w:line="170" w:lineRule="exact"/>
              <w:rPr>
                <w:rFonts w:asciiTheme="majorHAnsi" w:hAnsiTheme="majorHAnsi" w:cstheme="majorHAnsi"/>
                <w:sz w:val="15"/>
                <w:szCs w:val="15"/>
              </w:rPr>
            </w:pPr>
            <w:proofErr w:type="spellStart"/>
            <w:r w:rsidRPr="006C1634">
              <w:rPr>
                <w:rFonts w:asciiTheme="majorHAnsi" w:hAnsiTheme="majorHAnsi" w:cstheme="majorHAnsi"/>
                <w:sz w:val="15"/>
                <w:szCs w:val="15"/>
              </w:rPr>
              <w:t>Ixekizumab</w:t>
            </w:r>
            <w:proofErr w:type="spellEnd"/>
            <w:r w:rsidRPr="006C1634">
              <w:rPr>
                <w:rFonts w:asciiTheme="majorHAnsi" w:hAnsiTheme="majorHAnsi" w:cstheme="majorHAnsi"/>
                <w:sz w:val="15"/>
                <w:szCs w:val="15"/>
              </w:rPr>
              <w:t>, 160mg week 0, 80mg week 2, 4, 6, 8, 10, 12, q4w</w:t>
            </w:r>
          </w:p>
        </w:tc>
        <w:tc>
          <w:tcPr>
            <w:tcW w:w="0" w:type="auto"/>
          </w:tcPr>
          <w:p w14:paraId="26D09473" w14:textId="77777777" w:rsidR="00A434EF" w:rsidRPr="006C1634" w:rsidRDefault="00A434EF" w:rsidP="00123786">
            <w:pPr>
              <w:pStyle w:val="TableParagraph"/>
              <w:spacing w:before="10" w:line="170" w:lineRule="exact"/>
              <w:ind w:left="0" w:right="329"/>
              <w:jc w:val="right"/>
              <w:rPr>
                <w:rFonts w:asciiTheme="majorHAnsi" w:hAnsiTheme="majorHAnsi" w:cstheme="majorHAnsi"/>
                <w:sz w:val="15"/>
                <w:szCs w:val="15"/>
              </w:rPr>
            </w:pPr>
            <w:r w:rsidRPr="006C1634">
              <w:rPr>
                <w:rFonts w:asciiTheme="majorHAnsi" w:hAnsiTheme="majorHAnsi" w:cstheme="majorHAnsi"/>
                <w:sz w:val="15"/>
                <w:szCs w:val="15"/>
              </w:rPr>
              <w:t>13</w:t>
            </w:r>
          </w:p>
        </w:tc>
        <w:tc>
          <w:tcPr>
            <w:tcW w:w="0" w:type="auto"/>
          </w:tcPr>
          <w:p w14:paraId="2ADBBC05" w14:textId="77777777" w:rsidR="00A434EF" w:rsidRPr="006C1634" w:rsidRDefault="00A434EF" w:rsidP="00123786">
            <w:pPr>
              <w:pStyle w:val="TableParagraph"/>
              <w:spacing w:before="10" w:line="170" w:lineRule="exact"/>
              <w:rPr>
                <w:rFonts w:asciiTheme="majorHAnsi" w:hAnsiTheme="majorHAnsi" w:cstheme="majorHAnsi"/>
                <w:sz w:val="15"/>
                <w:szCs w:val="15"/>
              </w:rPr>
            </w:pPr>
            <w:r w:rsidRPr="006C1634">
              <w:rPr>
                <w:rFonts w:asciiTheme="majorHAnsi" w:hAnsiTheme="majorHAnsi" w:cstheme="majorHAnsi"/>
                <w:sz w:val="15"/>
                <w:szCs w:val="15"/>
              </w:rPr>
              <w:t>insufficient control</w:t>
            </w:r>
          </w:p>
        </w:tc>
      </w:tr>
      <w:tr w:rsidR="00A434EF" w:rsidRPr="006C1634" w14:paraId="504F383C" w14:textId="77777777" w:rsidTr="00123786">
        <w:trPr>
          <w:trHeight w:val="200"/>
        </w:trPr>
        <w:tc>
          <w:tcPr>
            <w:tcW w:w="0" w:type="auto"/>
          </w:tcPr>
          <w:p w14:paraId="1858AD1F" w14:textId="77777777" w:rsidR="00A434EF" w:rsidRPr="006C1634" w:rsidRDefault="00A434EF" w:rsidP="00123786">
            <w:pPr>
              <w:pStyle w:val="TableParagraph"/>
              <w:spacing w:before="10" w:line="170" w:lineRule="exact"/>
              <w:rPr>
                <w:rFonts w:asciiTheme="majorHAnsi" w:hAnsiTheme="majorHAnsi" w:cstheme="majorHAnsi"/>
                <w:sz w:val="15"/>
                <w:szCs w:val="15"/>
              </w:rPr>
            </w:pPr>
            <w:r w:rsidRPr="006C1634">
              <w:rPr>
                <w:rFonts w:asciiTheme="majorHAnsi" w:hAnsiTheme="majorHAnsi" w:cstheme="majorHAnsi"/>
                <w:sz w:val="15"/>
                <w:szCs w:val="15"/>
              </w:rPr>
              <w:t>Risankizumab 150mg, week 0 and 4, then every 12 weeks</w:t>
            </w:r>
          </w:p>
        </w:tc>
        <w:tc>
          <w:tcPr>
            <w:tcW w:w="0" w:type="auto"/>
          </w:tcPr>
          <w:p w14:paraId="1CF62B99" w14:textId="77777777" w:rsidR="00A434EF" w:rsidRPr="006C1634" w:rsidRDefault="00A434EF" w:rsidP="00123786">
            <w:pPr>
              <w:pStyle w:val="TableParagraph"/>
              <w:spacing w:before="10" w:line="170" w:lineRule="exact"/>
              <w:ind w:left="0" w:right="329"/>
              <w:jc w:val="right"/>
              <w:rPr>
                <w:rFonts w:asciiTheme="majorHAnsi" w:hAnsiTheme="majorHAnsi" w:cstheme="majorHAnsi"/>
                <w:sz w:val="15"/>
                <w:szCs w:val="15"/>
              </w:rPr>
            </w:pPr>
            <w:r w:rsidRPr="006C1634">
              <w:rPr>
                <w:rFonts w:asciiTheme="majorHAnsi" w:hAnsiTheme="majorHAnsi" w:cstheme="majorHAnsi"/>
                <w:sz w:val="15"/>
                <w:szCs w:val="15"/>
              </w:rPr>
              <w:t>10</w:t>
            </w:r>
          </w:p>
        </w:tc>
        <w:tc>
          <w:tcPr>
            <w:tcW w:w="0" w:type="auto"/>
          </w:tcPr>
          <w:p w14:paraId="2AF33BF0" w14:textId="77777777" w:rsidR="00A434EF" w:rsidRPr="006C1634" w:rsidRDefault="00A434EF" w:rsidP="00123786">
            <w:pPr>
              <w:pStyle w:val="TableParagraph"/>
              <w:spacing w:before="10" w:line="170" w:lineRule="exact"/>
              <w:rPr>
                <w:rFonts w:asciiTheme="majorHAnsi" w:hAnsiTheme="majorHAnsi" w:cstheme="majorHAnsi"/>
                <w:sz w:val="15"/>
                <w:szCs w:val="15"/>
              </w:rPr>
            </w:pPr>
            <w:r w:rsidRPr="006C1634">
              <w:rPr>
                <w:rFonts w:asciiTheme="majorHAnsi" w:hAnsiTheme="majorHAnsi" w:cstheme="majorHAnsi"/>
                <w:sz w:val="15"/>
                <w:szCs w:val="15"/>
              </w:rPr>
              <w:t>insufficient control</w:t>
            </w:r>
          </w:p>
        </w:tc>
      </w:tr>
      <w:tr w:rsidR="00A434EF" w:rsidRPr="00931D78" w14:paraId="0ED2E70B" w14:textId="77777777" w:rsidTr="00123786">
        <w:trPr>
          <w:trHeight w:val="180"/>
        </w:trPr>
        <w:tc>
          <w:tcPr>
            <w:tcW w:w="0" w:type="auto"/>
          </w:tcPr>
          <w:p w14:paraId="0A2D2BAB"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Canakinumab 150mg/month</w:t>
            </w:r>
          </w:p>
        </w:tc>
        <w:tc>
          <w:tcPr>
            <w:tcW w:w="0" w:type="auto"/>
          </w:tcPr>
          <w:p w14:paraId="01F0F8BF" w14:textId="77777777" w:rsidR="00A434EF" w:rsidRPr="006C1634" w:rsidRDefault="00A434EF" w:rsidP="00123786">
            <w:pPr>
              <w:pStyle w:val="TableParagraph"/>
              <w:ind w:left="0" w:right="366"/>
              <w:jc w:val="right"/>
              <w:rPr>
                <w:rFonts w:asciiTheme="majorHAnsi" w:hAnsiTheme="majorHAnsi" w:cstheme="majorHAnsi"/>
                <w:sz w:val="15"/>
                <w:szCs w:val="15"/>
              </w:rPr>
            </w:pPr>
            <w:r w:rsidRPr="006C1634">
              <w:rPr>
                <w:rFonts w:asciiTheme="majorHAnsi" w:hAnsiTheme="majorHAnsi" w:cstheme="majorHAnsi"/>
                <w:sz w:val="15"/>
                <w:szCs w:val="15"/>
              </w:rPr>
              <w:t>1</w:t>
            </w:r>
          </w:p>
        </w:tc>
        <w:tc>
          <w:tcPr>
            <w:tcW w:w="0" w:type="auto"/>
          </w:tcPr>
          <w:p w14:paraId="14835EA7"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PASI75 at week 8 (85% improvement), ongoing</w:t>
            </w:r>
          </w:p>
        </w:tc>
      </w:tr>
      <w:tr w:rsidR="00A434EF" w:rsidRPr="006C1634" w14:paraId="781DC419" w14:textId="77777777" w:rsidTr="00123786">
        <w:trPr>
          <w:trHeight w:val="386"/>
        </w:trPr>
        <w:tc>
          <w:tcPr>
            <w:tcW w:w="0" w:type="auto"/>
            <w:shd w:val="clear" w:color="auto" w:fill="D9D9D9"/>
          </w:tcPr>
          <w:p w14:paraId="4BF64838" w14:textId="77777777" w:rsidR="00A434EF" w:rsidRPr="000E4817" w:rsidRDefault="00A434EF" w:rsidP="00123786">
            <w:pPr>
              <w:pStyle w:val="TableParagraph"/>
              <w:rPr>
                <w:rFonts w:asciiTheme="majorHAnsi" w:hAnsiTheme="majorHAnsi" w:cstheme="majorHAnsi"/>
                <w:b/>
                <w:bCs/>
                <w:sz w:val="15"/>
                <w:szCs w:val="15"/>
              </w:rPr>
            </w:pPr>
            <w:r w:rsidRPr="000E4817">
              <w:rPr>
                <w:rFonts w:asciiTheme="majorHAnsi" w:hAnsiTheme="majorHAnsi" w:cstheme="majorHAnsi"/>
                <w:b/>
                <w:bCs/>
                <w:sz w:val="15"/>
                <w:szCs w:val="15"/>
              </w:rPr>
              <w:t>Patient 2</w:t>
            </w:r>
          </w:p>
        </w:tc>
        <w:tc>
          <w:tcPr>
            <w:tcW w:w="0" w:type="auto"/>
          </w:tcPr>
          <w:p w14:paraId="423D612A" w14:textId="77777777" w:rsidR="00A434EF" w:rsidRPr="006C1634" w:rsidRDefault="00A434EF" w:rsidP="00123786">
            <w:pPr>
              <w:pStyle w:val="TableParagraph"/>
              <w:spacing w:line="240" w:lineRule="auto"/>
              <w:ind w:left="0"/>
              <w:rPr>
                <w:rFonts w:asciiTheme="majorHAnsi" w:hAnsiTheme="majorHAnsi" w:cstheme="majorHAnsi"/>
                <w:sz w:val="15"/>
                <w:szCs w:val="15"/>
              </w:rPr>
            </w:pPr>
          </w:p>
        </w:tc>
        <w:tc>
          <w:tcPr>
            <w:tcW w:w="0" w:type="auto"/>
          </w:tcPr>
          <w:p w14:paraId="47C55369" w14:textId="77777777" w:rsidR="00A434EF" w:rsidRPr="006C1634" w:rsidRDefault="00A434EF" w:rsidP="00123786">
            <w:pPr>
              <w:pStyle w:val="TableParagraph"/>
              <w:spacing w:line="240" w:lineRule="auto"/>
              <w:ind w:left="0"/>
              <w:rPr>
                <w:rFonts w:asciiTheme="majorHAnsi" w:hAnsiTheme="majorHAnsi" w:cstheme="majorHAnsi"/>
                <w:sz w:val="15"/>
                <w:szCs w:val="15"/>
              </w:rPr>
            </w:pPr>
          </w:p>
        </w:tc>
      </w:tr>
      <w:tr w:rsidR="00A434EF" w:rsidRPr="006C1634" w14:paraId="491B5261" w14:textId="77777777" w:rsidTr="00123786">
        <w:trPr>
          <w:trHeight w:val="180"/>
        </w:trPr>
        <w:tc>
          <w:tcPr>
            <w:tcW w:w="0" w:type="auto"/>
          </w:tcPr>
          <w:p w14:paraId="28F8F4EF"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Acitretin 10mg/d</w:t>
            </w:r>
          </w:p>
        </w:tc>
        <w:tc>
          <w:tcPr>
            <w:tcW w:w="0" w:type="auto"/>
          </w:tcPr>
          <w:p w14:paraId="71D9466B" w14:textId="77777777" w:rsidR="00A434EF" w:rsidRPr="006C1634" w:rsidRDefault="00A434EF" w:rsidP="00123786">
            <w:pPr>
              <w:pStyle w:val="TableParagraph"/>
              <w:ind w:left="0" w:right="366"/>
              <w:jc w:val="right"/>
              <w:rPr>
                <w:rFonts w:asciiTheme="majorHAnsi" w:hAnsiTheme="majorHAnsi" w:cstheme="majorHAnsi"/>
                <w:sz w:val="15"/>
                <w:szCs w:val="15"/>
              </w:rPr>
            </w:pPr>
            <w:r w:rsidRPr="006C1634">
              <w:rPr>
                <w:rFonts w:asciiTheme="majorHAnsi" w:hAnsiTheme="majorHAnsi" w:cstheme="majorHAnsi"/>
                <w:sz w:val="15"/>
                <w:szCs w:val="15"/>
              </w:rPr>
              <w:t>2</w:t>
            </w:r>
          </w:p>
        </w:tc>
        <w:tc>
          <w:tcPr>
            <w:tcW w:w="0" w:type="auto"/>
          </w:tcPr>
          <w:p w14:paraId="376F6FA8"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insufficient control</w:t>
            </w:r>
          </w:p>
        </w:tc>
      </w:tr>
      <w:tr w:rsidR="00A434EF" w:rsidRPr="006C1634" w14:paraId="4D5D45DB" w14:textId="77777777" w:rsidTr="00123786">
        <w:trPr>
          <w:trHeight w:val="180"/>
        </w:trPr>
        <w:tc>
          <w:tcPr>
            <w:tcW w:w="0" w:type="auto"/>
          </w:tcPr>
          <w:p w14:paraId="38341E9E"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Acitretin 25mg/d</w:t>
            </w:r>
          </w:p>
        </w:tc>
        <w:tc>
          <w:tcPr>
            <w:tcW w:w="0" w:type="auto"/>
          </w:tcPr>
          <w:p w14:paraId="428762E6" w14:textId="77777777" w:rsidR="00A434EF" w:rsidRPr="006C1634" w:rsidRDefault="00A434EF" w:rsidP="00123786">
            <w:pPr>
              <w:pStyle w:val="TableParagraph"/>
              <w:ind w:left="0" w:right="366"/>
              <w:jc w:val="right"/>
              <w:rPr>
                <w:rFonts w:asciiTheme="majorHAnsi" w:hAnsiTheme="majorHAnsi" w:cstheme="majorHAnsi"/>
                <w:sz w:val="15"/>
                <w:szCs w:val="15"/>
              </w:rPr>
            </w:pPr>
            <w:r w:rsidRPr="006C1634">
              <w:rPr>
                <w:rFonts w:asciiTheme="majorHAnsi" w:hAnsiTheme="majorHAnsi" w:cstheme="majorHAnsi"/>
                <w:sz w:val="15"/>
                <w:szCs w:val="15"/>
              </w:rPr>
              <w:t>6</w:t>
            </w:r>
          </w:p>
        </w:tc>
        <w:tc>
          <w:tcPr>
            <w:tcW w:w="0" w:type="auto"/>
          </w:tcPr>
          <w:p w14:paraId="5EE9E0AD"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insufficient control</w:t>
            </w:r>
          </w:p>
        </w:tc>
      </w:tr>
      <w:tr w:rsidR="00A434EF" w:rsidRPr="006C1634" w14:paraId="374FADE3" w14:textId="77777777" w:rsidTr="00123786">
        <w:trPr>
          <w:trHeight w:val="180"/>
        </w:trPr>
        <w:tc>
          <w:tcPr>
            <w:tcW w:w="0" w:type="auto"/>
          </w:tcPr>
          <w:p w14:paraId="0E4DC9D0" w14:textId="77777777" w:rsidR="00A434EF" w:rsidRPr="006C1634" w:rsidRDefault="00A434EF" w:rsidP="00123786">
            <w:pPr>
              <w:pStyle w:val="TableParagraph"/>
              <w:rPr>
                <w:rFonts w:asciiTheme="majorHAnsi" w:hAnsiTheme="majorHAnsi" w:cstheme="majorHAnsi"/>
                <w:sz w:val="15"/>
                <w:szCs w:val="15"/>
              </w:rPr>
            </w:pPr>
            <w:proofErr w:type="spellStart"/>
            <w:r w:rsidRPr="006C1634">
              <w:rPr>
                <w:rFonts w:asciiTheme="majorHAnsi" w:hAnsiTheme="majorHAnsi" w:cstheme="majorHAnsi"/>
                <w:sz w:val="15"/>
                <w:szCs w:val="15"/>
              </w:rPr>
              <w:t>Secukinumab</w:t>
            </w:r>
            <w:proofErr w:type="spellEnd"/>
            <w:r w:rsidRPr="006C1634">
              <w:rPr>
                <w:rFonts w:asciiTheme="majorHAnsi" w:hAnsiTheme="majorHAnsi" w:cstheme="majorHAnsi"/>
                <w:sz w:val="15"/>
                <w:szCs w:val="15"/>
              </w:rPr>
              <w:t>, 300mg week 0, 1, 2, 3, 4</w:t>
            </w:r>
          </w:p>
        </w:tc>
        <w:tc>
          <w:tcPr>
            <w:tcW w:w="0" w:type="auto"/>
          </w:tcPr>
          <w:p w14:paraId="5943EF93" w14:textId="77777777" w:rsidR="00A434EF" w:rsidRPr="006C1634" w:rsidRDefault="00A434EF" w:rsidP="00123786">
            <w:pPr>
              <w:pStyle w:val="TableParagraph"/>
              <w:ind w:left="0" w:right="366"/>
              <w:jc w:val="right"/>
              <w:rPr>
                <w:rFonts w:asciiTheme="majorHAnsi" w:hAnsiTheme="majorHAnsi" w:cstheme="majorHAnsi"/>
                <w:sz w:val="15"/>
                <w:szCs w:val="15"/>
              </w:rPr>
            </w:pPr>
            <w:r w:rsidRPr="006C1634">
              <w:rPr>
                <w:rFonts w:asciiTheme="majorHAnsi" w:hAnsiTheme="majorHAnsi" w:cstheme="majorHAnsi"/>
                <w:sz w:val="15"/>
                <w:szCs w:val="15"/>
              </w:rPr>
              <w:t>1</w:t>
            </w:r>
          </w:p>
        </w:tc>
        <w:tc>
          <w:tcPr>
            <w:tcW w:w="0" w:type="auto"/>
          </w:tcPr>
          <w:p w14:paraId="1E4AD164"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insufficient control</w:t>
            </w:r>
          </w:p>
        </w:tc>
      </w:tr>
      <w:tr w:rsidR="00A434EF" w:rsidRPr="006C1634" w14:paraId="086A0503" w14:textId="77777777" w:rsidTr="00123786">
        <w:trPr>
          <w:trHeight w:val="180"/>
        </w:trPr>
        <w:tc>
          <w:tcPr>
            <w:tcW w:w="0" w:type="auto"/>
          </w:tcPr>
          <w:p w14:paraId="06CEBF06" w14:textId="348E91B3"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Risanki</w:t>
            </w:r>
            <w:r w:rsidR="007279A5">
              <w:rPr>
                <w:rFonts w:asciiTheme="majorHAnsi" w:hAnsiTheme="majorHAnsi" w:cstheme="majorHAnsi"/>
                <w:sz w:val="15"/>
                <w:szCs w:val="15"/>
              </w:rPr>
              <w:t>z</w:t>
            </w:r>
            <w:r w:rsidRPr="006C1634">
              <w:rPr>
                <w:rFonts w:asciiTheme="majorHAnsi" w:hAnsiTheme="majorHAnsi" w:cstheme="majorHAnsi"/>
                <w:sz w:val="15"/>
                <w:szCs w:val="15"/>
              </w:rPr>
              <w:t>umab 150mg</w:t>
            </w:r>
          </w:p>
        </w:tc>
        <w:tc>
          <w:tcPr>
            <w:tcW w:w="0" w:type="auto"/>
          </w:tcPr>
          <w:p w14:paraId="44830FB0" w14:textId="77777777" w:rsidR="00A434EF" w:rsidRPr="006C1634" w:rsidRDefault="00A434EF" w:rsidP="00123786">
            <w:pPr>
              <w:pStyle w:val="TableParagraph"/>
              <w:ind w:left="0" w:right="248"/>
              <w:jc w:val="right"/>
              <w:rPr>
                <w:rFonts w:asciiTheme="majorHAnsi" w:hAnsiTheme="majorHAnsi" w:cstheme="majorHAnsi"/>
                <w:sz w:val="15"/>
                <w:szCs w:val="15"/>
              </w:rPr>
            </w:pPr>
            <w:r w:rsidRPr="006C1634">
              <w:rPr>
                <w:rFonts w:asciiTheme="majorHAnsi" w:hAnsiTheme="majorHAnsi" w:cstheme="majorHAnsi"/>
                <w:sz w:val="15"/>
                <w:szCs w:val="15"/>
              </w:rPr>
              <w:t>once</w:t>
            </w:r>
          </w:p>
        </w:tc>
        <w:tc>
          <w:tcPr>
            <w:tcW w:w="0" w:type="auto"/>
          </w:tcPr>
          <w:p w14:paraId="72FDA9DA"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insufficient control</w:t>
            </w:r>
          </w:p>
        </w:tc>
      </w:tr>
      <w:tr w:rsidR="00A434EF" w:rsidRPr="00931D78" w14:paraId="0F112C2A" w14:textId="77777777" w:rsidTr="00123786">
        <w:trPr>
          <w:trHeight w:val="180"/>
        </w:trPr>
        <w:tc>
          <w:tcPr>
            <w:tcW w:w="0" w:type="auto"/>
          </w:tcPr>
          <w:p w14:paraId="664EFE75"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Anakinra 100mg/d for 6 weeks, 200mg/d for 6 weeks</w:t>
            </w:r>
          </w:p>
        </w:tc>
        <w:tc>
          <w:tcPr>
            <w:tcW w:w="0" w:type="auto"/>
          </w:tcPr>
          <w:p w14:paraId="7F84BB72" w14:textId="77777777" w:rsidR="00A434EF" w:rsidRPr="006C1634" w:rsidRDefault="00A434EF" w:rsidP="00123786">
            <w:pPr>
              <w:pStyle w:val="TableParagraph"/>
              <w:ind w:left="0" w:right="366"/>
              <w:jc w:val="right"/>
              <w:rPr>
                <w:rFonts w:asciiTheme="majorHAnsi" w:hAnsiTheme="majorHAnsi" w:cstheme="majorHAnsi"/>
                <w:sz w:val="15"/>
                <w:szCs w:val="15"/>
              </w:rPr>
            </w:pPr>
            <w:r w:rsidRPr="006C1634">
              <w:rPr>
                <w:rFonts w:asciiTheme="majorHAnsi" w:hAnsiTheme="majorHAnsi" w:cstheme="majorHAnsi"/>
                <w:sz w:val="15"/>
                <w:szCs w:val="15"/>
              </w:rPr>
              <w:t>3</w:t>
            </w:r>
          </w:p>
        </w:tc>
        <w:tc>
          <w:tcPr>
            <w:tcW w:w="0" w:type="auto"/>
          </w:tcPr>
          <w:p w14:paraId="221808AA"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PASI 75, with subsequently PASI 100, persisting complete response</w:t>
            </w:r>
          </w:p>
        </w:tc>
      </w:tr>
      <w:tr w:rsidR="00A434EF" w:rsidRPr="006C1634" w14:paraId="1E933799" w14:textId="77777777" w:rsidTr="00123786">
        <w:trPr>
          <w:trHeight w:val="386"/>
        </w:trPr>
        <w:tc>
          <w:tcPr>
            <w:tcW w:w="0" w:type="auto"/>
            <w:shd w:val="clear" w:color="auto" w:fill="D9D9D9"/>
          </w:tcPr>
          <w:p w14:paraId="20D808E6" w14:textId="77777777" w:rsidR="00A434EF" w:rsidRPr="000E4817" w:rsidRDefault="00A434EF" w:rsidP="00123786">
            <w:pPr>
              <w:pStyle w:val="TableParagraph"/>
              <w:rPr>
                <w:rFonts w:asciiTheme="majorHAnsi" w:hAnsiTheme="majorHAnsi" w:cstheme="majorHAnsi"/>
                <w:b/>
                <w:bCs/>
                <w:sz w:val="15"/>
                <w:szCs w:val="15"/>
              </w:rPr>
            </w:pPr>
            <w:r w:rsidRPr="000E4817">
              <w:rPr>
                <w:rFonts w:asciiTheme="majorHAnsi" w:hAnsiTheme="majorHAnsi" w:cstheme="majorHAnsi"/>
                <w:b/>
                <w:bCs/>
                <w:sz w:val="15"/>
                <w:szCs w:val="15"/>
              </w:rPr>
              <w:t>Patient 3</w:t>
            </w:r>
          </w:p>
        </w:tc>
        <w:tc>
          <w:tcPr>
            <w:tcW w:w="0" w:type="auto"/>
          </w:tcPr>
          <w:p w14:paraId="1ADA1787" w14:textId="77777777" w:rsidR="00A434EF" w:rsidRPr="006C1634" w:rsidRDefault="00A434EF" w:rsidP="00123786">
            <w:pPr>
              <w:pStyle w:val="TableParagraph"/>
              <w:spacing w:line="240" w:lineRule="auto"/>
              <w:ind w:left="0"/>
              <w:rPr>
                <w:rFonts w:asciiTheme="majorHAnsi" w:hAnsiTheme="majorHAnsi" w:cstheme="majorHAnsi"/>
                <w:sz w:val="15"/>
                <w:szCs w:val="15"/>
              </w:rPr>
            </w:pPr>
          </w:p>
        </w:tc>
        <w:tc>
          <w:tcPr>
            <w:tcW w:w="0" w:type="auto"/>
          </w:tcPr>
          <w:p w14:paraId="3BC563D2" w14:textId="77777777" w:rsidR="00A434EF" w:rsidRPr="006C1634" w:rsidRDefault="00A434EF" w:rsidP="00123786">
            <w:pPr>
              <w:pStyle w:val="TableParagraph"/>
              <w:spacing w:line="240" w:lineRule="auto"/>
              <w:ind w:left="0"/>
              <w:rPr>
                <w:rFonts w:asciiTheme="majorHAnsi" w:hAnsiTheme="majorHAnsi" w:cstheme="majorHAnsi"/>
                <w:sz w:val="15"/>
                <w:szCs w:val="15"/>
              </w:rPr>
            </w:pPr>
          </w:p>
        </w:tc>
      </w:tr>
      <w:tr w:rsidR="00A434EF" w:rsidRPr="006C1634" w14:paraId="169A6D72" w14:textId="77777777" w:rsidTr="00123786">
        <w:trPr>
          <w:trHeight w:val="180"/>
        </w:trPr>
        <w:tc>
          <w:tcPr>
            <w:tcW w:w="0" w:type="auto"/>
          </w:tcPr>
          <w:p w14:paraId="10C8A6ED"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Systemic Steroids</w:t>
            </w:r>
          </w:p>
        </w:tc>
        <w:tc>
          <w:tcPr>
            <w:tcW w:w="0" w:type="auto"/>
          </w:tcPr>
          <w:p w14:paraId="7CB88A5E" w14:textId="77777777" w:rsidR="00A434EF" w:rsidRPr="006C1634" w:rsidRDefault="00A434EF" w:rsidP="00123786">
            <w:pPr>
              <w:pStyle w:val="TableParagraph"/>
              <w:ind w:left="0" w:right="307"/>
              <w:jc w:val="right"/>
              <w:rPr>
                <w:rFonts w:asciiTheme="majorHAnsi" w:hAnsiTheme="majorHAnsi" w:cstheme="majorHAnsi"/>
                <w:sz w:val="15"/>
                <w:szCs w:val="15"/>
              </w:rPr>
            </w:pPr>
            <w:r w:rsidRPr="006C1634">
              <w:rPr>
                <w:rFonts w:asciiTheme="majorHAnsi" w:hAnsiTheme="majorHAnsi" w:cstheme="majorHAnsi"/>
                <w:sz w:val="15"/>
                <w:szCs w:val="15"/>
              </w:rPr>
              <w:t>0.3</w:t>
            </w:r>
          </w:p>
        </w:tc>
        <w:tc>
          <w:tcPr>
            <w:tcW w:w="0" w:type="auto"/>
          </w:tcPr>
          <w:p w14:paraId="4EA121CC"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insufficient control</w:t>
            </w:r>
          </w:p>
        </w:tc>
      </w:tr>
      <w:tr w:rsidR="00A434EF" w:rsidRPr="006C1634" w14:paraId="22303C3A" w14:textId="77777777" w:rsidTr="00123786">
        <w:trPr>
          <w:trHeight w:val="180"/>
        </w:trPr>
        <w:tc>
          <w:tcPr>
            <w:tcW w:w="0" w:type="auto"/>
          </w:tcPr>
          <w:p w14:paraId="3D657C31" w14:textId="78696CDA" w:rsidR="00A434EF" w:rsidRPr="006C1634" w:rsidRDefault="00A434EF" w:rsidP="00123786">
            <w:pPr>
              <w:pStyle w:val="TableParagraph"/>
              <w:rPr>
                <w:rFonts w:asciiTheme="majorHAnsi" w:hAnsiTheme="majorHAnsi" w:cstheme="majorHAnsi"/>
                <w:sz w:val="15"/>
                <w:szCs w:val="15"/>
              </w:rPr>
            </w:pPr>
            <w:proofErr w:type="spellStart"/>
            <w:r w:rsidRPr="006C1634">
              <w:rPr>
                <w:rFonts w:asciiTheme="majorHAnsi" w:hAnsiTheme="majorHAnsi" w:cstheme="majorHAnsi"/>
                <w:sz w:val="15"/>
                <w:szCs w:val="15"/>
              </w:rPr>
              <w:t>Secukin</w:t>
            </w:r>
            <w:r w:rsidR="007279A5">
              <w:rPr>
                <w:rFonts w:asciiTheme="majorHAnsi" w:hAnsiTheme="majorHAnsi" w:cstheme="majorHAnsi"/>
                <w:sz w:val="15"/>
                <w:szCs w:val="15"/>
              </w:rPr>
              <w:t>u</w:t>
            </w:r>
            <w:r w:rsidRPr="006C1634">
              <w:rPr>
                <w:rFonts w:asciiTheme="majorHAnsi" w:hAnsiTheme="majorHAnsi" w:cstheme="majorHAnsi"/>
                <w:sz w:val="15"/>
                <w:szCs w:val="15"/>
              </w:rPr>
              <w:t>mab</w:t>
            </w:r>
            <w:proofErr w:type="spellEnd"/>
            <w:r w:rsidRPr="006C1634">
              <w:rPr>
                <w:rFonts w:asciiTheme="majorHAnsi" w:hAnsiTheme="majorHAnsi" w:cstheme="majorHAnsi"/>
                <w:sz w:val="15"/>
                <w:szCs w:val="15"/>
              </w:rPr>
              <w:t>, 300mg week 0, 1, 2, 3, 4</w:t>
            </w:r>
          </w:p>
        </w:tc>
        <w:tc>
          <w:tcPr>
            <w:tcW w:w="0" w:type="auto"/>
          </w:tcPr>
          <w:p w14:paraId="795A2C1A" w14:textId="77777777" w:rsidR="00A434EF" w:rsidRPr="006C1634" w:rsidRDefault="00A434EF" w:rsidP="00123786">
            <w:pPr>
              <w:pStyle w:val="TableParagraph"/>
              <w:ind w:left="0" w:right="366"/>
              <w:jc w:val="right"/>
              <w:rPr>
                <w:rFonts w:asciiTheme="majorHAnsi" w:hAnsiTheme="majorHAnsi" w:cstheme="majorHAnsi"/>
                <w:sz w:val="15"/>
                <w:szCs w:val="15"/>
              </w:rPr>
            </w:pPr>
            <w:r w:rsidRPr="006C1634">
              <w:rPr>
                <w:rFonts w:asciiTheme="majorHAnsi" w:hAnsiTheme="majorHAnsi" w:cstheme="majorHAnsi"/>
                <w:sz w:val="15"/>
                <w:szCs w:val="15"/>
              </w:rPr>
              <w:t>5</w:t>
            </w:r>
          </w:p>
        </w:tc>
        <w:tc>
          <w:tcPr>
            <w:tcW w:w="0" w:type="auto"/>
          </w:tcPr>
          <w:p w14:paraId="135AEC84"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worsening of PRP</w:t>
            </w:r>
          </w:p>
        </w:tc>
      </w:tr>
      <w:tr w:rsidR="00A434EF" w:rsidRPr="006C1634" w14:paraId="0CF4A91F" w14:textId="77777777" w:rsidTr="00123786">
        <w:trPr>
          <w:trHeight w:val="180"/>
        </w:trPr>
        <w:tc>
          <w:tcPr>
            <w:tcW w:w="0" w:type="auto"/>
          </w:tcPr>
          <w:p w14:paraId="2F83405B"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Anakinra 100mg/d for 6 weeks, 200mg/d for 6 weeks</w:t>
            </w:r>
          </w:p>
        </w:tc>
        <w:tc>
          <w:tcPr>
            <w:tcW w:w="0" w:type="auto"/>
          </w:tcPr>
          <w:p w14:paraId="5948C13E" w14:textId="77777777" w:rsidR="00A434EF" w:rsidRPr="006C1634" w:rsidRDefault="00A434EF" w:rsidP="00123786">
            <w:pPr>
              <w:pStyle w:val="TableParagraph"/>
              <w:ind w:left="0" w:right="366"/>
              <w:jc w:val="right"/>
              <w:rPr>
                <w:rFonts w:asciiTheme="majorHAnsi" w:hAnsiTheme="majorHAnsi" w:cstheme="majorHAnsi"/>
                <w:sz w:val="15"/>
                <w:szCs w:val="15"/>
              </w:rPr>
            </w:pPr>
            <w:r w:rsidRPr="006C1634">
              <w:rPr>
                <w:rFonts w:asciiTheme="majorHAnsi" w:hAnsiTheme="majorHAnsi" w:cstheme="majorHAnsi"/>
                <w:sz w:val="15"/>
                <w:szCs w:val="15"/>
              </w:rPr>
              <w:t>3</w:t>
            </w:r>
          </w:p>
        </w:tc>
        <w:tc>
          <w:tcPr>
            <w:tcW w:w="0" w:type="auto"/>
          </w:tcPr>
          <w:p w14:paraId="572A4DB9"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PASI 75 at week 12, ongoing</w:t>
            </w:r>
          </w:p>
        </w:tc>
      </w:tr>
      <w:tr w:rsidR="00A434EF" w:rsidRPr="006C1634" w14:paraId="68E7DBDF" w14:textId="77777777" w:rsidTr="00123786">
        <w:trPr>
          <w:trHeight w:val="386"/>
        </w:trPr>
        <w:tc>
          <w:tcPr>
            <w:tcW w:w="0" w:type="auto"/>
            <w:gridSpan w:val="3"/>
            <w:shd w:val="clear" w:color="auto" w:fill="D9D9D9"/>
          </w:tcPr>
          <w:p w14:paraId="2108C7DB" w14:textId="77777777" w:rsidR="00A434EF" w:rsidRPr="000E4817" w:rsidRDefault="00A434EF" w:rsidP="00123786">
            <w:pPr>
              <w:pStyle w:val="TableParagraph"/>
              <w:spacing w:line="240" w:lineRule="auto"/>
              <w:ind w:left="0"/>
              <w:rPr>
                <w:rFonts w:asciiTheme="majorHAnsi" w:hAnsiTheme="majorHAnsi" w:cstheme="majorHAnsi"/>
                <w:b/>
                <w:bCs/>
                <w:sz w:val="15"/>
                <w:szCs w:val="15"/>
              </w:rPr>
            </w:pPr>
            <w:r w:rsidRPr="000E4817">
              <w:rPr>
                <w:rFonts w:asciiTheme="majorHAnsi" w:hAnsiTheme="majorHAnsi" w:cstheme="majorHAnsi"/>
                <w:b/>
                <w:bCs/>
                <w:sz w:val="15"/>
                <w:szCs w:val="15"/>
              </w:rPr>
              <w:t>Comorbidities</w:t>
            </w:r>
          </w:p>
        </w:tc>
      </w:tr>
      <w:tr w:rsidR="00A434EF" w:rsidRPr="006C1634" w14:paraId="7F2DB158" w14:textId="77777777" w:rsidTr="00123786">
        <w:trPr>
          <w:trHeight w:val="180"/>
        </w:trPr>
        <w:tc>
          <w:tcPr>
            <w:tcW w:w="0" w:type="auto"/>
          </w:tcPr>
          <w:p w14:paraId="21EAE683"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Patient 1</w:t>
            </w:r>
          </w:p>
        </w:tc>
        <w:tc>
          <w:tcPr>
            <w:tcW w:w="0" w:type="auto"/>
          </w:tcPr>
          <w:p w14:paraId="4B99E3AA" w14:textId="77777777" w:rsidR="00A434EF" w:rsidRPr="006C1634" w:rsidRDefault="00A434EF" w:rsidP="00123786">
            <w:pPr>
              <w:pStyle w:val="TableParagraph"/>
              <w:spacing w:line="240" w:lineRule="auto"/>
              <w:ind w:left="0"/>
              <w:rPr>
                <w:rFonts w:asciiTheme="majorHAnsi" w:hAnsiTheme="majorHAnsi" w:cstheme="majorHAnsi"/>
                <w:sz w:val="15"/>
                <w:szCs w:val="15"/>
              </w:rPr>
            </w:pPr>
          </w:p>
        </w:tc>
        <w:tc>
          <w:tcPr>
            <w:tcW w:w="0" w:type="auto"/>
          </w:tcPr>
          <w:p w14:paraId="69BFD3D0"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arterial hypertension, type 2 diabetes, epilepsy, sleep apnea, hip arthropathy</w:t>
            </w:r>
          </w:p>
        </w:tc>
      </w:tr>
      <w:tr w:rsidR="00A434EF" w:rsidRPr="00931D78" w14:paraId="72D3064A" w14:textId="77777777" w:rsidTr="00123786">
        <w:trPr>
          <w:trHeight w:val="200"/>
        </w:trPr>
        <w:tc>
          <w:tcPr>
            <w:tcW w:w="0" w:type="auto"/>
          </w:tcPr>
          <w:p w14:paraId="16F9748F" w14:textId="77777777" w:rsidR="00A434EF" w:rsidRPr="006C1634" w:rsidRDefault="00A434EF" w:rsidP="00123786">
            <w:pPr>
              <w:pStyle w:val="TableParagraph"/>
              <w:spacing w:before="10" w:line="170" w:lineRule="exact"/>
              <w:rPr>
                <w:rFonts w:asciiTheme="majorHAnsi" w:hAnsiTheme="majorHAnsi" w:cstheme="majorHAnsi"/>
                <w:sz w:val="15"/>
                <w:szCs w:val="15"/>
              </w:rPr>
            </w:pPr>
            <w:r w:rsidRPr="006C1634">
              <w:rPr>
                <w:rFonts w:asciiTheme="majorHAnsi" w:hAnsiTheme="majorHAnsi" w:cstheme="majorHAnsi"/>
                <w:sz w:val="15"/>
                <w:szCs w:val="15"/>
              </w:rPr>
              <w:t>Patient 2</w:t>
            </w:r>
          </w:p>
        </w:tc>
        <w:tc>
          <w:tcPr>
            <w:tcW w:w="0" w:type="auto"/>
          </w:tcPr>
          <w:p w14:paraId="7AF94187" w14:textId="77777777" w:rsidR="00A434EF" w:rsidRPr="006C1634" w:rsidRDefault="00A434EF" w:rsidP="00123786">
            <w:pPr>
              <w:pStyle w:val="TableParagraph"/>
              <w:spacing w:line="240" w:lineRule="auto"/>
              <w:ind w:left="0"/>
              <w:rPr>
                <w:rFonts w:asciiTheme="majorHAnsi" w:hAnsiTheme="majorHAnsi" w:cstheme="majorHAnsi"/>
                <w:sz w:val="15"/>
                <w:szCs w:val="15"/>
              </w:rPr>
            </w:pPr>
          </w:p>
        </w:tc>
        <w:tc>
          <w:tcPr>
            <w:tcW w:w="0" w:type="auto"/>
          </w:tcPr>
          <w:p w14:paraId="4753BEFF" w14:textId="77777777" w:rsidR="00A434EF" w:rsidRPr="006C1634" w:rsidRDefault="00A434EF" w:rsidP="00123786">
            <w:pPr>
              <w:pStyle w:val="TableParagraph"/>
              <w:spacing w:before="10" w:line="170" w:lineRule="exact"/>
              <w:rPr>
                <w:rFonts w:asciiTheme="majorHAnsi" w:hAnsiTheme="majorHAnsi" w:cstheme="majorHAnsi"/>
                <w:sz w:val="15"/>
                <w:szCs w:val="15"/>
              </w:rPr>
            </w:pPr>
            <w:r w:rsidRPr="006C1634">
              <w:rPr>
                <w:rFonts w:asciiTheme="majorHAnsi" w:hAnsiTheme="majorHAnsi" w:cstheme="majorHAnsi"/>
                <w:sz w:val="15"/>
                <w:szCs w:val="15"/>
              </w:rPr>
              <w:t xml:space="preserve">arterial hypertension, early repolarization syndrome, </w:t>
            </w:r>
            <w:proofErr w:type="spellStart"/>
            <w:r w:rsidRPr="006C1634">
              <w:rPr>
                <w:rFonts w:asciiTheme="majorHAnsi" w:hAnsiTheme="majorHAnsi" w:cstheme="majorHAnsi"/>
                <w:sz w:val="15"/>
                <w:szCs w:val="15"/>
              </w:rPr>
              <w:t>St.p</w:t>
            </w:r>
            <w:proofErr w:type="spellEnd"/>
            <w:r w:rsidRPr="006C1634">
              <w:rPr>
                <w:rFonts w:asciiTheme="majorHAnsi" w:hAnsiTheme="majorHAnsi" w:cstheme="majorHAnsi"/>
                <w:sz w:val="15"/>
                <w:szCs w:val="15"/>
              </w:rPr>
              <w:t>. Hepatitis B (prior 40 years)</w:t>
            </w:r>
          </w:p>
        </w:tc>
      </w:tr>
      <w:tr w:rsidR="00A434EF" w:rsidRPr="006C1634" w14:paraId="0DCBDA88" w14:textId="77777777" w:rsidTr="00123786">
        <w:trPr>
          <w:trHeight w:val="200"/>
        </w:trPr>
        <w:tc>
          <w:tcPr>
            <w:tcW w:w="0" w:type="auto"/>
          </w:tcPr>
          <w:p w14:paraId="24A533EE" w14:textId="77777777" w:rsidR="00A434EF" w:rsidRPr="006C1634" w:rsidRDefault="00A434EF" w:rsidP="00123786">
            <w:pPr>
              <w:pStyle w:val="TableParagraph"/>
              <w:spacing w:before="10" w:line="170" w:lineRule="exact"/>
              <w:rPr>
                <w:rFonts w:asciiTheme="majorHAnsi" w:hAnsiTheme="majorHAnsi" w:cstheme="majorHAnsi"/>
                <w:sz w:val="15"/>
                <w:szCs w:val="15"/>
              </w:rPr>
            </w:pPr>
            <w:r w:rsidRPr="006C1634">
              <w:rPr>
                <w:rFonts w:asciiTheme="majorHAnsi" w:hAnsiTheme="majorHAnsi" w:cstheme="majorHAnsi"/>
                <w:sz w:val="15"/>
                <w:szCs w:val="15"/>
              </w:rPr>
              <w:t>Patient 3</w:t>
            </w:r>
          </w:p>
        </w:tc>
        <w:tc>
          <w:tcPr>
            <w:tcW w:w="0" w:type="auto"/>
          </w:tcPr>
          <w:p w14:paraId="70C5EC6D" w14:textId="77777777" w:rsidR="00A434EF" w:rsidRPr="006C1634" w:rsidRDefault="00A434EF" w:rsidP="00123786">
            <w:pPr>
              <w:pStyle w:val="TableParagraph"/>
              <w:spacing w:line="240" w:lineRule="auto"/>
              <w:ind w:left="0"/>
              <w:rPr>
                <w:rFonts w:asciiTheme="majorHAnsi" w:hAnsiTheme="majorHAnsi" w:cstheme="majorHAnsi"/>
                <w:sz w:val="15"/>
                <w:szCs w:val="15"/>
              </w:rPr>
            </w:pPr>
          </w:p>
        </w:tc>
        <w:tc>
          <w:tcPr>
            <w:tcW w:w="0" w:type="auto"/>
          </w:tcPr>
          <w:p w14:paraId="740C0FED" w14:textId="77777777" w:rsidR="00A434EF" w:rsidRPr="006C1634" w:rsidRDefault="00A434EF" w:rsidP="00123786">
            <w:pPr>
              <w:pStyle w:val="TableParagraph"/>
              <w:spacing w:before="10" w:line="170" w:lineRule="exact"/>
              <w:rPr>
                <w:rFonts w:asciiTheme="majorHAnsi" w:hAnsiTheme="majorHAnsi" w:cstheme="majorHAnsi"/>
                <w:sz w:val="15"/>
                <w:szCs w:val="15"/>
              </w:rPr>
            </w:pPr>
            <w:r w:rsidRPr="006C1634">
              <w:rPr>
                <w:rFonts w:asciiTheme="majorHAnsi" w:hAnsiTheme="majorHAnsi" w:cstheme="majorHAnsi"/>
                <w:sz w:val="15"/>
                <w:szCs w:val="15"/>
              </w:rPr>
              <w:t>arterial hypertension</w:t>
            </w:r>
          </w:p>
        </w:tc>
      </w:tr>
      <w:tr w:rsidR="00A434EF" w:rsidRPr="006C1634" w14:paraId="5A649B30" w14:textId="77777777" w:rsidTr="00123786">
        <w:trPr>
          <w:trHeight w:val="386"/>
        </w:trPr>
        <w:tc>
          <w:tcPr>
            <w:tcW w:w="0" w:type="auto"/>
            <w:gridSpan w:val="3"/>
            <w:shd w:val="clear" w:color="auto" w:fill="D9D9D9"/>
          </w:tcPr>
          <w:p w14:paraId="608B4861" w14:textId="77777777" w:rsidR="00A434EF" w:rsidRPr="000E4817" w:rsidRDefault="00A434EF" w:rsidP="00123786">
            <w:pPr>
              <w:pStyle w:val="TableParagraph"/>
              <w:spacing w:line="240" w:lineRule="auto"/>
              <w:ind w:left="0"/>
              <w:rPr>
                <w:rFonts w:asciiTheme="majorHAnsi" w:hAnsiTheme="majorHAnsi" w:cstheme="majorHAnsi"/>
                <w:b/>
                <w:bCs/>
                <w:sz w:val="15"/>
                <w:szCs w:val="15"/>
              </w:rPr>
            </w:pPr>
            <w:proofErr w:type="spellStart"/>
            <w:r w:rsidRPr="000E4817">
              <w:rPr>
                <w:rFonts w:asciiTheme="majorHAnsi" w:hAnsiTheme="majorHAnsi" w:cstheme="majorHAnsi"/>
                <w:b/>
                <w:bCs/>
                <w:sz w:val="15"/>
                <w:szCs w:val="15"/>
              </w:rPr>
              <w:t>Concomittant</w:t>
            </w:r>
            <w:proofErr w:type="spellEnd"/>
            <w:r w:rsidRPr="000E4817">
              <w:rPr>
                <w:rFonts w:asciiTheme="majorHAnsi" w:hAnsiTheme="majorHAnsi" w:cstheme="majorHAnsi"/>
                <w:b/>
                <w:bCs/>
                <w:sz w:val="15"/>
                <w:szCs w:val="15"/>
              </w:rPr>
              <w:t xml:space="preserve"> medication</w:t>
            </w:r>
          </w:p>
        </w:tc>
      </w:tr>
      <w:tr w:rsidR="00A434EF" w:rsidRPr="00931D78" w14:paraId="6FD1D04B" w14:textId="77777777" w:rsidTr="00123786">
        <w:trPr>
          <w:trHeight w:val="640"/>
        </w:trPr>
        <w:tc>
          <w:tcPr>
            <w:tcW w:w="0" w:type="auto"/>
          </w:tcPr>
          <w:p w14:paraId="60A25421" w14:textId="77777777" w:rsidR="00A434EF" w:rsidRPr="006C1634" w:rsidRDefault="00A434EF" w:rsidP="00123786">
            <w:pPr>
              <w:pStyle w:val="TableParagraph"/>
              <w:spacing w:line="240" w:lineRule="auto"/>
              <w:ind w:left="0"/>
              <w:rPr>
                <w:rFonts w:asciiTheme="majorHAnsi" w:hAnsiTheme="majorHAnsi" w:cstheme="majorHAnsi"/>
                <w:sz w:val="15"/>
                <w:szCs w:val="15"/>
              </w:rPr>
            </w:pPr>
          </w:p>
          <w:p w14:paraId="4E827212" w14:textId="77777777" w:rsidR="00A434EF" w:rsidRPr="006C1634" w:rsidRDefault="00A434EF" w:rsidP="00123786">
            <w:pPr>
              <w:pStyle w:val="TableParagraph"/>
              <w:spacing w:before="1" w:line="240" w:lineRule="auto"/>
              <w:ind w:left="0"/>
              <w:rPr>
                <w:rFonts w:asciiTheme="majorHAnsi" w:hAnsiTheme="majorHAnsi" w:cstheme="majorHAnsi"/>
                <w:sz w:val="15"/>
                <w:szCs w:val="15"/>
              </w:rPr>
            </w:pPr>
          </w:p>
          <w:p w14:paraId="7D5EEE95" w14:textId="77777777" w:rsidR="00A434EF" w:rsidRPr="006C1634" w:rsidRDefault="00A434EF" w:rsidP="00123786">
            <w:pPr>
              <w:pStyle w:val="TableParagraph"/>
              <w:spacing w:line="170" w:lineRule="exact"/>
              <w:rPr>
                <w:rFonts w:asciiTheme="majorHAnsi" w:hAnsiTheme="majorHAnsi" w:cstheme="majorHAnsi"/>
                <w:sz w:val="15"/>
                <w:szCs w:val="15"/>
              </w:rPr>
            </w:pPr>
            <w:r w:rsidRPr="006C1634">
              <w:rPr>
                <w:rFonts w:asciiTheme="majorHAnsi" w:hAnsiTheme="majorHAnsi" w:cstheme="majorHAnsi"/>
                <w:sz w:val="15"/>
                <w:szCs w:val="15"/>
              </w:rPr>
              <w:t>Patient 1</w:t>
            </w:r>
          </w:p>
        </w:tc>
        <w:tc>
          <w:tcPr>
            <w:tcW w:w="0" w:type="auto"/>
          </w:tcPr>
          <w:p w14:paraId="3DF3C65C" w14:textId="77777777" w:rsidR="00A434EF" w:rsidRPr="006C1634" w:rsidRDefault="00A434EF" w:rsidP="00123786">
            <w:pPr>
              <w:pStyle w:val="TableParagraph"/>
              <w:spacing w:line="240" w:lineRule="auto"/>
              <w:ind w:left="0"/>
              <w:rPr>
                <w:rFonts w:asciiTheme="majorHAnsi" w:hAnsiTheme="majorHAnsi" w:cstheme="majorHAnsi"/>
                <w:sz w:val="15"/>
                <w:szCs w:val="15"/>
              </w:rPr>
            </w:pPr>
          </w:p>
        </w:tc>
        <w:tc>
          <w:tcPr>
            <w:tcW w:w="0" w:type="auto"/>
          </w:tcPr>
          <w:p w14:paraId="4C0D978E" w14:textId="77777777" w:rsidR="00A434EF" w:rsidRPr="006C1634" w:rsidRDefault="00A434EF" w:rsidP="00123786">
            <w:pPr>
              <w:pStyle w:val="TableParagraph"/>
              <w:spacing w:before="10" w:line="288" w:lineRule="auto"/>
              <w:ind w:right="115"/>
              <w:rPr>
                <w:rFonts w:asciiTheme="majorHAnsi" w:hAnsiTheme="majorHAnsi" w:cstheme="majorHAnsi"/>
                <w:sz w:val="15"/>
                <w:szCs w:val="15"/>
              </w:rPr>
            </w:pPr>
            <w:r w:rsidRPr="006C1634">
              <w:rPr>
                <w:rFonts w:asciiTheme="majorHAnsi" w:hAnsiTheme="majorHAnsi" w:cstheme="majorHAnsi"/>
                <w:sz w:val="15"/>
                <w:szCs w:val="15"/>
              </w:rPr>
              <w:t>amlodipine / hydrochlorothiazide / valsartan 5mg/25mg/160mg/d, bisoprolol 5mg/d, valproic acid 500mg three times daily, acetylsalicylic acid 100mg/d, atorvastatin 40mg/d, pantoprazole 40mg/d, metformin / empagliflozin 1000/5mg</w:t>
            </w:r>
          </w:p>
          <w:p w14:paraId="407BFE26" w14:textId="77777777" w:rsidR="00A434EF" w:rsidRPr="006C1634" w:rsidRDefault="00A434EF" w:rsidP="00123786">
            <w:pPr>
              <w:pStyle w:val="TableParagraph"/>
              <w:spacing w:line="169" w:lineRule="exact"/>
              <w:rPr>
                <w:rFonts w:asciiTheme="majorHAnsi" w:hAnsiTheme="majorHAnsi" w:cstheme="majorHAnsi"/>
                <w:sz w:val="15"/>
                <w:szCs w:val="15"/>
              </w:rPr>
            </w:pPr>
            <w:r w:rsidRPr="006C1634">
              <w:rPr>
                <w:rFonts w:asciiTheme="majorHAnsi" w:hAnsiTheme="majorHAnsi" w:cstheme="majorHAnsi"/>
                <w:sz w:val="15"/>
                <w:szCs w:val="15"/>
              </w:rPr>
              <w:t xml:space="preserve">twice daily, insulin </w:t>
            </w:r>
            <w:proofErr w:type="spellStart"/>
            <w:r w:rsidRPr="006C1634">
              <w:rPr>
                <w:rFonts w:asciiTheme="majorHAnsi" w:hAnsiTheme="majorHAnsi" w:cstheme="majorHAnsi"/>
                <w:sz w:val="15"/>
                <w:szCs w:val="15"/>
              </w:rPr>
              <w:t>degludec</w:t>
            </w:r>
            <w:proofErr w:type="spellEnd"/>
            <w:r w:rsidRPr="006C1634">
              <w:rPr>
                <w:rFonts w:asciiTheme="majorHAnsi" w:hAnsiTheme="majorHAnsi" w:cstheme="majorHAnsi"/>
                <w:sz w:val="15"/>
                <w:szCs w:val="15"/>
              </w:rPr>
              <w:t xml:space="preserve"> and insulin </w:t>
            </w:r>
            <w:proofErr w:type="spellStart"/>
            <w:r w:rsidRPr="006C1634">
              <w:rPr>
                <w:rFonts w:asciiTheme="majorHAnsi" w:hAnsiTheme="majorHAnsi" w:cstheme="majorHAnsi"/>
                <w:sz w:val="15"/>
                <w:szCs w:val="15"/>
              </w:rPr>
              <w:t>aspart</w:t>
            </w:r>
            <w:proofErr w:type="spellEnd"/>
            <w:r w:rsidRPr="006C1634">
              <w:rPr>
                <w:rFonts w:asciiTheme="majorHAnsi" w:hAnsiTheme="majorHAnsi" w:cstheme="majorHAnsi"/>
                <w:sz w:val="15"/>
                <w:szCs w:val="15"/>
              </w:rPr>
              <w:t xml:space="preserve"> daily, </w:t>
            </w:r>
            <w:proofErr w:type="spellStart"/>
            <w:r w:rsidRPr="006C1634">
              <w:rPr>
                <w:rFonts w:asciiTheme="majorHAnsi" w:hAnsiTheme="majorHAnsi" w:cstheme="majorHAnsi"/>
                <w:sz w:val="15"/>
                <w:szCs w:val="15"/>
              </w:rPr>
              <w:t>semaglutide</w:t>
            </w:r>
            <w:proofErr w:type="spellEnd"/>
            <w:r w:rsidRPr="006C1634">
              <w:rPr>
                <w:rFonts w:asciiTheme="majorHAnsi" w:hAnsiTheme="majorHAnsi" w:cstheme="majorHAnsi"/>
                <w:sz w:val="15"/>
                <w:szCs w:val="15"/>
              </w:rPr>
              <w:t xml:space="preserve"> 1mg once weekly</w:t>
            </w:r>
          </w:p>
        </w:tc>
      </w:tr>
      <w:tr w:rsidR="00A434EF" w:rsidRPr="006C1634" w14:paraId="5DCAB4E9" w14:textId="77777777" w:rsidTr="00123786">
        <w:trPr>
          <w:trHeight w:val="180"/>
        </w:trPr>
        <w:tc>
          <w:tcPr>
            <w:tcW w:w="0" w:type="auto"/>
          </w:tcPr>
          <w:p w14:paraId="5F30BAF1"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Patient 2</w:t>
            </w:r>
          </w:p>
        </w:tc>
        <w:tc>
          <w:tcPr>
            <w:tcW w:w="0" w:type="auto"/>
          </w:tcPr>
          <w:p w14:paraId="6B808664" w14:textId="77777777" w:rsidR="00A434EF" w:rsidRPr="006C1634" w:rsidRDefault="00A434EF" w:rsidP="00123786">
            <w:pPr>
              <w:pStyle w:val="TableParagraph"/>
              <w:spacing w:line="240" w:lineRule="auto"/>
              <w:ind w:left="0"/>
              <w:rPr>
                <w:rFonts w:asciiTheme="majorHAnsi" w:hAnsiTheme="majorHAnsi" w:cstheme="majorHAnsi"/>
                <w:sz w:val="15"/>
                <w:szCs w:val="15"/>
              </w:rPr>
            </w:pPr>
          </w:p>
        </w:tc>
        <w:tc>
          <w:tcPr>
            <w:tcW w:w="0" w:type="auto"/>
          </w:tcPr>
          <w:p w14:paraId="3CB0982C"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none</w:t>
            </w:r>
          </w:p>
        </w:tc>
      </w:tr>
      <w:tr w:rsidR="00A434EF" w:rsidRPr="006C1634" w14:paraId="7DF95B91" w14:textId="77777777" w:rsidTr="00123786">
        <w:trPr>
          <w:trHeight w:val="180"/>
        </w:trPr>
        <w:tc>
          <w:tcPr>
            <w:tcW w:w="0" w:type="auto"/>
          </w:tcPr>
          <w:p w14:paraId="448B422F"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Patient 3</w:t>
            </w:r>
          </w:p>
        </w:tc>
        <w:tc>
          <w:tcPr>
            <w:tcW w:w="0" w:type="auto"/>
          </w:tcPr>
          <w:p w14:paraId="2D76E25D" w14:textId="77777777" w:rsidR="00A434EF" w:rsidRPr="006C1634" w:rsidRDefault="00A434EF" w:rsidP="00123786">
            <w:pPr>
              <w:pStyle w:val="TableParagraph"/>
              <w:spacing w:line="240" w:lineRule="auto"/>
              <w:ind w:left="0"/>
              <w:rPr>
                <w:rFonts w:asciiTheme="majorHAnsi" w:hAnsiTheme="majorHAnsi" w:cstheme="majorHAnsi"/>
                <w:sz w:val="15"/>
                <w:szCs w:val="15"/>
              </w:rPr>
            </w:pPr>
          </w:p>
        </w:tc>
        <w:tc>
          <w:tcPr>
            <w:tcW w:w="0" w:type="auto"/>
          </w:tcPr>
          <w:p w14:paraId="44D6C2BB"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none</w:t>
            </w:r>
          </w:p>
        </w:tc>
      </w:tr>
      <w:tr w:rsidR="00A434EF" w:rsidRPr="006C1634" w14:paraId="053724DD" w14:textId="77777777" w:rsidTr="00123786">
        <w:trPr>
          <w:trHeight w:val="386"/>
        </w:trPr>
        <w:tc>
          <w:tcPr>
            <w:tcW w:w="0" w:type="auto"/>
            <w:gridSpan w:val="3"/>
            <w:shd w:val="clear" w:color="auto" w:fill="D9D9D9"/>
          </w:tcPr>
          <w:p w14:paraId="623ACF7F" w14:textId="77777777" w:rsidR="00A434EF" w:rsidRPr="006C1634" w:rsidRDefault="00A434EF" w:rsidP="00123786">
            <w:pPr>
              <w:pStyle w:val="TableParagraph"/>
              <w:spacing w:line="240" w:lineRule="auto"/>
              <w:ind w:left="0"/>
              <w:rPr>
                <w:rFonts w:asciiTheme="majorHAnsi" w:hAnsiTheme="majorHAnsi" w:cstheme="majorHAnsi"/>
                <w:sz w:val="15"/>
                <w:szCs w:val="15"/>
              </w:rPr>
            </w:pPr>
            <w:r w:rsidRPr="006C1634">
              <w:rPr>
                <w:rFonts w:asciiTheme="majorHAnsi" w:hAnsiTheme="majorHAnsi" w:cstheme="majorHAnsi"/>
                <w:sz w:val="15"/>
                <w:szCs w:val="15"/>
              </w:rPr>
              <w:t>Smoking / Alcohol</w:t>
            </w:r>
          </w:p>
        </w:tc>
      </w:tr>
      <w:tr w:rsidR="00A434EF" w:rsidRPr="00931D78" w14:paraId="152F5F08" w14:textId="77777777" w:rsidTr="00123786">
        <w:trPr>
          <w:trHeight w:val="180"/>
        </w:trPr>
        <w:tc>
          <w:tcPr>
            <w:tcW w:w="0" w:type="auto"/>
          </w:tcPr>
          <w:p w14:paraId="2F8DF114"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Patient 1</w:t>
            </w:r>
          </w:p>
        </w:tc>
        <w:tc>
          <w:tcPr>
            <w:tcW w:w="0" w:type="auto"/>
          </w:tcPr>
          <w:p w14:paraId="736647FB" w14:textId="77777777" w:rsidR="00A434EF" w:rsidRPr="006C1634" w:rsidRDefault="00A434EF" w:rsidP="00123786">
            <w:pPr>
              <w:pStyle w:val="TableParagraph"/>
              <w:spacing w:line="240" w:lineRule="auto"/>
              <w:ind w:left="0"/>
              <w:rPr>
                <w:rFonts w:asciiTheme="majorHAnsi" w:hAnsiTheme="majorHAnsi" w:cstheme="majorHAnsi"/>
                <w:sz w:val="15"/>
                <w:szCs w:val="15"/>
              </w:rPr>
            </w:pPr>
          </w:p>
        </w:tc>
        <w:tc>
          <w:tcPr>
            <w:tcW w:w="0" w:type="auto"/>
          </w:tcPr>
          <w:p w14:paraId="35E45F78" w14:textId="77777777" w:rsidR="00A434EF" w:rsidRPr="006C1634" w:rsidRDefault="00A434EF" w:rsidP="00123786">
            <w:pPr>
              <w:pStyle w:val="TableParagraph"/>
              <w:rPr>
                <w:rFonts w:asciiTheme="majorHAnsi" w:hAnsiTheme="majorHAnsi" w:cstheme="majorHAnsi"/>
                <w:sz w:val="15"/>
                <w:szCs w:val="15"/>
              </w:rPr>
            </w:pPr>
            <w:proofErr w:type="spellStart"/>
            <w:r w:rsidRPr="006C1634">
              <w:rPr>
                <w:rFonts w:asciiTheme="majorHAnsi" w:hAnsiTheme="majorHAnsi" w:cstheme="majorHAnsi"/>
                <w:sz w:val="15"/>
                <w:szCs w:val="15"/>
              </w:rPr>
              <w:t>St.p</w:t>
            </w:r>
            <w:proofErr w:type="spellEnd"/>
            <w:r w:rsidRPr="006C1634">
              <w:rPr>
                <w:rFonts w:asciiTheme="majorHAnsi" w:hAnsiTheme="majorHAnsi" w:cstheme="majorHAnsi"/>
                <w:sz w:val="15"/>
                <w:szCs w:val="15"/>
              </w:rPr>
              <w:t>. 20 years ago. No.</w:t>
            </w:r>
          </w:p>
        </w:tc>
      </w:tr>
      <w:tr w:rsidR="00A434EF" w:rsidRPr="006C1634" w14:paraId="6D3A32CA" w14:textId="77777777" w:rsidTr="00123786">
        <w:trPr>
          <w:trHeight w:val="180"/>
        </w:trPr>
        <w:tc>
          <w:tcPr>
            <w:tcW w:w="0" w:type="auto"/>
          </w:tcPr>
          <w:p w14:paraId="555D609D"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Patient 2</w:t>
            </w:r>
          </w:p>
        </w:tc>
        <w:tc>
          <w:tcPr>
            <w:tcW w:w="0" w:type="auto"/>
          </w:tcPr>
          <w:p w14:paraId="7A505567" w14:textId="77777777" w:rsidR="00A434EF" w:rsidRPr="006C1634" w:rsidRDefault="00A434EF" w:rsidP="00123786">
            <w:pPr>
              <w:pStyle w:val="TableParagraph"/>
              <w:spacing w:line="240" w:lineRule="auto"/>
              <w:ind w:left="0"/>
              <w:rPr>
                <w:rFonts w:asciiTheme="majorHAnsi" w:hAnsiTheme="majorHAnsi" w:cstheme="majorHAnsi"/>
                <w:sz w:val="15"/>
                <w:szCs w:val="15"/>
              </w:rPr>
            </w:pPr>
          </w:p>
        </w:tc>
        <w:tc>
          <w:tcPr>
            <w:tcW w:w="0" w:type="auto"/>
          </w:tcPr>
          <w:p w14:paraId="76E93F9C"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5 cigarettes/d. No.</w:t>
            </w:r>
          </w:p>
        </w:tc>
      </w:tr>
      <w:tr w:rsidR="00A434EF" w:rsidRPr="006C1634" w14:paraId="348AA268" w14:textId="77777777" w:rsidTr="00123786">
        <w:trPr>
          <w:trHeight w:val="180"/>
        </w:trPr>
        <w:tc>
          <w:tcPr>
            <w:tcW w:w="0" w:type="auto"/>
          </w:tcPr>
          <w:p w14:paraId="6CBB579B"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Patient 3</w:t>
            </w:r>
          </w:p>
        </w:tc>
        <w:tc>
          <w:tcPr>
            <w:tcW w:w="0" w:type="auto"/>
          </w:tcPr>
          <w:p w14:paraId="6A1CC89F" w14:textId="77777777" w:rsidR="00A434EF" w:rsidRPr="006C1634" w:rsidRDefault="00A434EF" w:rsidP="00123786">
            <w:pPr>
              <w:pStyle w:val="TableParagraph"/>
              <w:spacing w:line="240" w:lineRule="auto"/>
              <w:ind w:left="0"/>
              <w:rPr>
                <w:rFonts w:asciiTheme="majorHAnsi" w:hAnsiTheme="majorHAnsi" w:cstheme="majorHAnsi"/>
                <w:sz w:val="15"/>
                <w:szCs w:val="15"/>
              </w:rPr>
            </w:pPr>
          </w:p>
        </w:tc>
        <w:tc>
          <w:tcPr>
            <w:tcW w:w="0" w:type="auto"/>
          </w:tcPr>
          <w:p w14:paraId="6D496A94"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No. No.</w:t>
            </w:r>
          </w:p>
        </w:tc>
      </w:tr>
      <w:tr w:rsidR="00A434EF" w:rsidRPr="006C1634" w14:paraId="24E7B020" w14:textId="77777777" w:rsidTr="00123786">
        <w:trPr>
          <w:trHeight w:val="386"/>
        </w:trPr>
        <w:tc>
          <w:tcPr>
            <w:tcW w:w="0" w:type="auto"/>
            <w:gridSpan w:val="3"/>
            <w:shd w:val="clear" w:color="auto" w:fill="D9D9D9"/>
          </w:tcPr>
          <w:p w14:paraId="45854653" w14:textId="77777777" w:rsidR="00A434EF" w:rsidRPr="006C1634" w:rsidRDefault="00A434EF" w:rsidP="00123786">
            <w:pPr>
              <w:pStyle w:val="TableParagraph"/>
              <w:spacing w:line="240" w:lineRule="auto"/>
              <w:ind w:left="0"/>
              <w:rPr>
                <w:rFonts w:asciiTheme="majorHAnsi" w:hAnsiTheme="majorHAnsi" w:cstheme="majorHAnsi"/>
                <w:sz w:val="15"/>
                <w:szCs w:val="15"/>
              </w:rPr>
            </w:pPr>
            <w:r w:rsidRPr="006C1634">
              <w:rPr>
                <w:rFonts w:asciiTheme="majorHAnsi" w:hAnsiTheme="majorHAnsi" w:cstheme="majorHAnsi"/>
                <w:sz w:val="15"/>
                <w:szCs w:val="15"/>
              </w:rPr>
              <w:t>Weight, h</w:t>
            </w:r>
            <w:r>
              <w:rPr>
                <w:rFonts w:asciiTheme="majorHAnsi" w:hAnsiTheme="majorHAnsi" w:cstheme="majorHAnsi"/>
                <w:sz w:val="15"/>
                <w:szCs w:val="15"/>
              </w:rPr>
              <w:t>e</w:t>
            </w:r>
            <w:r w:rsidRPr="006C1634">
              <w:rPr>
                <w:rFonts w:asciiTheme="majorHAnsi" w:hAnsiTheme="majorHAnsi" w:cstheme="majorHAnsi"/>
                <w:sz w:val="15"/>
                <w:szCs w:val="15"/>
              </w:rPr>
              <w:t>ight, BMI</w:t>
            </w:r>
          </w:p>
        </w:tc>
      </w:tr>
      <w:tr w:rsidR="00A434EF" w:rsidRPr="006C1634" w14:paraId="13506153" w14:textId="77777777" w:rsidTr="00123786">
        <w:trPr>
          <w:trHeight w:val="179"/>
        </w:trPr>
        <w:tc>
          <w:tcPr>
            <w:tcW w:w="0" w:type="auto"/>
          </w:tcPr>
          <w:p w14:paraId="675C8A86"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Patient 1</w:t>
            </w:r>
          </w:p>
        </w:tc>
        <w:tc>
          <w:tcPr>
            <w:tcW w:w="0" w:type="auto"/>
          </w:tcPr>
          <w:p w14:paraId="643B1AC8" w14:textId="77777777" w:rsidR="00A434EF" w:rsidRPr="006C1634" w:rsidRDefault="00A434EF" w:rsidP="00123786">
            <w:pPr>
              <w:pStyle w:val="TableParagraph"/>
              <w:spacing w:line="240" w:lineRule="auto"/>
              <w:ind w:left="0"/>
              <w:rPr>
                <w:rFonts w:asciiTheme="majorHAnsi" w:hAnsiTheme="majorHAnsi" w:cstheme="majorHAnsi"/>
                <w:sz w:val="15"/>
                <w:szCs w:val="15"/>
              </w:rPr>
            </w:pPr>
          </w:p>
        </w:tc>
        <w:tc>
          <w:tcPr>
            <w:tcW w:w="0" w:type="auto"/>
          </w:tcPr>
          <w:p w14:paraId="4A7F5E45"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113kg, 180cm, 34,8kg/m2</w:t>
            </w:r>
          </w:p>
        </w:tc>
      </w:tr>
      <w:tr w:rsidR="00A434EF" w:rsidRPr="006C1634" w14:paraId="62378A65" w14:textId="77777777" w:rsidTr="00123786">
        <w:trPr>
          <w:trHeight w:val="180"/>
        </w:trPr>
        <w:tc>
          <w:tcPr>
            <w:tcW w:w="0" w:type="auto"/>
          </w:tcPr>
          <w:p w14:paraId="0DB261FB"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Patient 2</w:t>
            </w:r>
          </w:p>
        </w:tc>
        <w:tc>
          <w:tcPr>
            <w:tcW w:w="0" w:type="auto"/>
          </w:tcPr>
          <w:p w14:paraId="0F658FD6" w14:textId="77777777" w:rsidR="00A434EF" w:rsidRPr="006C1634" w:rsidRDefault="00A434EF" w:rsidP="00123786">
            <w:pPr>
              <w:pStyle w:val="TableParagraph"/>
              <w:spacing w:line="240" w:lineRule="auto"/>
              <w:ind w:left="0"/>
              <w:rPr>
                <w:rFonts w:asciiTheme="majorHAnsi" w:hAnsiTheme="majorHAnsi" w:cstheme="majorHAnsi"/>
                <w:sz w:val="15"/>
                <w:szCs w:val="15"/>
              </w:rPr>
            </w:pPr>
          </w:p>
        </w:tc>
        <w:tc>
          <w:tcPr>
            <w:tcW w:w="0" w:type="auto"/>
          </w:tcPr>
          <w:p w14:paraId="464BBA51"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95kg, 180cm, 29,3kg/m2</w:t>
            </w:r>
          </w:p>
        </w:tc>
      </w:tr>
      <w:tr w:rsidR="00A434EF" w:rsidRPr="006C1634" w14:paraId="65FDF23A" w14:textId="77777777" w:rsidTr="00123786">
        <w:trPr>
          <w:trHeight w:val="180"/>
        </w:trPr>
        <w:tc>
          <w:tcPr>
            <w:tcW w:w="0" w:type="auto"/>
          </w:tcPr>
          <w:p w14:paraId="07C51DC9"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Patient 3</w:t>
            </w:r>
          </w:p>
        </w:tc>
        <w:tc>
          <w:tcPr>
            <w:tcW w:w="0" w:type="auto"/>
          </w:tcPr>
          <w:p w14:paraId="30145A5F" w14:textId="77777777" w:rsidR="00A434EF" w:rsidRPr="006C1634" w:rsidRDefault="00A434EF" w:rsidP="00123786">
            <w:pPr>
              <w:pStyle w:val="TableParagraph"/>
              <w:spacing w:line="240" w:lineRule="auto"/>
              <w:ind w:left="0"/>
              <w:rPr>
                <w:rFonts w:asciiTheme="majorHAnsi" w:hAnsiTheme="majorHAnsi" w:cstheme="majorHAnsi"/>
                <w:sz w:val="15"/>
                <w:szCs w:val="15"/>
              </w:rPr>
            </w:pPr>
          </w:p>
        </w:tc>
        <w:tc>
          <w:tcPr>
            <w:tcW w:w="0" w:type="auto"/>
          </w:tcPr>
          <w:p w14:paraId="17DBCAC0" w14:textId="77777777" w:rsidR="00A434EF" w:rsidRPr="006C1634" w:rsidRDefault="00A434EF" w:rsidP="00123786">
            <w:pPr>
              <w:pStyle w:val="TableParagraph"/>
              <w:rPr>
                <w:rFonts w:asciiTheme="majorHAnsi" w:hAnsiTheme="majorHAnsi" w:cstheme="majorHAnsi"/>
                <w:sz w:val="15"/>
                <w:szCs w:val="15"/>
              </w:rPr>
            </w:pPr>
            <w:r w:rsidRPr="006C1634">
              <w:rPr>
                <w:rFonts w:asciiTheme="majorHAnsi" w:hAnsiTheme="majorHAnsi" w:cstheme="majorHAnsi"/>
                <w:sz w:val="15"/>
                <w:szCs w:val="15"/>
              </w:rPr>
              <w:t>90kg, 171cm, 30,8kg/m2</w:t>
            </w:r>
          </w:p>
        </w:tc>
      </w:tr>
    </w:tbl>
    <w:p w14:paraId="04BA01FC" w14:textId="2FA7FEBB" w:rsidR="00A434EF" w:rsidRPr="00534DA6" w:rsidRDefault="00A434EF" w:rsidP="00A434EF">
      <w:pPr>
        <w:rPr>
          <w:rFonts w:ascii="Calibri" w:eastAsia="Calibri" w:hAnsi="Calibri" w:cs="Calibri"/>
          <w:lang w:val="en-US"/>
        </w:rPr>
      </w:pPr>
      <w:r w:rsidRPr="00534DA6">
        <w:rPr>
          <w:lang w:val="en-US"/>
        </w:rPr>
        <w:br w:type="page"/>
      </w:r>
    </w:p>
    <w:p w14:paraId="66E70294" w14:textId="005FF10A" w:rsidR="00710A9B" w:rsidRPr="005211BB" w:rsidRDefault="000004F0" w:rsidP="000E4817">
      <w:pPr>
        <w:pStyle w:val="Heading1"/>
        <w:rPr>
          <w:caps/>
          <w:sz w:val="32"/>
          <w:szCs w:val="32"/>
          <w:lang w:val="en-US"/>
        </w:rPr>
      </w:pPr>
      <w:bookmarkStart w:id="39" w:name="_Toc144374740"/>
      <w:r w:rsidRPr="005211BB">
        <w:rPr>
          <w:caps/>
          <w:sz w:val="32"/>
          <w:szCs w:val="32"/>
          <w:lang w:val="en-US"/>
        </w:rPr>
        <w:lastRenderedPageBreak/>
        <w:t xml:space="preserve">Supplementary </w:t>
      </w:r>
      <w:r w:rsidR="00710A9B" w:rsidRPr="005211BB">
        <w:rPr>
          <w:caps/>
          <w:sz w:val="32"/>
          <w:szCs w:val="32"/>
          <w:lang w:val="en-US"/>
        </w:rPr>
        <w:t>References</w:t>
      </w:r>
      <w:bookmarkEnd w:id="39"/>
    </w:p>
    <w:p w14:paraId="4640F1CF" w14:textId="77777777" w:rsidR="00710A9B" w:rsidRDefault="00710A9B">
      <w:pPr>
        <w:jc w:val="both"/>
        <w:rPr>
          <w:rFonts w:ascii="Calibri" w:eastAsia="Calibri" w:hAnsi="Calibri" w:cs="Calibri"/>
          <w:sz w:val="24"/>
          <w:szCs w:val="24"/>
          <w:lang w:val="en-US"/>
        </w:rPr>
      </w:pPr>
    </w:p>
    <w:p w14:paraId="255436BB" w14:textId="77777777" w:rsidR="000E4817" w:rsidRPr="000004F0" w:rsidRDefault="00710A9B" w:rsidP="000E4817">
      <w:pPr>
        <w:pStyle w:val="Bibliography"/>
        <w:rPr>
          <w:rFonts w:ascii="Calibri" w:hAnsi="Calibri" w:cs="Calibri"/>
          <w:sz w:val="24"/>
          <w:lang w:val="en-US"/>
        </w:rPr>
      </w:pPr>
      <w:r>
        <w:rPr>
          <w:rFonts w:ascii="Calibri" w:eastAsia="Calibri" w:hAnsi="Calibri" w:cs="Calibri"/>
          <w:sz w:val="24"/>
          <w:szCs w:val="24"/>
          <w:lang w:val="en-US"/>
        </w:rPr>
        <w:fldChar w:fldCharType="begin"/>
      </w:r>
      <w:r w:rsidRPr="000004F0">
        <w:rPr>
          <w:rFonts w:ascii="Calibri" w:eastAsia="Calibri" w:hAnsi="Calibri" w:cs="Calibri"/>
          <w:sz w:val="24"/>
          <w:szCs w:val="24"/>
          <w:lang w:val="de-DE"/>
        </w:rPr>
        <w:instrText xml:space="preserve"> ADDIN ZOTERO_BIBL {"uncited":[],"omitted":[],"custom":[]} CSL_BIBLIOGRAPHY </w:instrText>
      </w:r>
      <w:r>
        <w:rPr>
          <w:rFonts w:ascii="Calibri" w:eastAsia="Calibri" w:hAnsi="Calibri" w:cs="Calibri"/>
          <w:sz w:val="24"/>
          <w:szCs w:val="24"/>
          <w:lang w:val="en-US"/>
        </w:rPr>
        <w:fldChar w:fldCharType="separate"/>
      </w:r>
      <w:r w:rsidR="000E4817" w:rsidRPr="000004F0">
        <w:rPr>
          <w:rFonts w:ascii="Calibri" w:hAnsi="Calibri" w:cs="Calibri"/>
          <w:sz w:val="24"/>
          <w:lang w:val="de-DE"/>
        </w:rPr>
        <w:t xml:space="preserve">1. </w:t>
      </w:r>
      <w:r w:rsidR="000E4817" w:rsidRPr="000004F0">
        <w:rPr>
          <w:rFonts w:ascii="Calibri" w:hAnsi="Calibri" w:cs="Calibri"/>
          <w:sz w:val="24"/>
          <w:lang w:val="de-DE"/>
        </w:rPr>
        <w:tab/>
        <w:t xml:space="preserve">Fuchs-Telem D, Sarig O, van Steensel MAM, et al. </w:t>
      </w:r>
      <w:r w:rsidR="000E4817" w:rsidRPr="000004F0">
        <w:rPr>
          <w:rFonts w:ascii="Calibri" w:hAnsi="Calibri" w:cs="Calibri"/>
          <w:sz w:val="24"/>
          <w:lang w:val="en-US"/>
        </w:rPr>
        <w:t xml:space="preserve">Familial pityriasis rubra pilaris is caused by mutations in CARD14. Am J Hum Genet 2012;91(1):163–70. </w:t>
      </w:r>
    </w:p>
    <w:p w14:paraId="2AC47768" w14:textId="77777777" w:rsidR="000E4817" w:rsidRPr="000004F0" w:rsidRDefault="000E4817" w:rsidP="000E4817">
      <w:pPr>
        <w:pStyle w:val="Bibliography"/>
        <w:rPr>
          <w:rFonts w:ascii="Calibri" w:hAnsi="Calibri" w:cs="Calibri"/>
          <w:sz w:val="24"/>
          <w:lang w:val="en-US"/>
        </w:rPr>
      </w:pPr>
      <w:r w:rsidRPr="000004F0">
        <w:rPr>
          <w:rFonts w:ascii="Calibri" w:hAnsi="Calibri" w:cs="Calibri"/>
          <w:sz w:val="24"/>
          <w:lang w:val="en-US"/>
        </w:rPr>
        <w:t xml:space="preserve">2. </w:t>
      </w:r>
      <w:r w:rsidRPr="000004F0">
        <w:rPr>
          <w:rFonts w:ascii="Calibri" w:hAnsi="Calibri" w:cs="Calibri"/>
          <w:sz w:val="24"/>
          <w:lang w:val="en-US"/>
        </w:rPr>
        <w:tab/>
        <w:t xml:space="preserve">Fredriksson T, Pettersson U. Severe psoriasis--oral therapy with a new retinoid. Dermatologica 1978;157(4):238–44. </w:t>
      </w:r>
    </w:p>
    <w:p w14:paraId="4E259198" w14:textId="77777777" w:rsidR="000E4817" w:rsidRPr="000004F0" w:rsidRDefault="000E4817" w:rsidP="000E4817">
      <w:pPr>
        <w:pStyle w:val="Bibliography"/>
        <w:rPr>
          <w:rFonts w:ascii="Calibri" w:hAnsi="Calibri" w:cs="Calibri"/>
          <w:sz w:val="24"/>
          <w:lang w:val="en-US"/>
        </w:rPr>
      </w:pPr>
      <w:r w:rsidRPr="000004F0">
        <w:rPr>
          <w:rFonts w:ascii="Calibri" w:hAnsi="Calibri" w:cs="Calibri"/>
          <w:sz w:val="24"/>
          <w:lang w:val="en-US"/>
        </w:rPr>
        <w:t xml:space="preserve">3. </w:t>
      </w:r>
      <w:r w:rsidRPr="000004F0">
        <w:rPr>
          <w:rFonts w:ascii="Calibri" w:hAnsi="Calibri" w:cs="Calibri"/>
          <w:sz w:val="24"/>
          <w:lang w:val="en-US"/>
        </w:rPr>
        <w:tab/>
        <w:t xml:space="preserve">Leshem YA, Hajar T, Hanifin JM, Simpson EL. What the Eczema Area and Severity Index score tells us about the severity of atopic dermatitis: an interpretability study. Br J Dermatol 2015;172(5):1353–7. </w:t>
      </w:r>
    </w:p>
    <w:p w14:paraId="124F52A2" w14:textId="77777777" w:rsidR="000E4817" w:rsidRPr="000004F0" w:rsidRDefault="000E4817" w:rsidP="000E4817">
      <w:pPr>
        <w:pStyle w:val="Bibliography"/>
        <w:rPr>
          <w:rFonts w:ascii="Calibri" w:hAnsi="Calibri" w:cs="Calibri"/>
          <w:sz w:val="24"/>
          <w:lang w:val="en-US"/>
        </w:rPr>
      </w:pPr>
      <w:r w:rsidRPr="000004F0">
        <w:rPr>
          <w:rFonts w:ascii="Calibri" w:hAnsi="Calibri" w:cs="Calibri"/>
          <w:sz w:val="24"/>
          <w:lang w:val="en-US"/>
        </w:rPr>
        <w:t xml:space="preserve">4. </w:t>
      </w:r>
      <w:r w:rsidRPr="000004F0">
        <w:rPr>
          <w:rFonts w:ascii="Calibri" w:hAnsi="Calibri" w:cs="Calibri"/>
          <w:sz w:val="24"/>
          <w:lang w:val="en-US"/>
        </w:rPr>
        <w:tab/>
        <w:t xml:space="preserve">Boudreaux BW, Pincelli TP, Bhullar PK, et al. Secukinumab for the treatment of adult-onset pityriasis rubra pilaris: a single-arm clinical trial with transcriptomic analysis. Br J Dermatol 2022;187(5):650–8. </w:t>
      </w:r>
    </w:p>
    <w:p w14:paraId="0821BF3C" w14:textId="77777777" w:rsidR="000E4817" w:rsidRPr="000004F0" w:rsidRDefault="000E4817" w:rsidP="000E4817">
      <w:pPr>
        <w:pStyle w:val="Bibliography"/>
        <w:rPr>
          <w:rFonts w:ascii="Calibri" w:hAnsi="Calibri" w:cs="Calibri"/>
          <w:sz w:val="24"/>
          <w:lang w:val="en-US"/>
        </w:rPr>
      </w:pPr>
      <w:r w:rsidRPr="000004F0">
        <w:rPr>
          <w:rFonts w:ascii="Calibri" w:hAnsi="Calibri" w:cs="Calibri"/>
          <w:sz w:val="24"/>
          <w:lang w:val="en-US"/>
        </w:rPr>
        <w:t xml:space="preserve">5. </w:t>
      </w:r>
      <w:r w:rsidRPr="000004F0">
        <w:rPr>
          <w:rFonts w:ascii="Calibri" w:hAnsi="Calibri" w:cs="Calibri"/>
          <w:sz w:val="24"/>
          <w:lang w:val="en-US"/>
        </w:rPr>
        <w:tab/>
        <w:t xml:space="preserve">Love MI, Huber W, Anders S. Moderated estimation of fold change and dispersion for RNA-seq data with DESeq2. Genome Biology 2014;15(12):550. </w:t>
      </w:r>
    </w:p>
    <w:p w14:paraId="11B224FC" w14:textId="77777777" w:rsidR="000E4817" w:rsidRPr="000004F0" w:rsidRDefault="000E4817" w:rsidP="000E4817">
      <w:pPr>
        <w:pStyle w:val="Bibliography"/>
        <w:rPr>
          <w:rFonts w:ascii="Calibri" w:hAnsi="Calibri" w:cs="Calibri"/>
          <w:sz w:val="24"/>
          <w:lang w:val="en-US"/>
        </w:rPr>
      </w:pPr>
      <w:r w:rsidRPr="000004F0">
        <w:rPr>
          <w:rFonts w:ascii="Calibri" w:hAnsi="Calibri" w:cs="Calibri"/>
          <w:sz w:val="24"/>
          <w:lang w:val="en-US"/>
        </w:rPr>
        <w:t xml:space="preserve">6. </w:t>
      </w:r>
      <w:r w:rsidRPr="000004F0">
        <w:rPr>
          <w:rFonts w:ascii="Calibri" w:hAnsi="Calibri" w:cs="Calibri"/>
          <w:sz w:val="24"/>
          <w:lang w:val="en-US"/>
        </w:rPr>
        <w:tab/>
        <w:t xml:space="preserve">Krämer A, Green J, Pollard J, Tugendreich S. Causal analysis approaches in Ingenuity Pathway Analysis. Bioinformatics 2014;30(4):523–30. </w:t>
      </w:r>
    </w:p>
    <w:p w14:paraId="7A419642" w14:textId="77777777" w:rsidR="000E4817" w:rsidRPr="000004F0" w:rsidRDefault="000E4817" w:rsidP="000E4817">
      <w:pPr>
        <w:pStyle w:val="Bibliography"/>
        <w:rPr>
          <w:rFonts w:ascii="Calibri" w:hAnsi="Calibri" w:cs="Calibri"/>
          <w:sz w:val="24"/>
          <w:lang w:val="en-US"/>
        </w:rPr>
      </w:pPr>
      <w:r w:rsidRPr="000004F0">
        <w:rPr>
          <w:rFonts w:ascii="Calibri" w:hAnsi="Calibri" w:cs="Calibri"/>
          <w:sz w:val="24"/>
          <w:lang w:val="en-US"/>
        </w:rPr>
        <w:t xml:space="preserve">7. </w:t>
      </w:r>
      <w:r w:rsidRPr="000004F0">
        <w:rPr>
          <w:rFonts w:ascii="Calibri" w:hAnsi="Calibri" w:cs="Calibri"/>
          <w:sz w:val="24"/>
          <w:lang w:val="en-US"/>
        </w:rPr>
        <w:tab/>
        <w:t xml:space="preserve">Fang Z, Liu X, Peltz G. GSEApy: a comprehensive package for performing gene set enrichment analysis in Python. Bioinformatics 2023;39(1):btac757. </w:t>
      </w:r>
    </w:p>
    <w:p w14:paraId="412E6374" w14:textId="77777777" w:rsidR="000E4817" w:rsidRPr="000004F0" w:rsidRDefault="000E4817" w:rsidP="000E4817">
      <w:pPr>
        <w:pStyle w:val="Bibliography"/>
        <w:rPr>
          <w:rFonts w:ascii="Calibri" w:hAnsi="Calibri" w:cs="Calibri"/>
          <w:sz w:val="24"/>
          <w:lang w:val="en-US"/>
        </w:rPr>
      </w:pPr>
      <w:r w:rsidRPr="000004F0">
        <w:rPr>
          <w:rFonts w:ascii="Calibri" w:hAnsi="Calibri" w:cs="Calibri"/>
          <w:sz w:val="24"/>
          <w:lang w:val="en-US"/>
        </w:rPr>
        <w:t xml:space="preserve">8. </w:t>
      </w:r>
      <w:r w:rsidRPr="000004F0">
        <w:rPr>
          <w:rFonts w:ascii="Calibri" w:hAnsi="Calibri" w:cs="Calibri"/>
          <w:sz w:val="24"/>
          <w:lang w:val="en-US"/>
        </w:rPr>
        <w:tab/>
        <w:t xml:space="preserve">Szklarczyk D, Gable AL, Lyon D, et al. STRING v11: protein-protein association networks with increased coverage, supporting functional discovery in genome-wide experimental datasets. Nucleic Acids Res 2019;47(D1):D607–13. </w:t>
      </w:r>
    </w:p>
    <w:p w14:paraId="2BAA2E30" w14:textId="77777777" w:rsidR="000E4817" w:rsidRPr="000004F0" w:rsidRDefault="000E4817" w:rsidP="000E4817">
      <w:pPr>
        <w:pStyle w:val="Bibliography"/>
        <w:rPr>
          <w:rFonts w:ascii="Calibri" w:hAnsi="Calibri" w:cs="Calibri"/>
          <w:sz w:val="24"/>
          <w:lang w:val="en-US"/>
        </w:rPr>
      </w:pPr>
      <w:r w:rsidRPr="000004F0">
        <w:rPr>
          <w:rFonts w:ascii="Calibri" w:hAnsi="Calibri" w:cs="Calibri"/>
          <w:sz w:val="24"/>
          <w:lang w:val="en-US"/>
        </w:rPr>
        <w:t xml:space="preserve">9. </w:t>
      </w:r>
      <w:r w:rsidRPr="000004F0">
        <w:rPr>
          <w:rFonts w:ascii="Calibri" w:hAnsi="Calibri" w:cs="Calibri"/>
          <w:sz w:val="24"/>
          <w:lang w:val="en-US"/>
        </w:rPr>
        <w:tab/>
        <w:t xml:space="preserve">Subramanian A, Tamayo P, Mootha VK, et al. Gene set enrichment analysis: A knowledge-based approach for interpreting genome-wide expression profiles. Proc Natl Acad Sci U S A 2005;102(43):15545–50. </w:t>
      </w:r>
    </w:p>
    <w:p w14:paraId="3ABAA122" w14:textId="77777777" w:rsidR="000E4817" w:rsidRPr="000004F0" w:rsidRDefault="000E4817" w:rsidP="000E4817">
      <w:pPr>
        <w:pStyle w:val="Bibliography"/>
        <w:rPr>
          <w:rFonts w:ascii="Calibri" w:hAnsi="Calibri" w:cs="Calibri"/>
          <w:sz w:val="24"/>
          <w:lang w:val="en-US"/>
        </w:rPr>
      </w:pPr>
      <w:r w:rsidRPr="000004F0">
        <w:rPr>
          <w:rFonts w:ascii="Calibri" w:hAnsi="Calibri" w:cs="Calibri"/>
          <w:sz w:val="24"/>
          <w:lang w:val="en-US"/>
        </w:rPr>
        <w:t xml:space="preserve">10. </w:t>
      </w:r>
      <w:r w:rsidRPr="000004F0">
        <w:rPr>
          <w:rFonts w:ascii="Calibri" w:hAnsi="Calibri" w:cs="Calibri"/>
          <w:sz w:val="24"/>
          <w:lang w:val="en-US"/>
        </w:rPr>
        <w:tab/>
        <w:t xml:space="preserve">Benjamini Y, Hochberg Y. Controlling the False Discovery Rate: A Practical and Powerful Approach to Multiple Testing. Journal of the Royal Statistical Society: Series B (Methodological) 1995;57(1):289–300. </w:t>
      </w:r>
    </w:p>
    <w:p w14:paraId="24C469F3" w14:textId="77777777" w:rsidR="000E4817" w:rsidRPr="000004F0" w:rsidRDefault="000E4817" w:rsidP="000E4817">
      <w:pPr>
        <w:pStyle w:val="Bibliography"/>
        <w:rPr>
          <w:rFonts w:ascii="Calibri" w:hAnsi="Calibri" w:cs="Calibri"/>
          <w:sz w:val="24"/>
          <w:lang w:val="en-US"/>
        </w:rPr>
      </w:pPr>
      <w:r w:rsidRPr="000004F0">
        <w:rPr>
          <w:rFonts w:ascii="Calibri" w:hAnsi="Calibri" w:cs="Calibri"/>
          <w:sz w:val="24"/>
          <w:lang w:val="en-US"/>
        </w:rPr>
        <w:t xml:space="preserve">11. </w:t>
      </w:r>
      <w:r w:rsidRPr="000004F0">
        <w:rPr>
          <w:rFonts w:ascii="Calibri" w:hAnsi="Calibri" w:cs="Calibri"/>
          <w:sz w:val="24"/>
          <w:lang w:val="en-US"/>
        </w:rPr>
        <w:tab/>
        <w:t>Yoshikawa T, Takeichi T, Hirabayashi T, et al. IL-17 axis is a significant driver of skin inflammation in Card14 mutant pityriasis rubra pilaris model mice [Internet]. In Review; 2023 [cited 2023 Aug 25]. Available from: https://www.researchsquare.com/article/rs-2513325/v1</w:t>
      </w:r>
    </w:p>
    <w:p w14:paraId="1E214587" w14:textId="77777777" w:rsidR="000E4817" w:rsidRPr="000004F0" w:rsidRDefault="000E4817" w:rsidP="000E4817">
      <w:pPr>
        <w:pStyle w:val="Bibliography"/>
        <w:rPr>
          <w:rFonts w:ascii="Calibri" w:hAnsi="Calibri" w:cs="Calibri"/>
          <w:sz w:val="24"/>
          <w:lang w:val="en-US"/>
        </w:rPr>
      </w:pPr>
      <w:r w:rsidRPr="000E4817">
        <w:rPr>
          <w:rFonts w:ascii="Calibri" w:hAnsi="Calibri" w:cs="Calibri"/>
          <w:sz w:val="24"/>
        </w:rPr>
        <w:t xml:space="preserve">12. </w:t>
      </w:r>
      <w:r w:rsidRPr="000E4817">
        <w:rPr>
          <w:rFonts w:ascii="Calibri" w:hAnsi="Calibri" w:cs="Calibri"/>
          <w:sz w:val="24"/>
        </w:rPr>
        <w:tab/>
        <w:t xml:space="preserve">Wolf FA, Angerer P, Theis FJ. </w:t>
      </w:r>
      <w:r w:rsidRPr="000004F0">
        <w:rPr>
          <w:rFonts w:ascii="Calibri" w:hAnsi="Calibri" w:cs="Calibri"/>
          <w:sz w:val="24"/>
          <w:lang w:val="en-US"/>
        </w:rPr>
        <w:t xml:space="preserve">SCANPY: large-scale single-cell gene expression data analysis. Genome Biology 2018;19(1):15. </w:t>
      </w:r>
    </w:p>
    <w:p w14:paraId="7D7512FF" w14:textId="77777777" w:rsidR="000E4817" w:rsidRPr="000E4817" w:rsidRDefault="000E4817" w:rsidP="000E4817">
      <w:pPr>
        <w:pStyle w:val="Bibliography"/>
        <w:rPr>
          <w:rFonts w:ascii="Calibri" w:hAnsi="Calibri" w:cs="Calibri"/>
          <w:sz w:val="24"/>
        </w:rPr>
      </w:pPr>
      <w:r w:rsidRPr="000004F0">
        <w:rPr>
          <w:rFonts w:ascii="Calibri" w:hAnsi="Calibri" w:cs="Calibri"/>
          <w:sz w:val="24"/>
          <w:lang w:val="en-US"/>
        </w:rPr>
        <w:t xml:space="preserve">13. </w:t>
      </w:r>
      <w:r w:rsidRPr="000004F0">
        <w:rPr>
          <w:rFonts w:ascii="Calibri" w:hAnsi="Calibri" w:cs="Calibri"/>
          <w:sz w:val="24"/>
          <w:lang w:val="en-US"/>
        </w:rPr>
        <w:tab/>
        <w:t xml:space="preserve">Ritchie ME, Phipson B, Wu D, et al. limma powers differential expression analyses for RNA-sequencing and microarray studies. </w:t>
      </w:r>
      <w:r w:rsidRPr="000E4817">
        <w:rPr>
          <w:rFonts w:ascii="Calibri" w:hAnsi="Calibri" w:cs="Calibri"/>
          <w:sz w:val="24"/>
        </w:rPr>
        <w:t xml:space="preserve">Nucleic Acids Res 2015;43(7):e47. </w:t>
      </w:r>
    </w:p>
    <w:p w14:paraId="69DCAC74" w14:textId="06222939" w:rsidR="00710A9B" w:rsidRPr="00534DA6" w:rsidRDefault="00710A9B">
      <w:pPr>
        <w:jc w:val="both"/>
        <w:rPr>
          <w:rFonts w:ascii="Calibri" w:eastAsia="Calibri" w:hAnsi="Calibri" w:cs="Calibri"/>
          <w:sz w:val="24"/>
          <w:szCs w:val="24"/>
          <w:lang w:val="en-US"/>
        </w:rPr>
      </w:pPr>
      <w:r>
        <w:rPr>
          <w:rFonts w:ascii="Calibri" w:eastAsia="Calibri" w:hAnsi="Calibri" w:cs="Calibri"/>
          <w:sz w:val="24"/>
          <w:szCs w:val="24"/>
          <w:lang w:val="en-US"/>
        </w:rPr>
        <w:fldChar w:fldCharType="end"/>
      </w:r>
    </w:p>
    <w:p w14:paraId="000000E4" w14:textId="77777777" w:rsidR="0046705A" w:rsidRPr="00534DA6" w:rsidRDefault="0046705A">
      <w:pPr>
        <w:rPr>
          <w:rFonts w:ascii="Calibri" w:eastAsia="Calibri" w:hAnsi="Calibri" w:cs="Calibri"/>
          <w:lang w:val="en-US"/>
        </w:rPr>
      </w:pPr>
    </w:p>
    <w:sectPr w:rsidR="0046705A" w:rsidRPr="00534DA6">
      <w:headerReference w:type="default" r:id="rId11"/>
      <w:footerReference w:type="default" r:id="rId12"/>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EDC5A8" w14:textId="77777777" w:rsidR="008F314D" w:rsidRDefault="008F314D">
      <w:pPr>
        <w:spacing w:line="240" w:lineRule="auto"/>
      </w:pPr>
      <w:r>
        <w:separator/>
      </w:r>
    </w:p>
  </w:endnote>
  <w:endnote w:type="continuationSeparator" w:id="0">
    <w:p w14:paraId="5127C7F6" w14:textId="77777777" w:rsidR="008F314D" w:rsidRDefault="008F31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OTNEJMQuadraat">
    <w:altName w:val="Cambria"/>
    <w:panose1 w:val="020B0604020202020204"/>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E5" w14:textId="1F1638E9" w:rsidR="0046705A" w:rsidRDefault="00E67B44">
    <w:pPr>
      <w:jc w:val="right"/>
    </w:pPr>
    <w:r>
      <w:fldChar w:fldCharType="begin"/>
    </w:r>
    <w:r>
      <w:instrText>PAGE</w:instrText>
    </w:r>
    <w:r>
      <w:fldChar w:fldCharType="separate"/>
    </w:r>
    <w:r w:rsidR="00534DA6">
      <w:rPr>
        <w:noProof/>
      </w:rPr>
      <w:t>1</w:t>
    </w:r>
    <w:r>
      <w:fldChar w:fldCharType="end"/>
    </w:r>
  </w:p>
  <w:p w14:paraId="7F3BCEED" w14:textId="77777777" w:rsidR="004831DF" w:rsidRDefault="004831D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FAE0BF" w14:textId="77777777" w:rsidR="008F314D" w:rsidRDefault="008F314D">
      <w:pPr>
        <w:spacing w:line="240" w:lineRule="auto"/>
      </w:pPr>
      <w:r>
        <w:separator/>
      </w:r>
    </w:p>
  </w:footnote>
  <w:footnote w:type="continuationSeparator" w:id="0">
    <w:p w14:paraId="3759C48C" w14:textId="77777777" w:rsidR="008F314D" w:rsidRDefault="008F314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E6" w14:textId="77777777" w:rsidR="0046705A" w:rsidRDefault="0046705A">
    <w:pPr>
      <w:rPr>
        <w:sz w:val="34"/>
        <w:szCs w:val="34"/>
        <w:vertAlign w:val="superscript"/>
      </w:rPr>
    </w:pPr>
  </w:p>
  <w:p w14:paraId="4A38BCC1" w14:textId="77777777" w:rsidR="004831DF" w:rsidRDefault="004831D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383816"/>
    <w:multiLevelType w:val="hybridMultilevel"/>
    <w:tmpl w:val="D8526C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43563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705A"/>
    <w:rsid w:val="000004F0"/>
    <w:rsid w:val="000256B8"/>
    <w:rsid w:val="0004508F"/>
    <w:rsid w:val="000C581B"/>
    <w:rsid w:val="000D5757"/>
    <w:rsid w:val="000E4817"/>
    <w:rsid w:val="00157483"/>
    <w:rsid w:val="00194748"/>
    <w:rsid w:val="001D1DEE"/>
    <w:rsid w:val="00211643"/>
    <w:rsid w:val="002649D9"/>
    <w:rsid w:val="00265088"/>
    <w:rsid w:val="0036495E"/>
    <w:rsid w:val="00370F9F"/>
    <w:rsid w:val="003B5ED1"/>
    <w:rsid w:val="003E302E"/>
    <w:rsid w:val="003F0B0B"/>
    <w:rsid w:val="0046705A"/>
    <w:rsid w:val="004831DF"/>
    <w:rsid w:val="004F0C0D"/>
    <w:rsid w:val="005211BB"/>
    <w:rsid w:val="00534DA6"/>
    <w:rsid w:val="00563A93"/>
    <w:rsid w:val="00584365"/>
    <w:rsid w:val="005A1AA8"/>
    <w:rsid w:val="00653BFA"/>
    <w:rsid w:val="00676DFA"/>
    <w:rsid w:val="00694BD3"/>
    <w:rsid w:val="00695886"/>
    <w:rsid w:val="006B5C0B"/>
    <w:rsid w:val="006C1634"/>
    <w:rsid w:val="006F73C3"/>
    <w:rsid w:val="00710A9B"/>
    <w:rsid w:val="007279A5"/>
    <w:rsid w:val="00745124"/>
    <w:rsid w:val="007E359D"/>
    <w:rsid w:val="008E191C"/>
    <w:rsid w:val="008F314D"/>
    <w:rsid w:val="00931D78"/>
    <w:rsid w:val="009503D4"/>
    <w:rsid w:val="009E4623"/>
    <w:rsid w:val="00A434EF"/>
    <w:rsid w:val="00A57A79"/>
    <w:rsid w:val="00A62450"/>
    <w:rsid w:val="00A678E3"/>
    <w:rsid w:val="00A77CAB"/>
    <w:rsid w:val="00AF5606"/>
    <w:rsid w:val="00B00AA5"/>
    <w:rsid w:val="00B27856"/>
    <w:rsid w:val="00BF6E60"/>
    <w:rsid w:val="00C966BC"/>
    <w:rsid w:val="00CA5FCF"/>
    <w:rsid w:val="00CB2C57"/>
    <w:rsid w:val="00DB5903"/>
    <w:rsid w:val="00DD2B3A"/>
    <w:rsid w:val="00DD5622"/>
    <w:rsid w:val="00E206DB"/>
    <w:rsid w:val="00E24D15"/>
    <w:rsid w:val="00E67B44"/>
    <w:rsid w:val="00E825CC"/>
    <w:rsid w:val="00E94639"/>
    <w:rsid w:val="00F969C4"/>
    <w:rsid w:val="00FA5F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83B28D6"/>
  <w15:docId w15:val="{506980F3-B1A7-784E-9EF1-52A01F20D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de"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F969C4"/>
    <w:pPr>
      <w:ind w:left="720"/>
      <w:contextualSpacing/>
    </w:pPr>
  </w:style>
  <w:style w:type="character" w:styleId="Hyperlink">
    <w:name w:val="Hyperlink"/>
    <w:basedOn w:val="DefaultParagraphFont"/>
    <w:uiPriority w:val="99"/>
    <w:unhideWhenUsed/>
    <w:rsid w:val="00E825CC"/>
    <w:rPr>
      <w:color w:val="0000FF" w:themeColor="hyperlink"/>
      <w:u w:val="single"/>
    </w:rPr>
  </w:style>
  <w:style w:type="character" w:styleId="UnresolvedMention">
    <w:name w:val="Unresolved Mention"/>
    <w:basedOn w:val="DefaultParagraphFont"/>
    <w:uiPriority w:val="99"/>
    <w:semiHidden/>
    <w:unhideWhenUsed/>
    <w:rsid w:val="00E825CC"/>
    <w:rPr>
      <w:color w:val="605E5C"/>
      <w:shd w:val="clear" w:color="auto" w:fill="E1DFDD"/>
    </w:rPr>
  </w:style>
  <w:style w:type="paragraph" w:styleId="Bibliography">
    <w:name w:val="Bibliography"/>
    <w:basedOn w:val="Normal"/>
    <w:next w:val="Normal"/>
    <w:uiPriority w:val="37"/>
    <w:unhideWhenUsed/>
    <w:rsid w:val="00710A9B"/>
  </w:style>
  <w:style w:type="paragraph" w:customStyle="1" w:styleId="TableParagraph">
    <w:name w:val="Table Paragraph"/>
    <w:basedOn w:val="Normal"/>
    <w:uiPriority w:val="1"/>
    <w:qFormat/>
    <w:rsid w:val="006C1634"/>
    <w:pPr>
      <w:widowControl w:val="0"/>
      <w:autoSpaceDE w:val="0"/>
      <w:autoSpaceDN w:val="0"/>
      <w:spacing w:line="160" w:lineRule="exact"/>
      <w:ind w:left="30"/>
    </w:pPr>
    <w:rPr>
      <w:lang w:val="en-US"/>
    </w:rPr>
  </w:style>
  <w:style w:type="paragraph" w:styleId="TOC1">
    <w:name w:val="toc 1"/>
    <w:basedOn w:val="Normal"/>
    <w:next w:val="Normal"/>
    <w:autoRedefine/>
    <w:uiPriority w:val="39"/>
    <w:unhideWhenUsed/>
    <w:rsid w:val="00A434EF"/>
    <w:pPr>
      <w:tabs>
        <w:tab w:val="right" w:leader="dot" w:pos="9019"/>
      </w:tabs>
      <w:spacing w:before="120" w:after="120"/>
    </w:pPr>
    <w:rPr>
      <w:rFonts w:asciiTheme="minorHAnsi" w:hAnsiTheme="minorHAnsi"/>
      <w:b/>
      <w:bCs/>
      <w:caps/>
      <w:sz w:val="20"/>
      <w:szCs w:val="20"/>
    </w:rPr>
  </w:style>
  <w:style w:type="paragraph" w:styleId="TOC2">
    <w:name w:val="toc 2"/>
    <w:basedOn w:val="Normal"/>
    <w:next w:val="Normal"/>
    <w:autoRedefine/>
    <w:uiPriority w:val="39"/>
    <w:unhideWhenUsed/>
    <w:rsid w:val="00A434EF"/>
    <w:pPr>
      <w:tabs>
        <w:tab w:val="right" w:leader="dot" w:pos="9019"/>
      </w:tabs>
      <w:ind w:left="220"/>
    </w:pPr>
    <w:rPr>
      <w:rFonts w:asciiTheme="minorHAnsi" w:hAnsiTheme="minorHAnsi"/>
      <w:smallCaps/>
      <w:sz w:val="20"/>
      <w:szCs w:val="20"/>
    </w:rPr>
  </w:style>
  <w:style w:type="paragraph" w:styleId="TOC3">
    <w:name w:val="toc 3"/>
    <w:basedOn w:val="Normal"/>
    <w:next w:val="Normal"/>
    <w:autoRedefine/>
    <w:uiPriority w:val="39"/>
    <w:unhideWhenUsed/>
    <w:rsid w:val="000E4817"/>
    <w:pPr>
      <w:ind w:left="440"/>
    </w:pPr>
    <w:rPr>
      <w:rFonts w:asciiTheme="minorHAnsi" w:hAnsiTheme="minorHAnsi"/>
      <w:i/>
      <w:iCs/>
      <w:sz w:val="20"/>
      <w:szCs w:val="20"/>
    </w:rPr>
  </w:style>
  <w:style w:type="paragraph" w:styleId="TOC4">
    <w:name w:val="toc 4"/>
    <w:basedOn w:val="Normal"/>
    <w:next w:val="Normal"/>
    <w:autoRedefine/>
    <w:uiPriority w:val="39"/>
    <w:unhideWhenUsed/>
    <w:rsid w:val="000E4817"/>
    <w:pPr>
      <w:ind w:left="660"/>
    </w:pPr>
    <w:rPr>
      <w:rFonts w:asciiTheme="minorHAnsi" w:hAnsiTheme="minorHAnsi"/>
      <w:sz w:val="18"/>
      <w:szCs w:val="18"/>
    </w:rPr>
  </w:style>
  <w:style w:type="paragraph" w:styleId="TOC5">
    <w:name w:val="toc 5"/>
    <w:basedOn w:val="Normal"/>
    <w:next w:val="Normal"/>
    <w:autoRedefine/>
    <w:uiPriority w:val="39"/>
    <w:unhideWhenUsed/>
    <w:rsid w:val="000E4817"/>
    <w:pPr>
      <w:ind w:left="880"/>
    </w:pPr>
    <w:rPr>
      <w:rFonts w:asciiTheme="minorHAnsi" w:hAnsiTheme="minorHAnsi"/>
      <w:sz w:val="18"/>
      <w:szCs w:val="18"/>
    </w:rPr>
  </w:style>
  <w:style w:type="paragraph" w:styleId="TOC6">
    <w:name w:val="toc 6"/>
    <w:basedOn w:val="Normal"/>
    <w:next w:val="Normal"/>
    <w:autoRedefine/>
    <w:uiPriority w:val="39"/>
    <w:unhideWhenUsed/>
    <w:rsid w:val="000E4817"/>
    <w:pPr>
      <w:ind w:left="1100"/>
    </w:pPr>
    <w:rPr>
      <w:rFonts w:asciiTheme="minorHAnsi" w:hAnsiTheme="minorHAnsi"/>
      <w:sz w:val="18"/>
      <w:szCs w:val="18"/>
    </w:rPr>
  </w:style>
  <w:style w:type="paragraph" w:styleId="TOC7">
    <w:name w:val="toc 7"/>
    <w:basedOn w:val="Normal"/>
    <w:next w:val="Normal"/>
    <w:autoRedefine/>
    <w:uiPriority w:val="39"/>
    <w:unhideWhenUsed/>
    <w:rsid w:val="000E4817"/>
    <w:pPr>
      <w:ind w:left="1320"/>
    </w:pPr>
    <w:rPr>
      <w:rFonts w:asciiTheme="minorHAnsi" w:hAnsiTheme="minorHAnsi"/>
      <w:sz w:val="18"/>
      <w:szCs w:val="18"/>
    </w:rPr>
  </w:style>
  <w:style w:type="paragraph" w:styleId="TOC8">
    <w:name w:val="toc 8"/>
    <w:basedOn w:val="Normal"/>
    <w:next w:val="Normal"/>
    <w:autoRedefine/>
    <w:uiPriority w:val="39"/>
    <w:unhideWhenUsed/>
    <w:rsid w:val="000E4817"/>
    <w:pPr>
      <w:ind w:left="1540"/>
    </w:pPr>
    <w:rPr>
      <w:rFonts w:asciiTheme="minorHAnsi" w:hAnsiTheme="minorHAnsi"/>
      <w:sz w:val="18"/>
      <w:szCs w:val="18"/>
    </w:rPr>
  </w:style>
  <w:style w:type="paragraph" w:styleId="TOC9">
    <w:name w:val="toc 9"/>
    <w:basedOn w:val="Normal"/>
    <w:next w:val="Normal"/>
    <w:autoRedefine/>
    <w:uiPriority w:val="39"/>
    <w:unhideWhenUsed/>
    <w:rsid w:val="000E4817"/>
    <w:pPr>
      <w:ind w:left="1760"/>
    </w:pPr>
    <w:rPr>
      <w:rFonts w:asciiTheme="minorHAnsi" w:hAnsiTheme="minorHAnsi"/>
      <w:sz w:val="18"/>
      <w:szCs w:val="18"/>
    </w:rPr>
  </w:style>
  <w:style w:type="paragraph" w:styleId="Revision">
    <w:name w:val="Revision"/>
    <w:hidden/>
    <w:uiPriority w:val="99"/>
    <w:semiHidden/>
    <w:rsid w:val="0004508F"/>
    <w:pPr>
      <w:spacing w:line="240" w:lineRule="auto"/>
    </w:pPr>
  </w:style>
  <w:style w:type="paragraph" w:styleId="NormalWeb">
    <w:name w:val="Normal (Web)"/>
    <w:basedOn w:val="Normal"/>
    <w:uiPriority w:val="99"/>
    <w:unhideWhenUsed/>
    <w:rsid w:val="0004508F"/>
    <w:pPr>
      <w:spacing w:before="100" w:beforeAutospacing="1" w:after="100" w:afterAutospacing="1" w:line="240" w:lineRule="auto"/>
    </w:pPr>
    <w:rPr>
      <w:rFonts w:ascii="Times New Roman" w:eastAsia="Times New Roman" w:hAnsi="Times New Roman" w:cs="Times New Roman"/>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49313">
      <w:bodyDiv w:val="1"/>
      <w:marLeft w:val="0"/>
      <w:marRight w:val="0"/>
      <w:marTop w:val="0"/>
      <w:marBottom w:val="0"/>
      <w:divBdr>
        <w:top w:val="none" w:sz="0" w:space="0" w:color="auto"/>
        <w:left w:val="none" w:sz="0" w:space="0" w:color="auto"/>
        <w:bottom w:val="none" w:sz="0" w:space="0" w:color="auto"/>
        <w:right w:val="none" w:sz="0" w:space="0" w:color="auto"/>
      </w:divBdr>
    </w:div>
    <w:div w:id="95171661">
      <w:bodyDiv w:val="1"/>
      <w:marLeft w:val="0"/>
      <w:marRight w:val="0"/>
      <w:marTop w:val="0"/>
      <w:marBottom w:val="0"/>
      <w:divBdr>
        <w:top w:val="none" w:sz="0" w:space="0" w:color="auto"/>
        <w:left w:val="none" w:sz="0" w:space="0" w:color="auto"/>
        <w:bottom w:val="none" w:sz="0" w:space="0" w:color="auto"/>
        <w:right w:val="none" w:sz="0" w:space="0" w:color="auto"/>
      </w:divBdr>
      <w:divsChild>
        <w:div w:id="414325031">
          <w:marLeft w:val="0"/>
          <w:marRight w:val="0"/>
          <w:marTop w:val="0"/>
          <w:marBottom w:val="0"/>
          <w:divBdr>
            <w:top w:val="none" w:sz="0" w:space="0" w:color="auto"/>
            <w:left w:val="none" w:sz="0" w:space="0" w:color="auto"/>
            <w:bottom w:val="none" w:sz="0" w:space="0" w:color="auto"/>
            <w:right w:val="none" w:sz="0" w:space="0" w:color="auto"/>
          </w:divBdr>
          <w:divsChild>
            <w:div w:id="675115383">
              <w:marLeft w:val="0"/>
              <w:marRight w:val="0"/>
              <w:marTop w:val="0"/>
              <w:marBottom w:val="0"/>
              <w:divBdr>
                <w:top w:val="none" w:sz="0" w:space="0" w:color="auto"/>
                <w:left w:val="none" w:sz="0" w:space="0" w:color="auto"/>
                <w:bottom w:val="none" w:sz="0" w:space="0" w:color="auto"/>
                <w:right w:val="none" w:sz="0" w:space="0" w:color="auto"/>
              </w:divBdr>
              <w:divsChild>
                <w:div w:id="1859149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43670">
      <w:bodyDiv w:val="1"/>
      <w:marLeft w:val="0"/>
      <w:marRight w:val="0"/>
      <w:marTop w:val="0"/>
      <w:marBottom w:val="0"/>
      <w:divBdr>
        <w:top w:val="none" w:sz="0" w:space="0" w:color="auto"/>
        <w:left w:val="none" w:sz="0" w:space="0" w:color="auto"/>
        <w:bottom w:val="none" w:sz="0" w:space="0" w:color="auto"/>
        <w:right w:val="none" w:sz="0" w:space="0" w:color="auto"/>
      </w:divBdr>
    </w:div>
    <w:div w:id="672879867">
      <w:bodyDiv w:val="1"/>
      <w:marLeft w:val="0"/>
      <w:marRight w:val="0"/>
      <w:marTop w:val="0"/>
      <w:marBottom w:val="0"/>
      <w:divBdr>
        <w:top w:val="none" w:sz="0" w:space="0" w:color="auto"/>
        <w:left w:val="none" w:sz="0" w:space="0" w:color="auto"/>
        <w:bottom w:val="none" w:sz="0" w:space="0" w:color="auto"/>
        <w:right w:val="none" w:sz="0" w:space="0" w:color="auto"/>
      </w:divBdr>
    </w:div>
    <w:div w:id="801267741">
      <w:bodyDiv w:val="1"/>
      <w:marLeft w:val="0"/>
      <w:marRight w:val="0"/>
      <w:marTop w:val="0"/>
      <w:marBottom w:val="0"/>
      <w:divBdr>
        <w:top w:val="none" w:sz="0" w:space="0" w:color="auto"/>
        <w:left w:val="none" w:sz="0" w:space="0" w:color="auto"/>
        <w:bottom w:val="none" w:sz="0" w:space="0" w:color="auto"/>
        <w:right w:val="none" w:sz="0" w:space="0" w:color="auto"/>
      </w:divBdr>
      <w:divsChild>
        <w:div w:id="618145252">
          <w:marLeft w:val="0"/>
          <w:marRight w:val="0"/>
          <w:marTop w:val="0"/>
          <w:marBottom w:val="0"/>
          <w:divBdr>
            <w:top w:val="none" w:sz="0" w:space="0" w:color="auto"/>
            <w:left w:val="none" w:sz="0" w:space="0" w:color="auto"/>
            <w:bottom w:val="none" w:sz="0" w:space="0" w:color="auto"/>
            <w:right w:val="none" w:sz="0" w:space="0" w:color="auto"/>
          </w:divBdr>
          <w:divsChild>
            <w:div w:id="1107770216">
              <w:marLeft w:val="0"/>
              <w:marRight w:val="0"/>
              <w:marTop w:val="0"/>
              <w:marBottom w:val="0"/>
              <w:divBdr>
                <w:top w:val="none" w:sz="0" w:space="0" w:color="auto"/>
                <w:left w:val="none" w:sz="0" w:space="0" w:color="auto"/>
                <w:bottom w:val="none" w:sz="0" w:space="0" w:color="auto"/>
                <w:right w:val="none" w:sz="0" w:space="0" w:color="auto"/>
              </w:divBdr>
              <w:divsChild>
                <w:div w:id="189473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132955">
      <w:bodyDiv w:val="1"/>
      <w:marLeft w:val="0"/>
      <w:marRight w:val="0"/>
      <w:marTop w:val="0"/>
      <w:marBottom w:val="0"/>
      <w:divBdr>
        <w:top w:val="none" w:sz="0" w:space="0" w:color="auto"/>
        <w:left w:val="none" w:sz="0" w:space="0" w:color="auto"/>
        <w:bottom w:val="none" w:sz="0" w:space="0" w:color="auto"/>
        <w:right w:val="none" w:sz="0" w:space="0" w:color="auto"/>
      </w:divBdr>
      <w:divsChild>
        <w:div w:id="274143903">
          <w:marLeft w:val="0"/>
          <w:marRight w:val="0"/>
          <w:marTop w:val="0"/>
          <w:marBottom w:val="0"/>
          <w:divBdr>
            <w:top w:val="none" w:sz="0" w:space="0" w:color="auto"/>
            <w:left w:val="none" w:sz="0" w:space="0" w:color="auto"/>
            <w:bottom w:val="none" w:sz="0" w:space="0" w:color="auto"/>
            <w:right w:val="none" w:sz="0" w:space="0" w:color="auto"/>
          </w:divBdr>
          <w:divsChild>
            <w:div w:id="1335381915">
              <w:marLeft w:val="0"/>
              <w:marRight w:val="0"/>
              <w:marTop w:val="0"/>
              <w:marBottom w:val="0"/>
              <w:divBdr>
                <w:top w:val="none" w:sz="0" w:space="0" w:color="auto"/>
                <w:left w:val="none" w:sz="0" w:space="0" w:color="auto"/>
                <w:bottom w:val="none" w:sz="0" w:space="0" w:color="auto"/>
                <w:right w:val="none" w:sz="0" w:space="0" w:color="auto"/>
              </w:divBdr>
              <w:divsChild>
                <w:div w:id="932667230">
                  <w:marLeft w:val="0"/>
                  <w:marRight w:val="0"/>
                  <w:marTop w:val="0"/>
                  <w:marBottom w:val="0"/>
                  <w:divBdr>
                    <w:top w:val="none" w:sz="0" w:space="0" w:color="auto"/>
                    <w:left w:val="none" w:sz="0" w:space="0" w:color="auto"/>
                    <w:bottom w:val="none" w:sz="0" w:space="0" w:color="auto"/>
                    <w:right w:val="none" w:sz="0" w:space="0" w:color="auto"/>
                  </w:divBdr>
                  <w:divsChild>
                    <w:div w:id="986934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4308999">
      <w:bodyDiv w:val="1"/>
      <w:marLeft w:val="0"/>
      <w:marRight w:val="0"/>
      <w:marTop w:val="0"/>
      <w:marBottom w:val="0"/>
      <w:divBdr>
        <w:top w:val="none" w:sz="0" w:space="0" w:color="auto"/>
        <w:left w:val="none" w:sz="0" w:space="0" w:color="auto"/>
        <w:bottom w:val="none" w:sz="0" w:space="0" w:color="auto"/>
        <w:right w:val="none" w:sz="0" w:space="0" w:color="auto"/>
      </w:divBdr>
      <w:divsChild>
        <w:div w:id="2110422578">
          <w:marLeft w:val="0"/>
          <w:marRight w:val="0"/>
          <w:marTop w:val="0"/>
          <w:marBottom w:val="0"/>
          <w:divBdr>
            <w:top w:val="none" w:sz="0" w:space="0" w:color="auto"/>
            <w:left w:val="none" w:sz="0" w:space="0" w:color="auto"/>
            <w:bottom w:val="none" w:sz="0" w:space="0" w:color="auto"/>
            <w:right w:val="none" w:sz="0" w:space="0" w:color="auto"/>
          </w:divBdr>
          <w:divsChild>
            <w:div w:id="1108501517">
              <w:marLeft w:val="0"/>
              <w:marRight w:val="0"/>
              <w:marTop w:val="0"/>
              <w:marBottom w:val="0"/>
              <w:divBdr>
                <w:top w:val="none" w:sz="0" w:space="0" w:color="auto"/>
                <w:left w:val="none" w:sz="0" w:space="0" w:color="auto"/>
                <w:bottom w:val="none" w:sz="0" w:space="0" w:color="auto"/>
                <w:right w:val="none" w:sz="0" w:space="0" w:color="auto"/>
              </w:divBdr>
              <w:divsChild>
                <w:div w:id="120259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937481">
      <w:bodyDiv w:val="1"/>
      <w:marLeft w:val="0"/>
      <w:marRight w:val="0"/>
      <w:marTop w:val="0"/>
      <w:marBottom w:val="0"/>
      <w:divBdr>
        <w:top w:val="none" w:sz="0" w:space="0" w:color="auto"/>
        <w:left w:val="none" w:sz="0" w:space="0" w:color="auto"/>
        <w:bottom w:val="none" w:sz="0" w:space="0" w:color="auto"/>
        <w:right w:val="none" w:sz="0" w:space="0" w:color="auto"/>
      </w:divBdr>
      <w:divsChild>
        <w:div w:id="1392272617">
          <w:marLeft w:val="0"/>
          <w:marRight w:val="0"/>
          <w:marTop w:val="0"/>
          <w:marBottom w:val="0"/>
          <w:divBdr>
            <w:top w:val="none" w:sz="0" w:space="0" w:color="auto"/>
            <w:left w:val="none" w:sz="0" w:space="0" w:color="auto"/>
            <w:bottom w:val="none" w:sz="0" w:space="0" w:color="auto"/>
            <w:right w:val="none" w:sz="0" w:space="0" w:color="auto"/>
          </w:divBdr>
          <w:divsChild>
            <w:div w:id="611548761">
              <w:marLeft w:val="0"/>
              <w:marRight w:val="0"/>
              <w:marTop w:val="0"/>
              <w:marBottom w:val="0"/>
              <w:divBdr>
                <w:top w:val="none" w:sz="0" w:space="0" w:color="auto"/>
                <w:left w:val="none" w:sz="0" w:space="0" w:color="auto"/>
                <w:bottom w:val="none" w:sz="0" w:space="0" w:color="auto"/>
                <w:right w:val="none" w:sz="0" w:space="0" w:color="auto"/>
              </w:divBdr>
              <w:divsChild>
                <w:div w:id="943000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71335">
      <w:bodyDiv w:val="1"/>
      <w:marLeft w:val="0"/>
      <w:marRight w:val="0"/>
      <w:marTop w:val="0"/>
      <w:marBottom w:val="0"/>
      <w:divBdr>
        <w:top w:val="none" w:sz="0" w:space="0" w:color="auto"/>
        <w:left w:val="none" w:sz="0" w:space="0" w:color="auto"/>
        <w:bottom w:val="none" w:sz="0" w:space="0" w:color="auto"/>
        <w:right w:val="none" w:sz="0" w:space="0" w:color="auto"/>
      </w:divBdr>
      <w:divsChild>
        <w:div w:id="994337682">
          <w:marLeft w:val="0"/>
          <w:marRight w:val="0"/>
          <w:marTop w:val="0"/>
          <w:marBottom w:val="0"/>
          <w:divBdr>
            <w:top w:val="none" w:sz="0" w:space="0" w:color="auto"/>
            <w:left w:val="none" w:sz="0" w:space="0" w:color="auto"/>
            <w:bottom w:val="none" w:sz="0" w:space="0" w:color="auto"/>
            <w:right w:val="none" w:sz="0" w:space="0" w:color="auto"/>
          </w:divBdr>
          <w:divsChild>
            <w:div w:id="301229431">
              <w:marLeft w:val="0"/>
              <w:marRight w:val="0"/>
              <w:marTop w:val="0"/>
              <w:marBottom w:val="0"/>
              <w:divBdr>
                <w:top w:val="none" w:sz="0" w:space="0" w:color="auto"/>
                <w:left w:val="none" w:sz="0" w:space="0" w:color="auto"/>
                <w:bottom w:val="none" w:sz="0" w:space="0" w:color="auto"/>
                <w:right w:val="none" w:sz="0" w:space="0" w:color="auto"/>
              </w:divBdr>
              <w:divsChild>
                <w:div w:id="39944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qiagenbioinformatics.com/products/ingenuity-pathway-analysis" TargetMode="External"/><Relationship Id="rId4" Type="http://schemas.openxmlformats.org/officeDocument/2006/relationships/settings" Target="settings.xml"/><Relationship Id="rId9" Type="http://schemas.openxmlformats.org/officeDocument/2006/relationships/hyperlink" Target="https://www.qiagenbioinformatics.com/products/ingenuity-pathway-analysi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DAF850-BCF4-EF40-A68C-C664DB611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13</Pages>
  <Words>13359</Words>
  <Characters>76147</Characters>
  <Application>Microsoft Office Word</Application>
  <DocSecurity>0</DocSecurity>
  <Lines>634</Lines>
  <Paragraphs>178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Eloi Schmauch</cp:lastModifiedBy>
  <cp:revision>9</cp:revision>
  <dcterms:created xsi:type="dcterms:W3CDTF">2023-08-31T13:11:00Z</dcterms:created>
  <dcterms:modified xsi:type="dcterms:W3CDTF">2023-10-12T16:08:00Z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id="SAEJh7f0"/&gt;&lt;style id="http://www.zotero.org/styles/the-new-england-journal-of-medicine" hasBibliography="1" bibliographyStyleHasBeenSet="1"/&gt;&lt;prefs&gt;&lt;pref name="fieldType" value="Field"/&gt;&lt;/prefs&gt;&lt;</vt:lpwstr>
  </property>
  <property fmtid="{D5CDD505-2E9C-101B-9397-08002B2CF9AE}" pid="3" name="ZOTERO_PREF_2">
    <vt:lpwstr>/data&gt;</vt:lpwstr>
  </property>
</Properties>
</file>