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B6240" w14:textId="67330641" w:rsidR="00BF26F5" w:rsidRDefault="00BF26F5" w:rsidP="00311B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F26F5">
        <w:rPr>
          <w:rFonts w:ascii="Times New Roman" w:hAnsi="Times New Roman" w:cs="Times New Roman"/>
          <w:b/>
          <w:bCs/>
          <w:sz w:val="24"/>
          <w:szCs w:val="24"/>
        </w:rPr>
        <w:t>supplementary materials</w:t>
      </w:r>
    </w:p>
    <w:p w14:paraId="5C1B580D" w14:textId="3FD2CAB3" w:rsidR="00024C52" w:rsidRPr="00024C52" w:rsidRDefault="00024C52" w:rsidP="00311B90">
      <w:pPr>
        <w:spacing w:line="480" w:lineRule="auto"/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Additional file </w:t>
      </w:r>
      <w:r>
        <w:rPr>
          <w:rFonts w:ascii="Times New Roman" w:hAnsi="Times New Roman" w:cs="Times New Roman"/>
          <w:sz w:val="24"/>
          <w:szCs w:val="24"/>
        </w:rPr>
        <w:t>1:</w:t>
      </w:r>
      <w:r w:rsidRPr="00024C5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024C52">
        <w:rPr>
          <w:rFonts w:ascii="Times New Roman" w:hAnsi="Times New Roman" w:cs="Times New Roman"/>
          <w:color w:val="000000" w:themeColor="text1"/>
          <w:sz w:val="24"/>
          <w:szCs w:val="24"/>
        </w:rPr>
        <w:t>Materials and methods</w:t>
      </w:r>
    </w:p>
    <w:p w14:paraId="6A0C4750" w14:textId="430619DF" w:rsidR="00311B90" w:rsidRPr="00311B90" w:rsidRDefault="00311B90" w:rsidP="00311B9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311B9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Univariate and multivariate analyses</w:t>
      </w:r>
    </w:p>
    <w:p w14:paraId="493D16EF" w14:textId="7A2F1203" w:rsidR="00311B90" w:rsidRDefault="00311B90" w:rsidP="00311B9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F1B74">
        <w:rPr>
          <w:rFonts w:ascii="Times New Roman" w:hAnsi="Times New Roman" w:cs="Times New Roman"/>
          <w:color w:val="000000" w:themeColor="text1"/>
          <w:sz w:val="24"/>
          <w:szCs w:val="24"/>
        </w:rPr>
        <w:t>The data were normalized using the probabilistic quotient normalization (PQN) algorithm for all samples. Then quality control-robust spline batch correction (QC-RSC) was performed using QC samples. Metabolites with relative standard deviations (RSD) &gt;30% in QC samples were removed. Univariate analysis was performed for metabolites, and statistical analysis was conducted utilizing the t-test. The results were analyzed as multiple tests, mainly using Benjamini-Hochberg (BH) correction to q-values. Multivariate analysis was performed for metabolites, mainly using partial least squares discriminant analysis (PLS-DA) to obtain each metabolite’s variable importance in projection (VIP). Volcano plot was mapped based on all detected ions and the distribution of these ions was shown. ggplot2, an R package, was implemented for visualization.</w:t>
      </w:r>
    </w:p>
    <w:p w14:paraId="5339D183" w14:textId="15CD5F78" w:rsidR="002571DB" w:rsidRPr="002571DB" w:rsidRDefault="002571DB" w:rsidP="00311B90">
      <w:pPr>
        <w:spacing w:line="480" w:lineRule="auto"/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</w:pPr>
      <w:r w:rsidRPr="006F1B7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Cell proliferation assays</w:t>
      </w:r>
    </w:p>
    <w:p w14:paraId="4031465F" w14:textId="3D659057" w:rsidR="002571DB" w:rsidRDefault="002571DB" w:rsidP="00311B9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F1B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Experiments were performed using the Cell Counting Kit-8 (CCK-8) from </w:t>
      </w:r>
      <w:proofErr w:type="spellStart"/>
      <w:r w:rsidRPr="006F1B74">
        <w:rPr>
          <w:rFonts w:ascii="Times New Roman" w:hAnsi="Times New Roman" w:cs="Times New Roman"/>
          <w:color w:val="000000" w:themeColor="text1"/>
          <w:sz w:val="24"/>
          <w:szCs w:val="24"/>
        </w:rPr>
        <w:t>Dojindo</w:t>
      </w:r>
      <w:proofErr w:type="spellEnd"/>
      <w:r w:rsidRPr="006F1B74">
        <w:rPr>
          <w:rFonts w:ascii="Times New Roman" w:hAnsi="Times New Roman" w:cs="Times New Roman"/>
          <w:color w:val="000000" w:themeColor="text1"/>
          <w:sz w:val="24"/>
          <w:szCs w:val="24"/>
        </w:rPr>
        <w:t>, Kumamoto, Japan. Following seeding of 10</w:t>
      </w:r>
      <w:r w:rsidRPr="006F1B7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</w:t>
      </w:r>
      <w:r w:rsidRPr="006F1B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cells into 96-well plates, cells were incubated for 24, 48, and 72 h after corresponding treatments. Then, at predetermined time points, 10 </w:t>
      </w:r>
      <w:proofErr w:type="spellStart"/>
      <w:r w:rsidRPr="006F1B74">
        <w:rPr>
          <w:rFonts w:ascii="Times New Roman" w:hAnsi="Times New Roman" w:cs="Times New Roman"/>
          <w:color w:val="000000" w:themeColor="text1"/>
          <w:sz w:val="24"/>
          <w:szCs w:val="24"/>
        </w:rPr>
        <w:t>μl</w:t>
      </w:r>
      <w:proofErr w:type="spellEnd"/>
      <w:r w:rsidRPr="006F1B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CCK-8 solution was added to each well and allowed to incubate for 1-4 h. Measurement of absorbance was conducted utilizing the </w:t>
      </w:r>
      <w:proofErr w:type="spellStart"/>
      <w:r w:rsidRPr="006F1B74">
        <w:rPr>
          <w:rFonts w:ascii="Times New Roman" w:hAnsi="Times New Roman" w:cs="Times New Roman"/>
          <w:color w:val="000000" w:themeColor="text1"/>
          <w:sz w:val="24"/>
          <w:szCs w:val="24"/>
        </w:rPr>
        <w:t>SpectraMax</w:t>
      </w:r>
      <w:proofErr w:type="spellEnd"/>
      <w:r w:rsidRPr="006F1B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M2 Microplate Reader from the company Molecular Devices located in CA, USA at a wavelength of 450 nm.</w:t>
      </w:r>
    </w:p>
    <w:p w14:paraId="263A2E33" w14:textId="1EB68C08" w:rsidR="002571DB" w:rsidRPr="002571DB" w:rsidRDefault="002571DB" w:rsidP="00311B90">
      <w:pPr>
        <w:spacing w:line="480" w:lineRule="auto"/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</w:pPr>
      <w:r w:rsidRPr="006F1B7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Analysis of cell apoptosis and cell cycle</w:t>
      </w:r>
    </w:p>
    <w:p w14:paraId="424175B9" w14:textId="644E0C1A" w:rsidR="002571DB" w:rsidRPr="002571DB" w:rsidRDefault="002571DB" w:rsidP="00311B90">
      <w:pPr>
        <w:spacing w:line="480" w:lineRule="auto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  <w:r w:rsidRPr="006F1B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Annexin V-PE/7AAD Kit (BD Biosciences, Bedford, MA, USA) was utilized to examine cellular apoptosis. The Annexin V-PE/7AAD mix was added to the cell suspension and incubated for 15 minutes. Cells intended for cell cycle analysis were retrieved using PBS and subsequently immersed in 70% ethanol prior to being stored at a temperature of -20 °C overnight. The cells were exposed with PI/RNase Staining Buffer (BD Biosciences, Bedford, MA, USA) for 15 minutes. Detection was performed utilizing Navios flow cytometer from Beckman Coulter Inc. Data was analyzed using </w:t>
      </w:r>
      <w:proofErr w:type="spellStart"/>
      <w:r w:rsidRPr="006F1B74">
        <w:rPr>
          <w:rFonts w:ascii="Times New Roman" w:hAnsi="Times New Roman" w:cs="Times New Roman"/>
          <w:color w:val="000000" w:themeColor="text1"/>
          <w:sz w:val="24"/>
          <w:szCs w:val="24"/>
        </w:rPr>
        <w:t>ModFit</w:t>
      </w:r>
      <w:proofErr w:type="spellEnd"/>
      <w:r w:rsidRPr="006F1B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LT software.</w:t>
      </w:r>
    </w:p>
    <w:p w14:paraId="330DDBAE" w14:textId="77777777" w:rsidR="00BF26F5" w:rsidRPr="00BF26F5" w:rsidRDefault="00BF26F5" w:rsidP="00311B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F26F5">
        <w:rPr>
          <w:rFonts w:ascii="Times New Roman" w:hAnsi="Times New Roman" w:cs="Times New Roman"/>
          <w:b/>
          <w:bCs/>
          <w:sz w:val="24"/>
          <w:szCs w:val="24"/>
        </w:rPr>
        <w:t>RNA isolation and quantitative real-time PCR</w:t>
      </w:r>
    </w:p>
    <w:p w14:paraId="2B83E8E5" w14:textId="50FD806A" w:rsidR="00BF26F5" w:rsidRPr="00BF26F5" w:rsidRDefault="00BF26F5" w:rsidP="00311B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F26F5">
        <w:rPr>
          <w:rFonts w:ascii="Times New Roman" w:hAnsi="Times New Roman" w:cs="Times New Roman"/>
          <w:sz w:val="24"/>
          <w:szCs w:val="24"/>
        </w:rPr>
        <w:t xml:space="preserve">Total RNA was purified by using </w:t>
      </w:r>
      <w:proofErr w:type="spellStart"/>
      <w:r w:rsidRPr="00BF26F5">
        <w:rPr>
          <w:rFonts w:ascii="Times New Roman" w:hAnsi="Times New Roman" w:cs="Times New Roman"/>
          <w:sz w:val="24"/>
          <w:szCs w:val="24"/>
        </w:rPr>
        <w:t>RNAiso</w:t>
      </w:r>
      <w:proofErr w:type="spellEnd"/>
      <w:r w:rsidRPr="00BF26F5">
        <w:rPr>
          <w:rFonts w:ascii="Times New Roman" w:hAnsi="Times New Roman" w:cs="Times New Roman"/>
          <w:sz w:val="24"/>
          <w:szCs w:val="24"/>
        </w:rPr>
        <w:t xml:space="preserve"> Plus (</w:t>
      </w:r>
      <w:proofErr w:type="spellStart"/>
      <w:r w:rsidRPr="00BF26F5">
        <w:rPr>
          <w:rFonts w:ascii="Times New Roman" w:hAnsi="Times New Roman" w:cs="Times New Roman"/>
          <w:sz w:val="24"/>
          <w:szCs w:val="24"/>
        </w:rPr>
        <w:t>TaKaRa</w:t>
      </w:r>
      <w:proofErr w:type="spellEnd"/>
      <w:r w:rsidRPr="00BF26F5">
        <w:rPr>
          <w:rFonts w:ascii="Times New Roman" w:hAnsi="Times New Roman" w:cs="Times New Roman"/>
          <w:sz w:val="24"/>
          <w:szCs w:val="24"/>
        </w:rPr>
        <w:t xml:space="preserve">, Dalian, China). RNA concentration was measured via </w:t>
      </w:r>
      <w:proofErr w:type="spellStart"/>
      <w:r w:rsidRPr="00BF26F5">
        <w:rPr>
          <w:rFonts w:ascii="Times New Roman" w:hAnsi="Times New Roman" w:cs="Times New Roman"/>
          <w:sz w:val="24"/>
          <w:szCs w:val="24"/>
        </w:rPr>
        <w:t>NanoDrop</w:t>
      </w:r>
      <w:proofErr w:type="spellEnd"/>
      <w:r w:rsidRPr="00BF26F5">
        <w:rPr>
          <w:rFonts w:ascii="Times New Roman" w:hAnsi="Times New Roman" w:cs="Times New Roman"/>
          <w:sz w:val="24"/>
          <w:szCs w:val="24"/>
        </w:rPr>
        <w:t xml:space="preserve"> 2000 spectrophotometer (</w:t>
      </w:r>
      <w:proofErr w:type="spellStart"/>
      <w:r w:rsidRPr="00BF26F5">
        <w:rPr>
          <w:rFonts w:ascii="Times New Roman" w:hAnsi="Times New Roman" w:cs="Times New Roman"/>
          <w:sz w:val="24"/>
          <w:szCs w:val="24"/>
        </w:rPr>
        <w:t>Thermo</w:t>
      </w:r>
      <w:proofErr w:type="spellEnd"/>
      <w:r w:rsidRPr="00BF26F5">
        <w:rPr>
          <w:rFonts w:ascii="Times New Roman" w:hAnsi="Times New Roman" w:cs="Times New Roman"/>
          <w:sz w:val="24"/>
          <w:szCs w:val="24"/>
        </w:rPr>
        <w:t xml:space="preserve"> Fisher Scientific, WALTHAM, MA). Reverse transcription was taken by </w:t>
      </w:r>
      <w:proofErr w:type="spellStart"/>
      <w:r w:rsidRPr="00BF26F5">
        <w:rPr>
          <w:rFonts w:ascii="Times New Roman" w:hAnsi="Times New Roman" w:cs="Times New Roman"/>
          <w:sz w:val="24"/>
          <w:szCs w:val="24"/>
        </w:rPr>
        <w:t>highvolume</w:t>
      </w:r>
      <w:proofErr w:type="spellEnd"/>
      <w:r w:rsidRPr="00BF26F5">
        <w:rPr>
          <w:rFonts w:ascii="Times New Roman" w:hAnsi="Times New Roman" w:cs="Times New Roman"/>
          <w:sz w:val="24"/>
          <w:szCs w:val="24"/>
        </w:rPr>
        <w:t xml:space="preserve"> complementary DNA reverse transcription kit (</w:t>
      </w:r>
      <w:proofErr w:type="spellStart"/>
      <w:r w:rsidRPr="00BF26F5">
        <w:rPr>
          <w:rFonts w:ascii="Times New Roman" w:hAnsi="Times New Roman" w:cs="Times New Roman"/>
          <w:sz w:val="24"/>
          <w:szCs w:val="24"/>
        </w:rPr>
        <w:t>TaKaRa</w:t>
      </w:r>
      <w:proofErr w:type="spellEnd"/>
      <w:r w:rsidRPr="00BF26F5">
        <w:rPr>
          <w:rFonts w:ascii="Times New Roman" w:hAnsi="Times New Roman" w:cs="Times New Roman"/>
          <w:sz w:val="24"/>
          <w:szCs w:val="24"/>
        </w:rPr>
        <w:t>, Dalian, China). Quantitative real-time polymerase chain reaction (</w:t>
      </w:r>
      <w:proofErr w:type="spellStart"/>
      <w:r w:rsidRPr="00BF26F5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BF26F5">
        <w:rPr>
          <w:rFonts w:ascii="Times New Roman" w:hAnsi="Times New Roman" w:cs="Times New Roman"/>
          <w:sz w:val="24"/>
          <w:szCs w:val="24"/>
        </w:rPr>
        <w:t>-PCR) was conducted through the Power SYBR™ Green PCR Master Mix (</w:t>
      </w:r>
      <w:proofErr w:type="spellStart"/>
      <w:r w:rsidRPr="00BF26F5">
        <w:rPr>
          <w:rFonts w:ascii="Times New Roman" w:hAnsi="Times New Roman" w:cs="Times New Roman"/>
          <w:sz w:val="24"/>
          <w:szCs w:val="24"/>
        </w:rPr>
        <w:t>TaKaRa</w:t>
      </w:r>
      <w:proofErr w:type="spellEnd"/>
      <w:r w:rsidRPr="00BF26F5">
        <w:rPr>
          <w:rFonts w:ascii="Times New Roman" w:hAnsi="Times New Roman" w:cs="Times New Roman"/>
          <w:sz w:val="24"/>
          <w:szCs w:val="24"/>
        </w:rPr>
        <w:t>, Dalian, China) on a 7400 real-time PCR system based on the manufacturer’s instructions. Finally, the fold change representing the mRNA expression levels of genes was calculated in terms of 2− ΔΔCT. GAPDH served as an internal reference.</w:t>
      </w:r>
    </w:p>
    <w:p w14:paraId="28343F45" w14:textId="096231C1" w:rsidR="00BF26F5" w:rsidRPr="00BF26F5" w:rsidRDefault="00BF26F5" w:rsidP="00311B9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F26F5">
        <w:rPr>
          <w:rFonts w:ascii="Times New Roman" w:hAnsi="Times New Roman" w:cs="Times New Roman"/>
          <w:b/>
          <w:bCs/>
          <w:sz w:val="24"/>
          <w:szCs w:val="24"/>
        </w:rPr>
        <w:t>Western blotting</w:t>
      </w:r>
    </w:p>
    <w:p w14:paraId="7289ED9D" w14:textId="77777777" w:rsidR="00BF26F5" w:rsidRPr="00BF26F5" w:rsidRDefault="00BF26F5" w:rsidP="00311B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F26F5">
        <w:rPr>
          <w:rFonts w:ascii="Times New Roman" w:hAnsi="Times New Roman" w:cs="Times New Roman"/>
          <w:sz w:val="24"/>
          <w:szCs w:val="24"/>
        </w:rPr>
        <w:t>The cells protein was isolated by dissolving buffer solution with protease inhibitor (</w:t>
      </w:r>
      <w:proofErr w:type="spellStart"/>
      <w:r w:rsidRPr="00BF26F5">
        <w:rPr>
          <w:rFonts w:ascii="Times New Roman" w:hAnsi="Times New Roman" w:cs="Times New Roman"/>
          <w:sz w:val="24"/>
          <w:szCs w:val="24"/>
        </w:rPr>
        <w:t>Beyotime</w:t>
      </w:r>
      <w:proofErr w:type="spellEnd"/>
      <w:r w:rsidRPr="00BF26F5">
        <w:rPr>
          <w:rFonts w:ascii="Times New Roman" w:hAnsi="Times New Roman" w:cs="Times New Roman"/>
          <w:sz w:val="24"/>
          <w:szCs w:val="24"/>
        </w:rPr>
        <w:t xml:space="preserve">, Shanghai, China) and placed on ice for 0.5 h. The bicinchoninic acid assay </w:t>
      </w:r>
      <w:r w:rsidRPr="00BF26F5">
        <w:rPr>
          <w:rFonts w:ascii="Times New Roman" w:hAnsi="Times New Roman" w:cs="Times New Roman"/>
          <w:sz w:val="24"/>
          <w:szCs w:val="24"/>
        </w:rPr>
        <w:lastRenderedPageBreak/>
        <w:t>(BCA) method was put to measure protein concentration after centrifugation (</w:t>
      </w:r>
      <w:proofErr w:type="spellStart"/>
      <w:r w:rsidRPr="00BF26F5">
        <w:rPr>
          <w:rFonts w:ascii="Times New Roman" w:hAnsi="Times New Roman" w:cs="Times New Roman"/>
          <w:sz w:val="24"/>
          <w:szCs w:val="24"/>
        </w:rPr>
        <w:t>Shenergy</w:t>
      </w:r>
      <w:proofErr w:type="spellEnd"/>
      <w:r w:rsidRPr="00BF26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26F5">
        <w:rPr>
          <w:rFonts w:ascii="Times New Roman" w:hAnsi="Times New Roman" w:cs="Times New Roman"/>
          <w:sz w:val="24"/>
          <w:szCs w:val="24"/>
        </w:rPr>
        <w:t>Biocolor</w:t>
      </w:r>
      <w:proofErr w:type="spellEnd"/>
      <w:r w:rsidRPr="00BF26F5">
        <w:rPr>
          <w:rFonts w:ascii="Times New Roman" w:hAnsi="Times New Roman" w:cs="Times New Roman"/>
          <w:sz w:val="24"/>
          <w:szCs w:val="24"/>
        </w:rPr>
        <w:t>, Shanghai, China). Proteins in equal amounts were added into the electrophoresis on sodium dodecyl sulfate-polyacrylamide gel hole and separated at 200 V for 30min. Then transfer the protein onto polyvinylidene difluoride filter membranes at 10 V for 30min. Next seal the membranes in 5% fat-free milk at room temperature for 1 h, and incubated overnight with primary antibodies of ENPP2(sc-374222, Santa Cruz Biotechnology), LPL (</w:t>
      </w:r>
      <w:r w:rsidRPr="00BF26F5">
        <w:rPr>
          <w:rFonts w:ascii="Times New Roman" w:hAnsi="Times New Roman" w:cs="Times New Roman"/>
          <w:sz w:val="24"/>
          <w:szCs w:val="24"/>
        </w:rPr>
        <w:tab/>
        <w:t xml:space="preserve">sc-373759, Santa Cruz Biotechnology), c-myc. Cyclin D1, CDK4, p21, p27, Bcl-2, </w:t>
      </w:r>
      <w:proofErr w:type="spellStart"/>
      <w:r w:rsidRPr="00BF26F5">
        <w:rPr>
          <w:rFonts w:ascii="Times New Roman" w:hAnsi="Times New Roman" w:cs="Times New Roman"/>
          <w:sz w:val="24"/>
          <w:szCs w:val="24"/>
        </w:rPr>
        <w:t>Bax</w:t>
      </w:r>
      <w:proofErr w:type="spellEnd"/>
      <w:r w:rsidRPr="00BF26F5">
        <w:rPr>
          <w:rFonts w:ascii="Times New Roman" w:hAnsi="Times New Roman" w:cs="Times New Roman"/>
          <w:sz w:val="24"/>
          <w:szCs w:val="24"/>
        </w:rPr>
        <w:t xml:space="preserve">, PARP, </w:t>
      </w:r>
      <w:proofErr w:type="spellStart"/>
      <w:r w:rsidRPr="00BF26F5">
        <w:rPr>
          <w:rFonts w:ascii="Times New Roman" w:hAnsi="Times New Roman" w:cs="Times New Roman"/>
          <w:sz w:val="24"/>
          <w:szCs w:val="24"/>
        </w:rPr>
        <w:t>cle</w:t>
      </w:r>
      <w:proofErr w:type="spellEnd"/>
      <w:r w:rsidRPr="00BF26F5">
        <w:rPr>
          <w:rFonts w:ascii="Times New Roman" w:hAnsi="Times New Roman" w:cs="Times New Roman"/>
          <w:sz w:val="24"/>
          <w:szCs w:val="24"/>
        </w:rPr>
        <w:t xml:space="preserve">-PARP (Cell Signaling Technologies, Beverly, MA, USA), α-actin, and GAPDH (Zhongshan </w:t>
      </w:r>
      <w:proofErr w:type="spellStart"/>
      <w:r w:rsidRPr="00BF26F5">
        <w:rPr>
          <w:rFonts w:ascii="Times New Roman" w:hAnsi="Times New Roman" w:cs="Times New Roman"/>
          <w:sz w:val="24"/>
          <w:szCs w:val="24"/>
        </w:rPr>
        <w:t>Goldenbridge</w:t>
      </w:r>
      <w:proofErr w:type="spellEnd"/>
      <w:r w:rsidRPr="00BF26F5">
        <w:rPr>
          <w:rFonts w:ascii="Times New Roman" w:hAnsi="Times New Roman" w:cs="Times New Roman"/>
          <w:sz w:val="24"/>
          <w:szCs w:val="24"/>
        </w:rPr>
        <w:t xml:space="preserve">, Beijing, China) at 4 °C. After washing three times in Tris-buffered saline containing Tween (TBST), the membranes were incubated at room temperature for 1 h with appropriate secondary antibody (Zhongshan </w:t>
      </w:r>
      <w:proofErr w:type="spellStart"/>
      <w:r w:rsidRPr="00BF26F5">
        <w:rPr>
          <w:rFonts w:ascii="Times New Roman" w:hAnsi="Times New Roman" w:cs="Times New Roman"/>
          <w:sz w:val="24"/>
          <w:szCs w:val="24"/>
        </w:rPr>
        <w:t>Goldenbridge</w:t>
      </w:r>
      <w:proofErr w:type="spellEnd"/>
      <w:r w:rsidRPr="00BF26F5">
        <w:rPr>
          <w:rFonts w:ascii="Times New Roman" w:hAnsi="Times New Roman" w:cs="Times New Roman"/>
          <w:sz w:val="24"/>
          <w:szCs w:val="24"/>
        </w:rPr>
        <w:t>, Beijing, China). After another three times washing, the chemiluminescence reagent (Pierce) was covered in the membranes for visualization at Bio-Rad Image Lab ™ (Bio-Rad, Hercules, CA) and the protein gray density quantification was analyzed via the ImageJ software. β-actin and GAPDH served as an internal reference.</w:t>
      </w:r>
    </w:p>
    <w:p w14:paraId="4C2420E7" w14:textId="6B5C2E18" w:rsidR="006F4CAB" w:rsidRDefault="006F4CAB" w:rsidP="00311B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E24DFCC" w14:textId="033B3FB6" w:rsidR="00E473C4" w:rsidRDefault="00024C52" w:rsidP="00024C5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 xml:space="preserve">Additional file </w:t>
      </w:r>
      <w:r w:rsidR="00E473C4">
        <w:rPr>
          <w:rFonts w:ascii="Times New Roman" w:hAnsi="Times New Roman" w:cs="Times New Roman"/>
          <w:sz w:val="24"/>
          <w:szCs w:val="24"/>
        </w:rPr>
        <w:t>2</w:t>
      </w:r>
      <w:r w:rsidRPr="00024C52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70949044" w14:textId="484750A9" w:rsidR="00E473C4" w:rsidRDefault="00E473C4" w:rsidP="00024C5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B2D57A0" wp14:editId="2324EE91">
            <wp:extent cx="5274310" cy="3983715"/>
            <wp:effectExtent l="0" t="0" r="2540" b="0"/>
            <wp:docPr id="5397179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5603"/>
                    <a:stretch/>
                  </pic:blipFill>
                  <pic:spPr bwMode="auto">
                    <a:xfrm>
                      <a:off x="0" y="0"/>
                      <a:ext cx="5274310" cy="3983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E8FB77" w14:textId="6074065C" w:rsidR="00024C52" w:rsidRPr="00024C52" w:rsidRDefault="00024C52" w:rsidP="00024C52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024C52">
        <w:rPr>
          <w:rFonts w:ascii="Times New Roman" w:hAnsi="Times New Roman" w:cs="Times New Roman"/>
          <w:sz w:val="24"/>
          <w:szCs w:val="24"/>
        </w:rPr>
        <w:t>Figure S1.</w:t>
      </w:r>
      <w:r w:rsidRPr="00024C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024C5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GC/LC-MS based multivariate data analysis of serum data between CLL groups and healthy controls. (A) LC-MS based PCA score plot. (B) PLS-DA score plot (R2 = 0.935, Q2 = 0.679). (C) PLS-DA model alignment test. Two coordinate points on the scoring plot are relatively far apart, indicating a significant difference between the two samples, and vice versa. The oval area represents the 95% confidence interval.</w:t>
      </w:r>
    </w:p>
    <w:p w14:paraId="719EAD89" w14:textId="14B70607" w:rsidR="00024C52" w:rsidRPr="00BF26F5" w:rsidRDefault="00024C52" w:rsidP="00024C52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sectPr w:rsidR="00024C52" w:rsidRPr="00BF26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3F27C5" w14:textId="77777777" w:rsidR="00BF4D12" w:rsidRDefault="00BF4D12" w:rsidP="006F4CAB">
      <w:r>
        <w:separator/>
      </w:r>
    </w:p>
  </w:endnote>
  <w:endnote w:type="continuationSeparator" w:id="0">
    <w:p w14:paraId="48D704AF" w14:textId="77777777" w:rsidR="00BF4D12" w:rsidRDefault="00BF4D12" w:rsidP="006F4C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F99620" w14:textId="77777777" w:rsidR="00BF4D12" w:rsidRDefault="00BF4D12" w:rsidP="006F4CAB">
      <w:r>
        <w:separator/>
      </w:r>
    </w:p>
  </w:footnote>
  <w:footnote w:type="continuationSeparator" w:id="0">
    <w:p w14:paraId="3B3855D5" w14:textId="77777777" w:rsidR="00BF4D12" w:rsidRDefault="00BF4D12" w:rsidP="006F4C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2E0"/>
    <w:rsid w:val="00024C52"/>
    <w:rsid w:val="001B09E1"/>
    <w:rsid w:val="002571DB"/>
    <w:rsid w:val="00311B90"/>
    <w:rsid w:val="005C441F"/>
    <w:rsid w:val="0069754F"/>
    <w:rsid w:val="006E491B"/>
    <w:rsid w:val="006F4CAB"/>
    <w:rsid w:val="00BF26F5"/>
    <w:rsid w:val="00BF4D12"/>
    <w:rsid w:val="00E473C4"/>
    <w:rsid w:val="00F06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2C7CED"/>
  <w15:chartTrackingRefBased/>
  <w15:docId w15:val="{A19EEEB9-0201-4CF4-94C3-C3BDD7EE0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4C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4C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4C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4C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701</Words>
  <Characters>3996</Characters>
  <Application>Microsoft Office Word</Application>
  <DocSecurity>0</DocSecurity>
  <Lines>33</Lines>
  <Paragraphs>9</Paragraphs>
  <ScaleCrop>false</ScaleCrop>
  <Company/>
  <LinksUpToDate>false</LinksUpToDate>
  <CharactersWithSpaces>4688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丽妍 卢</dc:creator>
  <cp:keywords/>
  <dc:description/>
  <cp:lastModifiedBy>丽妍 卢</cp:lastModifiedBy>
  <cp:revision>6</cp:revision>
  <dcterms:created xsi:type="dcterms:W3CDTF">2023-03-23T01:54:00Z</dcterms:created>
  <dcterms:modified xsi:type="dcterms:W3CDTF">2023-04-06T09:22:00Z</dcterms:modified>
</cp:coreProperties>
</file>