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default" w:ascii="Arial" w:hAnsi="Arial" w:eastAsia="宋体" w:cs="Arial"/>
          <w:bCs/>
          <w:kern w:val="2"/>
          <w:sz w:val="20"/>
          <w:szCs w:val="20"/>
          <w:lang w:val="en-US" w:eastAsia="zh-CN" w:bidi="ar-SA"/>
        </w:rPr>
      </w:pPr>
      <w:r>
        <w:rPr>
          <w:rFonts w:hint="default" w:ascii="Arial" w:hAnsi="Arial" w:eastAsia="宋体" w:cs="Arial"/>
          <w:bCs/>
          <w:kern w:val="2"/>
          <w:sz w:val="20"/>
          <w:szCs w:val="20"/>
          <w:lang w:val="en-US" w:eastAsia="zh-CN" w:bidi="ar-SA"/>
        </w:rPr>
        <w:t>Supplementary Table 1: Comparison of baseline characteristics between the participants and those lost at the 5th year of follow-up</w:t>
      </w:r>
    </w:p>
    <w:tbl>
      <w:tblPr>
        <w:tblStyle w:val="5"/>
        <w:tblpPr w:leftFromText="180" w:rightFromText="180" w:vertAnchor="text" w:horzAnchor="margin" w:tblpY="481"/>
        <w:tblOverlap w:val="never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0"/>
        <w:gridCol w:w="1391"/>
        <w:gridCol w:w="1391"/>
        <w:gridCol w:w="728"/>
        <w:gridCol w:w="1379"/>
        <w:gridCol w:w="1391"/>
        <w:gridCol w:w="100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Arial" w:hAnsi="Arial" w:cs="Arial"/>
                <w:b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/>
                <w:kern w:val="0"/>
                <w:sz w:val="16"/>
                <w:szCs w:val="16"/>
              </w:rPr>
              <w:t xml:space="preserve">Group       </w:t>
            </w:r>
          </w:p>
        </w:tc>
        <w:tc>
          <w:tcPr>
            <w:tcW w:w="3232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Arial" w:hAnsi="Arial" w:cs="Arial"/>
                <w:b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/>
                <w:kern w:val="0"/>
                <w:sz w:val="16"/>
                <w:szCs w:val="16"/>
              </w:rPr>
              <w:t>Lost</w:t>
            </w:r>
          </w:p>
        </w:tc>
        <w:tc>
          <w:tcPr>
            <w:tcW w:w="3509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Arial" w:hAnsi="Arial" w:cs="Arial"/>
                <w:b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/>
                <w:kern w:val="0"/>
                <w:sz w:val="16"/>
                <w:szCs w:val="16"/>
              </w:rPr>
              <w:t>Participants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</w:trPr>
        <w:tc>
          <w:tcPr>
            <w:tcW w:w="1065" w:type="dxa"/>
            <w:tcBorders>
              <w:left w:val="single" w:color="auto" w:sz="4" w:space="0"/>
            </w:tcBorders>
            <w:shd w:val="clear" w:color="auto" w:fill="auto"/>
          </w:tcPr>
          <w:p>
            <w:pPr>
              <w:rPr>
                <w:rFonts w:hint="default" w:ascii="Arial" w:hAnsi="Arial" w:cs="Arial"/>
                <w:b/>
                <w:kern w:val="0"/>
                <w:sz w:val="16"/>
                <w:szCs w:val="16"/>
              </w:rPr>
            </w:pPr>
          </w:p>
        </w:tc>
        <w:tc>
          <w:tcPr>
            <w:tcW w:w="1263" w:type="dxa"/>
            <w:shd w:val="clear" w:color="auto" w:fill="auto"/>
          </w:tcPr>
          <w:p>
            <w:pPr>
              <w:rPr>
                <w:rFonts w:hint="default" w:ascii="Arial" w:hAnsi="Arial" w:cs="Arial"/>
                <w:b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/>
                <w:kern w:val="0"/>
                <w:sz w:val="16"/>
                <w:szCs w:val="16"/>
              </w:rPr>
              <w:t>Selenium</w:t>
            </w:r>
          </w:p>
        </w:tc>
        <w:tc>
          <w:tcPr>
            <w:tcW w:w="1241" w:type="dxa"/>
            <w:shd w:val="clear" w:color="auto" w:fill="auto"/>
          </w:tcPr>
          <w:p>
            <w:pPr>
              <w:rPr>
                <w:rFonts w:hint="default" w:ascii="Arial" w:hAnsi="Arial" w:cs="Arial"/>
                <w:b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/>
                <w:kern w:val="0"/>
                <w:sz w:val="16"/>
                <w:szCs w:val="16"/>
              </w:rPr>
              <w:t>Placebo</w:t>
            </w:r>
          </w:p>
        </w:tc>
        <w:tc>
          <w:tcPr>
            <w:tcW w:w="728" w:type="dxa"/>
            <w:shd w:val="clear" w:color="auto" w:fill="auto"/>
          </w:tcPr>
          <w:p>
            <w:pPr>
              <w:rPr>
                <w:rFonts w:hint="default" w:ascii="Arial" w:hAnsi="Arial" w:cs="Arial"/>
                <w:b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/>
                <w:kern w:val="0"/>
                <w:sz w:val="16"/>
                <w:szCs w:val="16"/>
              </w:rPr>
              <w:t>P</w:t>
            </w:r>
          </w:p>
        </w:tc>
        <w:tc>
          <w:tcPr>
            <w:tcW w:w="1268" w:type="dxa"/>
            <w:shd w:val="clear" w:color="auto" w:fill="auto"/>
          </w:tcPr>
          <w:p>
            <w:pPr>
              <w:rPr>
                <w:rFonts w:hint="default" w:ascii="Arial" w:hAnsi="Arial" w:cs="Arial"/>
                <w:b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/>
                <w:kern w:val="0"/>
                <w:sz w:val="16"/>
                <w:szCs w:val="16"/>
              </w:rPr>
              <w:t>Selenium</w:t>
            </w:r>
          </w:p>
        </w:tc>
        <w:tc>
          <w:tcPr>
            <w:tcW w:w="1241" w:type="dxa"/>
            <w:shd w:val="clear" w:color="auto" w:fill="auto"/>
          </w:tcPr>
          <w:p>
            <w:pPr>
              <w:rPr>
                <w:rFonts w:hint="default" w:ascii="Arial" w:hAnsi="Arial" w:cs="Arial"/>
                <w:b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/>
                <w:kern w:val="0"/>
                <w:sz w:val="16"/>
                <w:szCs w:val="16"/>
              </w:rPr>
              <w:t>Placebo</w:t>
            </w:r>
          </w:p>
        </w:tc>
        <w:tc>
          <w:tcPr>
            <w:tcW w:w="1000" w:type="dxa"/>
            <w:tcBorders>
              <w:right w:val="single" w:color="auto" w:sz="4" w:space="0"/>
            </w:tcBorders>
            <w:shd w:val="clear" w:color="auto" w:fill="auto"/>
          </w:tcPr>
          <w:p>
            <w:pPr>
              <w:rPr>
                <w:rFonts w:hint="default" w:ascii="Arial" w:hAnsi="Arial" w:cs="Arial"/>
                <w:b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/>
                <w:kern w:val="0"/>
                <w:sz w:val="16"/>
                <w:szCs w:val="16"/>
              </w:rPr>
              <w:t>P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1065" w:type="dxa"/>
            <w:tcBorders>
              <w:left w:val="single" w:color="auto" w:sz="4" w:space="0"/>
            </w:tcBorders>
            <w:shd w:val="clear" w:color="auto" w:fill="auto"/>
          </w:tcPr>
          <w:p>
            <w:pPr>
              <w:rPr>
                <w:rFonts w:hint="default" w:ascii="Arial" w:hAnsi="Arial" w:cs="Arial"/>
                <w:b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/>
                <w:kern w:val="0"/>
                <w:sz w:val="16"/>
                <w:szCs w:val="16"/>
              </w:rPr>
              <w:t>N</w:t>
            </w:r>
          </w:p>
        </w:tc>
        <w:tc>
          <w:tcPr>
            <w:tcW w:w="1263" w:type="dxa"/>
            <w:shd w:val="clear" w:color="auto" w:fill="auto"/>
          </w:tcPr>
          <w:p>
            <w:pPr>
              <w:rPr>
                <w:rFonts w:hint="default" w:ascii="Arial" w:hAnsi="Arial" w:cs="Arial"/>
                <w:b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/>
                <w:sz w:val="16"/>
                <w:szCs w:val="16"/>
              </w:rPr>
              <w:t>23</w:t>
            </w:r>
          </w:p>
        </w:tc>
        <w:tc>
          <w:tcPr>
            <w:tcW w:w="1241" w:type="dxa"/>
            <w:shd w:val="clear" w:color="auto" w:fill="auto"/>
          </w:tcPr>
          <w:p>
            <w:pPr>
              <w:rPr>
                <w:rFonts w:hint="default" w:ascii="Arial" w:hAnsi="Arial" w:cs="Arial"/>
                <w:b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/>
                <w:sz w:val="16"/>
                <w:szCs w:val="16"/>
              </w:rPr>
              <w:t>10</w:t>
            </w:r>
          </w:p>
        </w:tc>
        <w:tc>
          <w:tcPr>
            <w:tcW w:w="728" w:type="dxa"/>
            <w:shd w:val="clear" w:color="auto" w:fill="auto"/>
          </w:tcPr>
          <w:p>
            <w:pPr>
              <w:rPr>
                <w:rFonts w:hint="default" w:ascii="Arial" w:hAnsi="Arial" w:cs="Arial"/>
                <w:b/>
                <w:kern w:val="0"/>
                <w:sz w:val="16"/>
                <w:szCs w:val="16"/>
              </w:rPr>
            </w:pPr>
          </w:p>
        </w:tc>
        <w:tc>
          <w:tcPr>
            <w:tcW w:w="1268" w:type="dxa"/>
            <w:shd w:val="clear" w:color="auto" w:fill="auto"/>
          </w:tcPr>
          <w:p>
            <w:pPr>
              <w:rPr>
                <w:rFonts w:hint="default" w:ascii="Arial" w:hAnsi="Arial" w:cs="Arial"/>
                <w:b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/>
                <w:sz w:val="16"/>
                <w:szCs w:val="16"/>
              </w:rPr>
              <w:t>23</w:t>
            </w:r>
          </w:p>
        </w:tc>
        <w:tc>
          <w:tcPr>
            <w:tcW w:w="1241" w:type="dxa"/>
            <w:shd w:val="clear" w:color="auto" w:fill="auto"/>
          </w:tcPr>
          <w:p>
            <w:pPr>
              <w:rPr>
                <w:rFonts w:hint="default" w:ascii="Arial" w:hAnsi="Arial" w:cs="Arial"/>
                <w:b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/>
                <w:sz w:val="16"/>
                <w:szCs w:val="16"/>
              </w:rPr>
              <w:t>18</w:t>
            </w:r>
          </w:p>
        </w:tc>
        <w:tc>
          <w:tcPr>
            <w:tcW w:w="1000" w:type="dxa"/>
            <w:tcBorders>
              <w:right w:val="single" w:color="auto" w:sz="4" w:space="0"/>
            </w:tcBorders>
            <w:shd w:val="clear" w:color="auto" w:fill="auto"/>
          </w:tcPr>
          <w:p>
            <w:pPr>
              <w:rPr>
                <w:rFonts w:hint="default" w:ascii="Arial" w:hAnsi="Arial" w:cs="Arial"/>
                <w:b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1065" w:type="dxa"/>
            <w:tcBorders>
              <w:left w:val="single" w:color="auto" w:sz="4" w:space="0"/>
            </w:tcBorders>
            <w:shd w:val="clear" w:color="auto" w:fill="auto"/>
          </w:tcPr>
          <w:p>
            <w:pPr>
              <w:rPr>
                <w:rFonts w:hint="default" w:ascii="Arial" w:hAnsi="Arial" w:cs="Arial"/>
                <w:b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  <w:t>Ag</w:t>
            </w:r>
            <w:bookmarkStart w:id="0" w:name="_GoBack"/>
            <w:bookmarkEnd w:id="0"/>
            <w: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  <w:t>e（Y）</w:t>
            </w:r>
          </w:p>
        </w:tc>
        <w:tc>
          <w:tcPr>
            <w:tcW w:w="1263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43.43±12.25</w:t>
            </w:r>
          </w:p>
        </w:tc>
        <w:tc>
          <w:tcPr>
            <w:tcW w:w="1241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44.00±17.27</w:t>
            </w:r>
          </w:p>
        </w:tc>
        <w:tc>
          <w:tcPr>
            <w:tcW w:w="728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  <w:t>0.915</w:t>
            </w:r>
          </w:p>
        </w:tc>
        <w:tc>
          <w:tcPr>
            <w:tcW w:w="1268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42.09±12.42</w:t>
            </w:r>
          </w:p>
        </w:tc>
        <w:tc>
          <w:tcPr>
            <w:tcW w:w="1241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44.22±9.93</w:t>
            </w:r>
          </w:p>
        </w:tc>
        <w:tc>
          <w:tcPr>
            <w:tcW w:w="1000" w:type="dxa"/>
            <w:tcBorders>
              <w:right w:val="single" w:color="auto" w:sz="4" w:space="0"/>
            </w:tcBorders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  <w:t>0.555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</w:trPr>
        <w:tc>
          <w:tcPr>
            <w:tcW w:w="1065" w:type="dxa"/>
            <w:tcBorders>
              <w:left w:val="single" w:color="auto" w:sz="4" w:space="0"/>
            </w:tcBorders>
            <w:shd w:val="clear" w:color="auto" w:fill="auto"/>
          </w:tcPr>
          <w:p>
            <w:pPr>
              <w:rPr>
                <w:rFonts w:hint="default" w:ascii="Arial" w:hAnsi="Arial" w:cs="Arial"/>
                <w:b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  <w:t>Sex（F/M）</w:t>
            </w:r>
          </w:p>
        </w:tc>
        <w:tc>
          <w:tcPr>
            <w:tcW w:w="1263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14/9</w:t>
            </w:r>
          </w:p>
        </w:tc>
        <w:tc>
          <w:tcPr>
            <w:tcW w:w="1241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3/7</w:t>
            </w:r>
          </w:p>
        </w:tc>
        <w:tc>
          <w:tcPr>
            <w:tcW w:w="728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  <w:t>0.103</w:t>
            </w:r>
          </w:p>
        </w:tc>
        <w:tc>
          <w:tcPr>
            <w:tcW w:w="1268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16/7</w:t>
            </w:r>
          </w:p>
        </w:tc>
        <w:tc>
          <w:tcPr>
            <w:tcW w:w="1241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14/4</w:t>
            </w:r>
          </w:p>
        </w:tc>
        <w:tc>
          <w:tcPr>
            <w:tcW w:w="1000" w:type="dxa"/>
            <w:tcBorders>
              <w:right w:val="single" w:color="auto" w:sz="4" w:space="0"/>
            </w:tcBorders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  <w:t>0.556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1065" w:type="dxa"/>
            <w:tcBorders>
              <w:left w:val="single" w:color="auto" w:sz="4" w:space="0"/>
            </w:tcBorders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  <w:t xml:space="preserve">Smoking </w:t>
            </w:r>
          </w:p>
          <w:p>
            <w:pPr>
              <w:rPr>
                <w:rFonts w:hint="default" w:ascii="Arial" w:hAnsi="Arial" w:cs="Arial"/>
                <w:b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  <w:t>N/Y（%）</w:t>
            </w:r>
          </w:p>
        </w:tc>
        <w:tc>
          <w:tcPr>
            <w:tcW w:w="1263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9/14</w:t>
            </w:r>
          </w:p>
        </w:tc>
        <w:tc>
          <w:tcPr>
            <w:tcW w:w="1241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3/7</w:t>
            </w:r>
          </w:p>
        </w:tc>
        <w:tc>
          <w:tcPr>
            <w:tcW w:w="728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  <w:t>0.616</w:t>
            </w:r>
          </w:p>
        </w:tc>
        <w:tc>
          <w:tcPr>
            <w:tcW w:w="1268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9/14</w:t>
            </w:r>
          </w:p>
        </w:tc>
        <w:tc>
          <w:tcPr>
            <w:tcW w:w="1241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5/13</w:t>
            </w:r>
          </w:p>
        </w:tc>
        <w:tc>
          <w:tcPr>
            <w:tcW w:w="1000" w:type="dxa"/>
            <w:tcBorders>
              <w:right w:val="single" w:color="auto" w:sz="4" w:space="0"/>
            </w:tcBorders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  <w:t>0.447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1065" w:type="dxa"/>
            <w:tcBorders>
              <w:left w:val="single" w:color="auto" w:sz="4" w:space="0"/>
            </w:tcBorders>
            <w:shd w:val="clear" w:color="auto" w:fill="auto"/>
          </w:tcPr>
          <w:p>
            <w:pPr>
              <w:rPr>
                <w:rFonts w:hint="default" w:ascii="Arial" w:hAnsi="Arial" w:cs="Arial"/>
                <w:b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  <w:t>Clinical Activity Score</w:t>
            </w:r>
          </w:p>
        </w:tc>
        <w:tc>
          <w:tcPr>
            <w:tcW w:w="1263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3.04±1.36</w:t>
            </w:r>
          </w:p>
        </w:tc>
        <w:tc>
          <w:tcPr>
            <w:tcW w:w="1241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2.70±1.06</w:t>
            </w:r>
          </w:p>
        </w:tc>
        <w:tc>
          <w:tcPr>
            <w:tcW w:w="728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  <w:t>0.485</w:t>
            </w:r>
          </w:p>
        </w:tc>
        <w:tc>
          <w:tcPr>
            <w:tcW w:w="1268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2.65±1.40</w:t>
            </w:r>
          </w:p>
        </w:tc>
        <w:tc>
          <w:tcPr>
            <w:tcW w:w="1241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2.72±1.32</w:t>
            </w:r>
          </w:p>
        </w:tc>
        <w:tc>
          <w:tcPr>
            <w:tcW w:w="1000" w:type="dxa"/>
            <w:tcBorders>
              <w:right w:val="single" w:color="auto" w:sz="4" w:space="0"/>
            </w:tcBorders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  <w:t>0.871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1065" w:type="dxa"/>
            <w:tcBorders>
              <w:left w:val="single" w:color="auto" w:sz="4" w:space="0"/>
            </w:tcBorders>
            <w:shd w:val="clear" w:color="auto" w:fill="auto"/>
          </w:tcPr>
          <w:p>
            <w:pPr>
              <w:rPr>
                <w:rFonts w:hint="default" w:ascii="Arial" w:hAnsi="Arial" w:cs="Arial"/>
                <w:b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  <w:t>Visual functioning Score</w:t>
            </w:r>
          </w:p>
        </w:tc>
        <w:tc>
          <w:tcPr>
            <w:tcW w:w="1263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51.76±29.36</w:t>
            </w:r>
          </w:p>
        </w:tc>
        <w:tc>
          <w:tcPr>
            <w:tcW w:w="1241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62.94±28.05</w:t>
            </w:r>
          </w:p>
        </w:tc>
        <w:tc>
          <w:tcPr>
            <w:tcW w:w="728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  <w:t>0.316</w:t>
            </w:r>
          </w:p>
        </w:tc>
        <w:tc>
          <w:tcPr>
            <w:tcW w:w="1268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59.78±29.79</w:t>
            </w:r>
          </w:p>
        </w:tc>
        <w:tc>
          <w:tcPr>
            <w:tcW w:w="1241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65.24±29.67</w:t>
            </w:r>
          </w:p>
        </w:tc>
        <w:tc>
          <w:tcPr>
            <w:tcW w:w="1000" w:type="dxa"/>
            <w:tcBorders>
              <w:right w:val="single" w:color="auto" w:sz="4" w:space="0"/>
            </w:tcBorders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  <w:t>0.563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1065" w:type="dxa"/>
            <w:tcBorders>
              <w:left w:val="single" w:color="auto" w:sz="4" w:space="0"/>
            </w:tcBorders>
            <w:shd w:val="clear" w:color="auto" w:fill="auto"/>
          </w:tcPr>
          <w:p>
            <w:pPr>
              <w:rPr>
                <w:rFonts w:hint="default" w:ascii="Arial" w:hAnsi="Arial" w:cs="Arial"/>
                <w:b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  <w:t>Psychosocial functioning Score</w:t>
            </w:r>
          </w:p>
        </w:tc>
        <w:tc>
          <w:tcPr>
            <w:tcW w:w="1263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57.88±26.93</w:t>
            </w:r>
          </w:p>
        </w:tc>
        <w:tc>
          <w:tcPr>
            <w:tcW w:w="1241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60.63±29.32</w:t>
            </w:r>
          </w:p>
        </w:tc>
        <w:tc>
          <w:tcPr>
            <w:tcW w:w="728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  <w:t>0.795</w:t>
            </w:r>
          </w:p>
        </w:tc>
        <w:tc>
          <w:tcPr>
            <w:tcW w:w="1268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50.54±28.26</w:t>
            </w:r>
          </w:p>
        </w:tc>
        <w:tc>
          <w:tcPr>
            <w:tcW w:w="1241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54.51±24.14</w:t>
            </w:r>
          </w:p>
        </w:tc>
        <w:tc>
          <w:tcPr>
            <w:tcW w:w="1000" w:type="dxa"/>
            <w:tcBorders>
              <w:right w:val="single" w:color="auto" w:sz="4" w:space="0"/>
            </w:tcBorders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  <w:t>0.637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1065" w:type="dxa"/>
            <w:tcBorders>
              <w:left w:val="single" w:color="auto" w:sz="4" w:space="0"/>
            </w:tcBorders>
            <w:shd w:val="clear" w:color="auto" w:fill="auto"/>
          </w:tcPr>
          <w:p>
            <w:pPr>
              <w:rPr>
                <w:rFonts w:hint="default" w:ascii="Arial" w:hAnsi="Arial" w:cs="Arial"/>
                <w:b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  <w:t>Total scores of GO-QOL</w:t>
            </w:r>
          </w:p>
        </w:tc>
        <w:tc>
          <w:tcPr>
            <w:tcW w:w="1263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54.82±23.78</w:t>
            </w:r>
          </w:p>
        </w:tc>
        <w:tc>
          <w:tcPr>
            <w:tcW w:w="1241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61.79±23.57</w:t>
            </w:r>
          </w:p>
        </w:tc>
        <w:tc>
          <w:tcPr>
            <w:tcW w:w="728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  <w:t>0.444</w:t>
            </w:r>
          </w:p>
        </w:tc>
        <w:tc>
          <w:tcPr>
            <w:tcW w:w="1268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55.16±26.58</w:t>
            </w:r>
          </w:p>
        </w:tc>
        <w:tc>
          <w:tcPr>
            <w:tcW w:w="1241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59.88±22.31</w:t>
            </w:r>
          </w:p>
        </w:tc>
        <w:tc>
          <w:tcPr>
            <w:tcW w:w="1000" w:type="dxa"/>
            <w:tcBorders>
              <w:right w:val="single" w:color="auto" w:sz="4" w:space="0"/>
            </w:tcBorders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  <w:t>0.549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1065" w:type="dxa"/>
            <w:tcBorders>
              <w:left w:val="single" w:color="auto" w:sz="4" w:space="0"/>
            </w:tcBorders>
            <w:shd w:val="clear" w:color="auto" w:fill="auto"/>
          </w:tcPr>
          <w:p>
            <w:pPr>
              <w:rPr>
                <w:rFonts w:hint="default" w:ascii="Arial" w:hAnsi="Arial" w:cs="Arial"/>
                <w:b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  <w:t>TSH（mIU/L）</w:t>
            </w:r>
          </w:p>
        </w:tc>
        <w:tc>
          <w:tcPr>
            <w:tcW w:w="1263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1.38（0.66-2.56）</w:t>
            </w:r>
          </w:p>
        </w:tc>
        <w:tc>
          <w:tcPr>
            <w:tcW w:w="1241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0.71（0.12-5.11）</w:t>
            </w:r>
          </w:p>
        </w:tc>
        <w:tc>
          <w:tcPr>
            <w:tcW w:w="728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  <w:t>0.640</w:t>
            </w:r>
          </w:p>
        </w:tc>
        <w:tc>
          <w:tcPr>
            <w:tcW w:w="1268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1.67（0.12-2.83）</w:t>
            </w:r>
          </w:p>
        </w:tc>
        <w:tc>
          <w:tcPr>
            <w:tcW w:w="1241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1.63（0.29-3.08）</w:t>
            </w:r>
          </w:p>
        </w:tc>
        <w:tc>
          <w:tcPr>
            <w:tcW w:w="1000" w:type="dxa"/>
            <w:tcBorders>
              <w:right w:val="single" w:color="auto" w:sz="4" w:space="0"/>
            </w:tcBorders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  <w:t>0.509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1065" w:type="dxa"/>
            <w:tcBorders>
              <w:left w:val="single" w:color="auto" w:sz="4" w:space="0"/>
            </w:tcBorders>
            <w:shd w:val="clear" w:color="auto" w:fill="auto"/>
          </w:tcPr>
          <w:p>
            <w:pPr>
              <w:rPr>
                <w:rFonts w:hint="default" w:ascii="Arial" w:hAnsi="Arial" w:cs="Arial"/>
                <w:b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  <w:t>FT4</w:t>
            </w:r>
          </w:p>
        </w:tc>
        <w:tc>
          <w:tcPr>
            <w:tcW w:w="1263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12.90（10.67-15.73）</w:t>
            </w:r>
          </w:p>
        </w:tc>
        <w:tc>
          <w:tcPr>
            <w:tcW w:w="1241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15.76（12.38-17.62）</w:t>
            </w:r>
          </w:p>
        </w:tc>
        <w:tc>
          <w:tcPr>
            <w:tcW w:w="728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  <w:t>0.193</w:t>
            </w:r>
          </w:p>
        </w:tc>
        <w:tc>
          <w:tcPr>
            <w:tcW w:w="1268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13.76（11.79-15.51）</w:t>
            </w:r>
          </w:p>
        </w:tc>
        <w:tc>
          <w:tcPr>
            <w:tcW w:w="1241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14.45（12.27-16.97）</w:t>
            </w:r>
          </w:p>
        </w:tc>
        <w:tc>
          <w:tcPr>
            <w:tcW w:w="1000" w:type="dxa"/>
            <w:tcBorders>
              <w:right w:val="single" w:color="auto" w:sz="4" w:space="0"/>
            </w:tcBorders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  <w:t>0.306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1065" w:type="dxa"/>
            <w:tcBorders>
              <w:left w:val="single" w:color="auto" w:sz="4" w:space="0"/>
            </w:tcBorders>
            <w:shd w:val="clear" w:color="auto" w:fill="auto"/>
          </w:tcPr>
          <w:p>
            <w:pPr>
              <w:rPr>
                <w:rFonts w:hint="default" w:ascii="Arial" w:hAnsi="Arial" w:cs="Arial"/>
                <w:b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  <w:t>FT3</w:t>
            </w:r>
          </w:p>
        </w:tc>
        <w:tc>
          <w:tcPr>
            <w:tcW w:w="1263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4.43（4.21-5.16）</w:t>
            </w:r>
          </w:p>
        </w:tc>
        <w:tc>
          <w:tcPr>
            <w:tcW w:w="1241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4.71（4.34-5.02）</w:t>
            </w:r>
          </w:p>
        </w:tc>
        <w:tc>
          <w:tcPr>
            <w:tcW w:w="728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  <w:t>0.713</w:t>
            </w:r>
          </w:p>
        </w:tc>
        <w:tc>
          <w:tcPr>
            <w:tcW w:w="1268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4.46（3.73-4.75）</w:t>
            </w:r>
          </w:p>
        </w:tc>
        <w:tc>
          <w:tcPr>
            <w:tcW w:w="1241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4.75（3.86-5.39）</w:t>
            </w:r>
          </w:p>
        </w:tc>
        <w:tc>
          <w:tcPr>
            <w:tcW w:w="1000" w:type="dxa"/>
            <w:tcBorders>
              <w:right w:val="single" w:color="auto" w:sz="4" w:space="0"/>
            </w:tcBorders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  <w:t>0.204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1065" w:type="dxa"/>
            <w:tcBorders>
              <w:left w:val="single" w:color="auto" w:sz="4" w:space="0"/>
            </w:tcBorders>
            <w:shd w:val="clear" w:color="auto" w:fill="auto"/>
          </w:tcPr>
          <w:p>
            <w:pPr>
              <w:rPr>
                <w:rFonts w:hint="default" w:ascii="Arial" w:hAnsi="Arial" w:cs="Arial"/>
                <w:b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  <w:t>TRAb（IU/L）</w:t>
            </w:r>
          </w:p>
        </w:tc>
        <w:tc>
          <w:tcPr>
            <w:tcW w:w="1263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5.87（2.56-17.06）</w:t>
            </w:r>
          </w:p>
        </w:tc>
        <w:tc>
          <w:tcPr>
            <w:tcW w:w="1241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6.08（0.85-15.73）</w:t>
            </w:r>
          </w:p>
        </w:tc>
        <w:tc>
          <w:tcPr>
            <w:tcW w:w="728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  <w:t>0.619</w:t>
            </w:r>
          </w:p>
        </w:tc>
        <w:tc>
          <w:tcPr>
            <w:tcW w:w="1268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6.76（1.94-13.93）</w:t>
            </w:r>
          </w:p>
        </w:tc>
        <w:tc>
          <w:tcPr>
            <w:tcW w:w="1241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4.09（0.60-24.72）</w:t>
            </w:r>
          </w:p>
        </w:tc>
        <w:tc>
          <w:tcPr>
            <w:tcW w:w="1000" w:type="dxa"/>
            <w:tcBorders>
              <w:right w:val="single" w:color="auto" w:sz="4" w:space="0"/>
            </w:tcBorders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  <w:t>0.529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1065" w:type="dxa"/>
            <w:tcBorders>
              <w:left w:val="single" w:color="auto" w:sz="4" w:space="0"/>
            </w:tcBorders>
            <w:shd w:val="clear" w:color="auto" w:fill="auto"/>
          </w:tcPr>
          <w:p>
            <w:pPr>
              <w:rPr>
                <w:rFonts w:hint="default" w:ascii="Arial" w:hAnsi="Arial" w:cs="Arial"/>
                <w:b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  <w:t>TPOAb（+/-）</w:t>
            </w:r>
          </w:p>
        </w:tc>
        <w:tc>
          <w:tcPr>
            <w:tcW w:w="1263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color w:val="FF0000"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4/19（17.39%）</w:t>
            </w:r>
          </w:p>
        </w:tc>
        <w:tc>
          <w:tcPr>
            <w:tcW w:w="1241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color w:val="FF0000"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4/6（40.00%）</w:t>
            </w:r>
          </w:p>
        </w:tc>
        <w:tc>
          <w:tcPr>
            <w:tcW w:w="728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color w:val="FF0000"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  <w:t>0.164</w:t>
            </w:r>
          </w:p>
        </w:tc>
        <w:tc>
          <w:tcPr>
            <w:tcW w:w="1268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color w:val="FF0000"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12/11（52.17%）</w:t>
            </w:r>
          </w:p>
        </w:tc>
        <w:tc>
          <w:tcPr>
            <w:tcW w:w="1241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color w:val="FF0000"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5/13（27.78%）</w:t>
            </w:r>
          </w:p>
        </w:tc>
        <w:tc>
          <w:tcPr>
            <w:tcW w:w="1000" w:type="dxa"/>
            <w:tcBorders>
              <w:right w:val="single" w:color="auto" w:sz="4" w:space="0"/>
            </w:tcBorders>
            <w:shd w:val="clear" w:color="auto" w:fill="auto"/>
          </w:tcPr>
          <w:p>
            <w:pPr>
              <w:rPr>
                <w:rFonts w:hint="default" w:ascii="Arial" w:hAnsi="Arial" w:cs="Arial"/>
                <w:bCs/>
                <w:color w:val="FF0000"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  <w:t>0.116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1065" w:type="dxa"/>
            <w:tcBorders>
              <w:left w:val="single" w:color="auto" w:sz="4" w:space="0"/>
            </w:tcBorders>
            <w:shd w:val="clear" w:color="auto" w:fill="auto"/>
          </w:tcPr>
          <w:p>
            <w:pPr>
              <w:rPr>
                <w:rFonts w:hint="default" w:ascii="Arial" w:hAnsi="Arial" w:cs="Arial"/>
                <w:b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  <w:t>TgAb（+/-）</w:t>
            </w:r>
          </w:p>
        </w:tc>
        <w:tc>
          <w:tcPr>
            <w:tcW w:w="1263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1/22（4.34%）</w:t>
            </w:r>
          </w:p>
        </w:tc>
        <w:tc>
          <w:tcPr>
            <w:tcW w:w="1241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1/9（10.00%）</w:t>
            </w:r>
          </w:p>
        </w:tc>
        <w:tc>
          <w:tcPr>
            <w:tcW w:w="728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  <w:t>0.532</w:t>
            </w:r>
          </w:p>
        </w:tc>
        <w:tc>
          <w:tcPr>
            <w:tcW w:w="1268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6/17（26.09%）</w:t>
            </w:r>
          </w:p>
        </w:tc>
        <w:tc>
          <w:tcPr>
            <w:tcW w:w="1241" w:type="dxa"/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sz w:val="16"/>
                <w:szCs w:val="16"/>
              </w:rPr>
              <w:t>0/18（0%）</w:t>
            </w:r>
          </w:p>
        </w:tc>
        <w:tc>
          <w:tcPr>
            <w:tcW w:w="1000" w:type="dxa"/>
            <w:tcBorders>
              <w:right w:val="single" w:color="auto" w:sz="4" w:space="0"/>
            </w:tcBorders>
            <w:shd w:val="clear" w:color="auto" w:fill="auto"/>
          </w:tcPr>
          <w:p>
            <w:pP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Cs/>
                <w:kern w:val="0"/>
                <w:sz w:val="16"/>
                <w:szCs w:val="16"/>
              </w:rPr>
              <w:t>0.019</w:t>
            </w:r>
            <w:r>
              <w:rPr>
                <w:rFonts w:hint="default" w:ascii="Arial" w:hAnsi="Arial" w:cs="Arial"/>
                <w:sz w:val="16"/>
                <w:szCs w:val="16"/>
              </w:rPr>
              <w:t>*</w:t>
            </w:r>
          </w:p>
        </w:tc>
      </w:tr>
    </w:tbl>
    <w:p>
      <w:pPr>
        <w:rPr>
          <w:rFonts w:hint="default" w:ascii="Arial" w:hAnsi="Arial" w:cs="Arial"/>
        </w:rPr>
      </w:pPr>
    </w:p>
    <w:p>
      <w:pPr>
        <w:jc w:val="left"/>
        <w:rPr>
          <w:rFonts w:hint="default" w:ascii="Arial" w:hAnsi="Arial" w:cs="Arial"/>
          <w:sz w:val="16"/>
          <w:szCs w:val="16"/>
        </w:rPr>
      </w:pPr>
      <w:r>
        <w:rPr>
          <w:rFonts w:hint="default" w:ascii="Arial" w:hAnsi="Arial" w:cs="Arial"/>
          <w:sz w:val="16"/>
          <w:szCs w:val="16"/>
        </w:rPr>
        <w:t>Data were presented as M±SD or medians (interquartile ranges) or n (%) as appropriate.</w:t>
      </w:r>
    </w:p>
    <w:p>
      <w:pPr>
        <w:rPr>
          <w:rFonts w:hint="default" w:ascii="Arial" w:hAnsi="Arial" w:cs="Arial"/>
          <w:sz w:val="16"/>
          <w:szCs w:val="16"/>
        </w:rPr>
      </w:pPr>
      <w:r>
        <w:rPr>
          <w:rFonts w:hint="default" w:ascii="Arial" w:hAnsi="Arial" w:cs="Arial"/>
          <w:sz w:val="16"/>
          <w:szCs w:val="16"/>
        </w:rPr>
        <w:t xml:space="preserve">Abbreviations: TSH, thyroid-stimulating hormone; FT4, free thyroxine;FT3, Free Triiodothyronine; TPOAb, thyroid peroxidase antibody; TgAb, thyroglobulin antibody.  </w:t>
      </w:r>
    </w:p>
    <w:p>
      <w:pPr>
        <w:rPr>
          <w:rFonts w:hint="default" w:ascii="Arial" w:hAnsi="Arial" w:cs="Arial"/>
          <w:sz w:val="16"/>
          <w:szCs w:val="16"/>
        </w:rPr>
      </w:pPr>
      <w:r>
        <w:rPr>
          <w:rFonts w:hint="default" w:ascii="Arial" w:hAnsi="Arial" w:cs="Arial"/>
          <w:sz w:val="16"/>
          <w:szCs w:val="16"/>
        </w:rPr>
        <w:t>*</w:t>
      </w:r>
      <w:r>
        <w:rPr>
          <w:rFonts w:hint="default" w:ascii="Arial" w:hAnsi="Arial" w:cs="Arial"/>
          <w:sz w:val="16"/>
          <w:szCs w:val="16"/>
        </w:rPr>
        <w:t>P</w:t>
      </w:r>
      <w:r>
        <w:rPr>
          <w:rFonts w:hint="default" w:ascii="Arial" w:hAnsi="Arial" w:cs="Arial"/>
          <w:sz w:val="16"/>
          <w:szCs w:val="16"/>
        </w:rPr>
        <w:t>&lt;0.05</w:t>
      </w:r>
    </w:p>
    <w:p>
      <w:pPr>
        <w:rPr>
          <w:rFonts w:hint="default" w:ascii="Arial" w:hAnsi="Arial" w:cs="Arial"/>
          <w:sz w:val="16"/>
          <w:szCs w:val="16"/>
        </w:rPr>
      </w:pPr>
    </w:p>
    <w:p>
      <w:pPr>
        <w:rPr>
          <w:rFonts w:hint="default" w:ascii="Arial" w:hAnsi="Arial" w:cs="Arial"/>
        </w:rPr>
      </w:pPr>
    </w:p>
    <w:p>
      <w:pPr>
        <w:rPr>
          <w:rFonts w:hint="default" w:ascii="Arial" w:hAnsi="Arial" w:cs="Arial"/>
        </w:rPr>
      </w:pPr>
    </w:p>
    <w:p>
      <w:pPr>
        <w:rPr>
          <w:rFonts w:hint="default" w:ascii="Arial" w:hAnsi="Arial" w:cs="Arial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MyZDhmZTAxYmQwZWFlMjdiYWQzOThiOWZiMTVlMmIifQ=="/>
    <w:docVar w:name="KSO_WPS_MARK_KEY" w:val="fcadd6f8-3cf4-4aa6-a07c-6e3ca70ff766"/>
  </w:docVars>
  <w:rsids>
    <w:rsidRoot w:val="00B12116"/>
    <w:rsid w:val="003629F7"/>
    <w:rsid w:val="00722B57"/>
    <w:rsid w:val="00724D1E"/>
    <w:rsid w:val="007A0B14"/>
    <w:rsid w:val="008A7F4B"/>
    <w:rsid w:val="0090280E"/>
    <w:rsid w:val="00AF176E"/>
    <w:rsid w:val="00B12116"/>
    <w:rsid w:val="00BF18AD"/>
    <w:rsid w:val="00C06C92"/>
    <w:rsid w:val="00D358E8"/>
    <w:rsid w:val="00EE2D46"/>
    <w:rsid w:val="00F656EF"/>
    <w:rsid w:val="0B073AE9"/>
    <w:rsid w:val="127966C3"/>
    <w:rsid w:val="175E414D"/>
    <w:rsid w:val="18502559"/>
    <w:rsid w:val="284B2CED"/>
    <w:rsid w:val="2AC22439"/>
    <w:rsid w:val="3C33273A"/>
    <w:rsid w:val="43340229"/>
    <w:rsid w:val="4DF839F9"/>
    <w:rsid w:val="589B5CF2"/>
    <w:rsid w:val="5D673937"/>
    <w:rsid w:val="68AD1178"/>
    <w:rsid w:val="6B2F429C"/>
    <w:rsid w:val="71084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35"/>
    <w:rPr>
      <w:rFonts w:ascii="Arial" w:hAnsi="Arial" w:eastAsia="黑体"/>
      <w:sz w:val="20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link w:val="4"/>
    <w:qFormat/>
    <w:uiPriority w:val="99"/>
    <w:rPr>
      <w:sz w:val="18"/>
      <w:szCs w:val="18"/>
    </w:rPr>
  </w:style>
  <w:style w:type="character" w:customStyle="1" w:styleId="8">
    <w:name w:val="页脚 字符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770</Words>
  <Characters>3502</Characters>
  <Lines>10</Lines>
  <Paragraphs>2</Paragraphs>
  <TotalTime>2</TotalTime>
  <ScaleCrop>false</ScaleCrop>
  <LinksUpToDate>false</LinksUpToDate>
  <CharactersWithSpaces>3674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2022-10-06T08:58:00Z</dcterms:created>
  <dc:creator>chuyuan0215</dc:creator>
  <cp:lastModifiedBy>楚媛</cp:lastModifiedBy>
  <dcterms:modified xsi:type="dcterms:W3CDTF">2023-10-11T02:16:00Z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33BE23ECD43A48069854ABCC899E3BE5</vt:lpwstr>
  </property>
</Properties>
</file>