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1317" w:rsidRDefault="00D21317" w:rsidP="00D21317">
      <w:pPr>
        <w:spacing w:line="480" w:lineRule="auto"/>
        <w:contextualSpacing/>
        <w:jc w:val="both"/>
        <w:rPr>
          <w:rFonts w:ascii="Times New Roman" w:hAnsi="Times New Roman" w:cs="Times New Roman"/>
          <w:b/>
          <w:bCs/>
          <w:color w:val="000000" w:themeColor="text1"/>
          <w:lang w:val="en-US"/>
        </w:rPr>
      </w:pPr>
      <w:bookmarkStart w:id="0" w:name="_GoBack"/>
      <w:bookmarkEnd w:id="0"/>
      <w:r w:rsidRPr="001835DE">
        <w:rPr>
          <w:rFonts w:ascii="Times New Roman" w:hAnsi="Times New Roman" w:cs="Times New Roman"/>
          <w:b/>
          <w:bCs/>
          <w:color w:val="000000" w:themeColor="text1"/>
          <w:lang w:val="en-US"/>
        </w:rPr>
        <w:t>Supplementary Data</w:t>
      </w:r>
    </w:p>
    <w:p w:rsidR="00D21317" w:rsidRPr="001835DE" w:rsidRDefault="00D21317" w:rsidP="00D21317">
      <w:pPr>
        <w:spacing w:line="480" w:lineRule="auto"/>
        <w:contextualSpacing/>
        <w:jc w:val="both"/>
        <w:rPr>
          <w:rFonts w:ascii="Times New Roman" w:hAnsi="Times New Roman" w:cs="Times New Roman"/>
          <w:b/>
          <w:bCs/>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Supplementary Data 1. Effects of infigratinib, FGF401, and infigratinib/FGF401 on cell cycle and tumor growth of HCC models.</w:t>
      </w:r>
      <w:r w:rsidRPr="001835DE">
        <w:rPr>
          <w:rFonts w:ascii="Times New Roman" w:hAnsi="Times New Roman" w:cs="Times New Roman"/>
          <w:color w:val="000000" w:themeColor="text1"/>
          <w:lang w:val="en-US"/>
        </w:rPr>
        <w:t xml:space="preserve"> HCC01-0909 cells were plated at a density of 5 x 10</w:t>
      </w:r>
      <w:r w:rsidRPr="001835DE">
        <w:rPr>
          <w:rFonts w:ascii="Times New Roman" w:hAnsi="Times New Roman" w:cs="Times New Roman"/>
          <w:color w:val="000000" w:themeColor="text1"/>
          <w:vertAlign w:val="superscript"/>
          <w:lang w:val="en-US"/>
        </w:rPr>
        <w:t>5</w:t>
      </w:r>
      <w:r w:rsidRPr="001835DE">
        <w:rPr>
          <w:rFonts w:ascii="Times New Roman" w:hAnsi="Times New Roman" w:cs="Times New Roman"/>
          <w:color w:val="000000" w:themeColor="text1"/>
          <w:lang w:val="en-US"/>
        </w:rPr>
        <w:t xml:space="preserve"> and then treated with either 0.1% DMSO, 0.5 µM of infigratinib, 1.0 µM of FGF401, or the indicated doses of infigratinib/FGF401 in growth medium for 24h. Cell cycle analysis was performed as described in </w:t>
      </w:r>
      <w:r w:rsidRPr="001835DE">
        <w:rPr>
          <w:rFonts w:ascii="Times New Roman" w:hAnsi="Times New Roman" w:cs="Times New Roman"/>
          <w:b/>
          <w:bCs/>
          <w:color w:val="000000" w:themeColor="text1"/>
          <w:lang w:val="en-US"/>
        </w:rPr>
        <w:t xml:space="preserve">Supplementary Materials and Methods </w:t>
      </w:r>
      <w:r w:rsidRPr="001835DE">
        <w:rPr>
          <w:rFonts w:ascii="Times New Roman" w:hAnsi="Times New Roman" w:cs="Times New Roman"/>
          <w:bCs/>
          <w:color w:val="000000" w:themeColor="text1"/>
          <w:lang w:val="en-US"/>
        </w:rPr>
        <w:t>and cell cycle distribution is shown in</w:t>
      </w:r>
      <w:r w:rsidRPr="001835DE">
        <w:rPr>
          <w:rFonts w:ascii="Times New Roman" w:hAnsi="Times New Roman" w:cs="Times New Roman"/>
          <w:b/>
          <w:bCs/>
          <w:color w:val="000000" w:themeColor="text1"/>
          <w:lang w:val="en-US"/>
        </w:rPr>
        <w:t xml:space="preserve"> A. </w:t>
      </w:r>
      <w:r w:rsidRPr="001835DE">
        <w:rPr>
          <w:rFonts w:ascii="Times New Roman" w:hAnsi="Times New Roman" w:cs="Times New Roman"/>
          <w:color w:val="000000" w:themeColor="text1"/>
          <w:lang w:val="en-US"/>
        </w:rPr>
        <w:t>High FGF19-expressing HCC26-1004 (</w:t>
      </w:r>
      <w:r w:rsidRPr="001835DE">
        <w:rPr>
          <w:rFonts w:ascii="Times New Roman" w:hAnsi="Times New Roman" w:cs="Times New Roman"/>
          <w:b/>
          <w:color w:val="000000" w:themeColor="text1"/>
          <w:lang w:val="en-US"/>
        </w:rPr>
        <w:t>B</w:t>
      </w:r>
      <w:r w:rsidRPr="001835DE">
        <w:rPr>
          <w:rFonts w:ascii="Times New Roman" w:hAnsi="Times New Roman" w:cs="Times New Roman"/>
          <w:color w:val="000000" w:themeColor="text1"/>
          <w:lang w:val="en-US"/>
        </w:rPr>
        <w:t>), high FGFR2/3-expressing HCC26-0808A (</w:t>
      </w:r>
      <w:r w:rsidRPr="001835DE">
        <w:rPr>
          <w:rFonts w:ascii="Times New Roman" w:hAnsi="Times New Roman" w:cs="Times New Roman"/>
          <w:b/>
          <w:color w:val="000000" w:themeColor="text1"/>
          <w:lang w:val="en-US"/>
        </w:rPr>
        <w:t>C</w:t>
      </w:r>
      <w:r w:rsidRPr="001835DE">
        <w:rPr>
          <w:rFonts w:ascii="Times New Roman" w:hAnsi="Times New Roman" w:cs="Times New Roman"/>
          <w:color w:val="000000" w:themeColor="text1"/>
          <w:lang w:val="en-US"/>
        </w:rPr>
        <w:t>), high FGF19-expressing HCC13-0212 (</w:t>
      </w:r>
      <w:r w:rsidRPr="001835DE">
        <w:rPr>
          <w:rFonts w:ascii="Times New Roman" w:hAnsi="Times New Roman" w:cs="Times New Roman"/>
          <w:b/>
          <w:color w:val="000000" w:themeColor="text1"/>
          <w:lang w:val="en-US"/>
        </w:rPr>
        <w:t>D</w:t>
      </w:r>
      <w:r w:rsidRPr="001835DE">
        <w:rPr>
          <w:rFonts w:ascii="Times New Roman" w:hAnsi="Times New Roman" w:cs="Times New Roman"/>
          <w:color w:val="000000" w:themeColor="text1"/>
          <w:lang w:val="en-US"/>
        </w:rPr>
        <w:t>), high FGFR2/3-expressing sorafenib-resistant HCC06-0606Sor87 (</w:t>
      </w:r>
      <w:r w:rsidRPr="001835DE">
        <w:rPr>
          <w:rFonts w:ascii="Times New Roman" w:hAnsi="Times New Roman" w:cs="Times New Roman"/>
          <w:b/>
          <w:color w:val="000000" w:themeColor="text1"/>
          <w:lang w:val="en-US"/>
        </w:rPr>
        <w:t>E</w:t>
      </w:r>
      <w:r w:rsidRPr="001835DE">
        <w:rPr>
          <w:rFonts w:ascii="Times New Roman" w:hAnsi="Times New Roman" w:cs="Times New Roman"/>
          <w:color w:val="000000" w:themeColor="text1"/>
          <w:lang w:val="en-US"/>
        </w:rPr>
        <w:t>) and low FGFR-expressing HCC10-0505 (</w:t>
      </w:r>
      <w:r w:rsidRPr="001835DE">
        <w:rPr>
          <w:rFonts w:ascii="Times New Roman" w:hAnsi="Times New Roman" w:cs="Times New Roman"/>
          <w:b/>
          <w:color w:val="000000" w:themeColor="text1"/>
          <w:lang w:val="en-US"/>
        </w:rPr>
        <w:t>F</w:t>
      </w:r>
      <w:r w:rsidRPr="001835DE">
        <w:rPr>
          <w:rFonts w:ascii="Times New Roman" w:hAnsi="Times New Roman" w:cs="Times New Roman"/>
          <w:color w:val="000000" w:themeColor="text1"/>
          <w:lang w:val="en-US"/>
        </w:rPr>
        <w:t xml:space="preserve">) were implanted subcutaneously into SCID mice as described in Materials and Methods. Mice bearing indicated tumors were randomized and divided into four groups. They treated as described in Figure 1 for the indicated days. Each treatment arm comprised 8–10 independent tumor-bearing mice. Tumor growth was monitored and tumor volumes over time were calculated as previously described </w:t>
      </w:r>
      <w:r w:rsidRPr="001835DE">
        <w:rPr>
          <w:rFonts w:ascii="Times New Roman" w:hAnsi="Times New Roman" w:cs="Times New Roman"/>
          <w:color w:val="000000" w:themeColor="text1"/>
          <w:lang w:val="en-US"/>
        </w:rPr>
        <w:fldChar w:fldCharType="begin" w:fldLock="1"/>
      </w:r>
      <w:r w:rsidRPr="001835DE">
        <w:rPr>
          <w:rFonts w:ascii="Times New Roman" w:hAnsi="Times New Roman" w:cs="Times New Roman"/>
          <w:color w:val="000000" w:themeColor="text1"/>
          <w:lang w:val="en-US"/>
        </w:rPr>
        <w:instrText>ADDIN CSL_CITATION {"citationItems":[{"id":"ITEM-1","itemData":{"DOI":"10.1002/hep.30481","ISSN":"1527-3350 (Electronic)","PMID":"30575985","abstract":"The fibroblast growth factor (FGF) signaling cascade is a key signaling pathway in hepatocarcinogenesis. We report high FGF receptor (FGFR) expression in 17.7% (11 of 62) of hepatocellular carcinoma (HCC) models. Infigratinib, a pan-FGFR inhibitor, potently suppresses the growth of high-FGFR-expressing and sorafenib-resistant HCCs. Infigratinib inhibits FGFR signaling and its downstream targets, cell proliferation, the angiogenic rescue program, hypoxia, invasion, and metastasis. Infigratinib also induces apoptosis and vessel normalization and improves the overall survival of mice bearing FGFR-driven HCCs. Infigratinib acts in synergy with the microtubule-depolymerizing drug vinorelbine to promote apoptosis, suppress tumor growth, and improve the overall survival of mice. Increased expression levels of FGFR-2 and FGFR-3 through gene amplification correlate with treatment response and may serve as potential biomarkers for patient selection. Conclusion: Treatments with Infigratinib alone or in combination with vinorelbine may be effective in a subset of patients with HCC with FGFR-driven tumors.","author":[{"dropping-particle":"","family":"Huynh","given":"Hung","non-dropping-particle":"","parse-names":false,"suffix":""},{"dropping-particle":"","family":"Lee","given":"Liek Yeow","non-dropping-particle":"","parse-names":false,"suffix":""},{"dropping-particle":"","family":"Goh","given":"Kah Yong","non-dropping-particle":"","parse-names":false,"suffix":""},{"dropping-particle":"","family":"Ong","given":"Richard","non-dropping-particle":"","parse-names":false,"suffix":""},{"dropping-particle":"","family":"Hao","given":"Huai-Xiang","non-dropping-particle":"","parse-names":false,"suffix":""},{"dropping-particle":"","family":"Huang","given":"Alan","non-dropping-particle":"","parse-names":false,"suffix":""},{"dropping-particle":"","family":"Wang","given":"Youzhen","non-dropping-particle":"","parse-names":false,"suffix":""},{"dropping-particle":"","family":"Graus Porta","given":"Diana","non-dropping-particle":"","parse-names":false,"suffix":""},{"dropping-particle":"","family":"Chow","given":"Pierce","non-dropping-particle":"","parse-names":false,"suffix":""},{"dropping-particle":"","family":"Chung","given":"Alexander","non-dropping-particle":"","parse-names":false,"suffix":""}],"container-title":"Hepatology (Baltimore, Md.)","id":"ITEM-1","issue":"3","issued":{"date-parts":[["2019","3"]]},"language":"eng","page":"943-958","publisher-place":"United States","title":"Infigratinib Mediates Vascular Normalization, Impairs Metastasis, and Improves Chemotherapy in Hepatocellular Carcinoma.","type":"article-journal","volume":"69"},"uris":["http://www.mendeley.com/documents/?uuid=1c0eee18-05ea-4f5d-953b-7a8454cfc077"]}],"mendeley":{"formattedCitation":"[12]","plainTextFormattedCitation":"[12]","previouslyFormattedCitation":"[12]"},"properties":{"noteIndex":0},"schema":"https://github.com/citation-style-language/schema/raw/master/csl-citation.json"}</w:instrText>
      </w:r>
      <w:r w:rsidRPr="001835DE">
        <w:rPr>
          <w:rFonts w:ascii="Times New Roman" w:hAnsi="Times New Roman" w:cs="Times New Roman"/>
          <w:color w:val="000000" w:themeColor="text1"/>
          <w:lang w:val="en-US"/>
        </w:rPr>
        <w:fldChar w:fldCharType="separate"/>
      </w:r>
      <w:r w:rsidRPr="001835DE">
        <w:rPr>
          <w:rFonts w:ascii="Times New Roman" w:hAnsi="Times New Roman" w:cs="Times New Roman"/>
          <w:noProof/>
          <w:color w:val="000000" w:themeColor="text1"/>
          <w:lang w:val="en-US"/>
        </w:rPr>
        <w:t>[12]</w:t>
      </w:r>
      <w:r w:rsidRPr="001835DE">
        <w:rPr>
          <w:rFonts w:ascii="Times New Roman" w:hAnsi="Times New Roman" w:cs="Times New Roman"/>
          <w:color w:val="000000" w:themeColor="text1"/>
          <w:lang w:val="en-US"/>
        </w:rPr>
        <w:fldChar w:fldCharType="end"/>
      </w:r>
      <w:r w:rsidRPr="001835DE">
        <w:rPr>
          <w:rFonts w:ascii="Times New Roman" w:hAnsi="Times New Roman" w:cs="Times New Roman"/>
          <w:color w:val="000000" w:themeColor="text1"/>
          <w:lang w:val="en-US"/>
        </w:rPr>
        <w:t xml:space="preserve"> and are shown.</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Supplementary Data 2. Toxicity associated with infigratinib/FGF401 treatment.</w:t>
      </w:r>
      <w:r w:rsidRPr="001835DE">
        <w:rPr>
          <w:rFonts w:ascii="Times New Roman" w:hAnsi="Times New Roman" w:cs="Times New Roman"/>
          <w:color w:val="000000" w:themeColor="text1"/>
          <w:lang w:val="en-US"/>
        </w:rPr>
        <w:t xml:space="preserve"> High FGFR2/3-expressing HCC01-0909 tumors were implanted subcutaneously into SCID mice as described in Materials and Methods. Mice bearing HCC01-0909 tumors were orally treated with </w:t>
      </w:r>
      <w:r w:rsidRPr="001835DE">
        <w:rPr>
          <w:rFonts w:ascii="Times New Roman" w:hAnsi="Times New Roman" w:cs="Times New Roman"/>
          <w:b/>
          <w:bCs/>
          <w:color w:val="000000" w:themeColor="text1"/>
          <w:lang w:val="en-US"/>
        </w:rPr>
        <w:t>1)</w:t>
      </w:r>
      <w:r w:rsidRPr="001835DE">
        <w:rPr>
          <w:rFonts w:ascii="Times New Roman" w:hAnsi="Times New Roman" w:cs="Times New Roman"/>
          <w:color w:val="000000" w:themeColor="text1"/>
          <w:lang w:val="en-US"/>
        </w:rPr>
        <w:t xml:space="preserve"> vehicle (control), </w:t>
      </w:r>
      <w:r w:rsidRPr="001835DE">
        <w:rPr>
          <w:rFonts w:ascii="Times New Roman" w:hAnsi="Times New Roman" w:cs="Times New Roman"/>
          <w:b/>
          <w:bCs/>
          <w:color w:val="000000" w:themeColor="text1"/>
          <w:lang w:val="en-US"/>
        </w:rPr>
        <w:t>2)</w:t>
      </w:r>
      <w:r w:rsidRPr="001835DE">
        <w:rPr>
          <w:rFonts w:ascii="Times New Roman" w:hAnsi="Times New Roman" w:cs="Times New Roman"/>
          <w:color w:val="000000" w:themeColor="text1"/>
          <w:lang w:val="en-US"/>
        </w:rPr>
        <w:t xml:space="preserve"> 15 mg/kg infigratinib once daily, </w:t>
      </w:r>
      <w:r w:rsidRPr="001835DE">
        <w:rPr>
          <w:rFonts w:ascii="Times New Roman" w:hAnsi="Times New Roman" w:cs="Times New Roman"/>
          <w:b/>
          <w:bCs/>
          <w:color w:val="000000" w:themeColor="text1"/>
          <w:lang w:val="en-US"/>
        </w:rPr>
        <w:t>3)</w:t>
      </w:r>
      <w:r w:rsidRPr="001835DE">
        <w:rPr>
          <w:rFonts w:ascii="Times New Roman" w:hAnsi="Times New Roman" w:cs="Times New Roman"/>
          <w:color w:val="000000" w:themeColor="text1"/>
          <w:lang w:val="en-US"/>
        </w:rPr>
        <w:t xml:space="preserve"> 30 mg/kg FGF401 twice daily, or </w:t>
      </w:r>
      <w:r w:rsidRPr="001835DE">
        <w:rPr>
          <w:rFonts w:ascii="Times New Roman" w:hAnsi="Times New Roman" w:cs="Times New Roman"/>
          <w:b/>
          <w:bCs/>
          <w:color w:val="000000" w:themeColor="text1"/>
          <w:lang w:val="en-US"/>
        </w:rPr>
        <w:t>4)</w:t>
      </w:r>
      <w:r w:rsidRPr="001835DE">
        <w:rPr>
          <w:rFonts w:ascii="Times New Roman" w:hAnsi="Times New Roman" w:cs="Times New Roman"/>
          <w:color w:val="000000" w:themeColor="text1"/>
          <w:lang w:val="en-US"/>
        </w:rPr>
        <w:t xml:space="preserve"> indicated combined infigratinib and FGF401 as described in Figure 2. Additional four groups were treated with vehicle and four combinations in a step-down fashion (15:30, 10:20, 7.5:15, and 5:10 infigratinib:FGF401) for 15 days. Each group consisted of eight mice. Treatment was initiated when the tumors reached sizes of approximately 170–250 mm</w:t>
      </w:r>
      <w:r w:rsidRPr="001835DE">
        <w:rPr>
          <w:rFonts w:ascii="Times New Roman" w:hAnsi="Times New Roman" w:cs="Times New Roman"/>
          <w:color w:val="000000" w:themeColor="text1"/>
          <w:vertAlign w:val="superscript"/>
          <w:lang w:val="en-US"/>
        </w:rPr>
        <w:t>3</w:t>
      </w:r>
      <w:r w:rsidRPr="001835DE">
        <w:rPr>
          <w:rFonts w:ascii="Times New Roman" w:hAnsi="Times New Roman" w:cs="Times New Roman"/>
          <w:color w:val="000000" w:themeColor="text1"/>
          <w:lang w:val="en-US"/>
        </w:rPr>
        <w:t>. Representative photographs of mice from vehicle- and drug-treated mice were taken at the end of the treatments and are shown (A). Throughout the course of treatment, no significant body weight loss or other clinical signs of toxicity were observed in the mice of the treatment groups compared to those of the vehicle group, indicating that the toxicity associated with infigratinib/FGF401 is acceptable.</w:t>
      </w:r>
      <w:r w:rsidRPr="001835DE">
        <w:rPr>
          <w:rFonts w:ascii="Times New Roman" w:hAnsi="Times New Roman" w:cs="Times New Roman"/>
          <w:b/>
          <w:bCs/>
          <w:color w:val="000000" w:themeColor="text1"/>
          <w:lang w:val="en-US"/>
        </w:rPr>
        <w:t xml:space="preserve"> (B) </w:t>
      </w:r>
      <w:r w:rsidRPr="001835DE">
        <w:rPr>
          <w:rFonts w:ascii="Times New Roman" w:hAnsi="Times New Roman" w:cs="Times New Roman"/>
          <w:color w:val="000000" w:themeColor="text1"/>
          <w:lang w:val="en-US"/>
        </w:rPr>
        <w:t xml:space="preserve">Full blood count and serum derived from mice treated with vehicle, infigratinib, FGF401, and infigratinib plus FGF401 as described in Figure 1 for 21 days were analyzed using the Preventive Care Profile Plus (Abaxis, Inc, Union City, CA, USA) according to the manufacturer’s instructions. Treatment of mice with infigratinib resulted in an elevation in serum alkaline phosphatase (ALP), alanine transaminase (ALT), and aspartate transaminase (AST), indicative of liver damage. These observations were consistent with the safety profiles of infigratinib in human studies </w:t>
      </w:r>
      <w:r w:rsidRPr="001835DE">
        <w:rPr>
          <w:rFonts w:ascii="Times New Roman" w:hAnsi="Times New Roman" w:cs="Times New Roman"/>
          <w:color w:val="000000" w:themeColor="text1"/>
          <w:lang w:val="en-US"/>
        </w:rPr>
        <w:fldChar w:fldCharType="begin" w:fldLock="1"/>
      </w:r>
      <w:r>
        <w:rPr>
          <w:rFonts w:ascii="Times New Roman" w:hAnsi="Times New Roman" w:cs="Times New Roman"/>
          <w:color w:val="000000" w:themeColor="text1"/>
          <w:lang w:val="en-US"/>
        </w:rPr>
        <w:instrText>ADDIN CSL_CITATION {"citationItems":[{"id":"ITEM-1","itemData":{"DOI":"10.1200/JCO.2016.67.2048","ISSN":"1527-7755 (Electronic)","PMID":"27870574","abstract":"Purpose This two-part, first-in-human study was initiated in patients with advanced  solid tumors harboring genetic alterations in fibroblast growth factor receptors (FGFRs) to determine the maximum tolerated dose (MTD), the recommended phase II dose (RP2D), and the schedule, safety, pharmacokinetics, pharmacodynamics, and antitumor activity of oral BGJ398, a selective FGFR1-3 tyrosine kinase inhibitor. Patients and Methods Adult patients were treated with escalating dosages of BGJ398 5 to 150 mg once daily or 50 mg twice daily continuously in 28-day cycles. During expansion at the MTD, patients with FGFR1-amplified squamous cell non-small-cell lung cancer (sqNSCLC; arm 1) or other solid tumors with FGFR genetic alterations (mutations/amplifications/fusions) received BGJ398 daily on a continuous schedule (arm 2), or on a 3-weeks-on/1-week-off schedule (arm 3). Results Data in 132 patients from the escalation and expansion arms are reported (May 15, 2015, cutoff). The MTD, 125 mg daily, was determined on the basis of dose-limiting toxicities in four patients (100 mg, grade 3 aminotransferase elevations [n = 1]; 125 mg, hyperphosphatemia [n = 1]; 150 mg, grade 1 corneal toxicity [n = 1] and grade 3 aminotransferase elevations [n = 1]). Common adverse events in patients treated at the MTD (n = 57) included hyperphosphatemia (82.5%), constipation (50.9%), decreased appetite (45.6%), and stomatitis (45.6%). A similar safety profile was observed using the 3-weeks-on/1-week-off schedule (RP2D). However, adverse event-related dose adjustments/interruptions were less frequent with the 3-weeks-on/1-week-off (50.0%) versus the continuous (73.7%) schedule. Antitumor activity (seven partial responses [six confirmed]) was demonstrated with BGJ398 doses ≥ 100 mg in patients with FGFR1-amplified sqNSCLC and FGFR3-mutant bladder/urothelial cancer. Conclusion BGJ398 at the MTD/RP2D had a tolerable and manageable safety profile and showed antitumor activity in several tumor types, including FGFR1-amplified sqNSCLC and FGFR3-mutant bladder/urothelial cancers.","author":[{"dropping-particle":"","family":"Nogova","given":"Lucia","non-dropping-particle":"","parse-names":false,"suffix":""},{"dropping-particle":"V","family":"Sequist","given":"Lecia","non-dropping-particle":"","parse-names":false,"suffix":""},{"dropping-particle":"","family":"Perez Garcia","given":"Jose Manuel","non-dropping-particle":"","parse-names":false,"suffix":""},{"dropping-particle":"","family":"Andre","given":"Fabrice","non-dropping-particle":"","parse-names":false,"suffix":""},{"dropping-particle":"","family":"Delord","given":"Jean-Pierre","non-dropping-particle":"","parse-names":false,"suffix":""},{"dropping-particle":"","family":"Hidalgo","given":"Manuel","non-dropping-particle":"","parse-names":false,"suffix":""},{"dropping-particle":"","family":"Schellens","given":"Jan H M","non-dropping-particle":"","parse-names":false,"suffix":""},{"dropping-particle":"","family":"Cassier","given":"Philippe A","non-dropping-particle":"","parse-names":false,"suffix":""},{"dropping-particle":"","family":"Camidge","given":"D Ross","non-dropping-particle":"","parse-names":false,"suffix":""},{"dropping-particle":"","family":"Schuler","given":"Martin","non-dropping-particle":"","parse-names":false,"suffix":""},{"dropping-particle":"","family":"Vaishampayan","given":"Ulka","non-dropping-particle":"","parse-names":false,"suffix":""},{"dropping-particle":"","family":"Burris","given":"Howard","non-dropping-particle":"","parse-names":false,"suffix":""},{"dropping-particle":"","family":"Tian","given":"G Gary","non-dropping-particle":"","parse-names":false,"suffix":""},{"dropping-particle":"","family":"Campone","given":"Mario","non-dropping-particle":"","parse-names":false,"suffix":""},{"dropping-particle":"","family":"Wainberg","given":"Zev A","non-dropping-particle":"","parse-names":false,"suffix":""},{"dropping-particle":"","family":"Lim","given":"Wan-Teck","non-dropping-particle":"","parse-names":false,"suffix":""},{"dropping-particle":"","family":"LoRusso","given":"Patricia","non-dropping-particle":"","parse-names":false,"suffix":""},{"dropping-particle":"","family":"Shapiro","given":"Geoffrey I","non-dropping-particle":"","parse-names":false,"suffix":""},{"dropping-particle":"","family":"Parker","given":"Katie","non-dropping-particle":"","parse-names":false,"suffix":""},{"dropping-particle":"","family":"Chen","given":"Xueying","non-dropping-particle":"","parse-names":false,"suffix":""},{"dropping-particle":"","family":"Choudhury","given":"Somesh","non-dropping-particle":"","parse-names":false,"suffix":""},{"dropping-particle":"","family":"Ringeisen","given":"Francois","non-dropping-particle":"","parse-names":false,"suffix":""},{"dropping-particle":"","family":"Graus-Porta","given":"Diana","non-dropping-particle":"","parse-names":false,"suffix":""},{"dropping-particle":"","family":"Porter","given":"Dale","non-dropping-particle":"","parse-names":false,"suffix":""},{"dropping-particle":"","family":"Isaacs","given":"Randi","non-dropping-particle":"","parse-names":false,"suffix":""},{"dropping-particle":"","family":"Buettner","given":"Reinhard","non-dropping-particle":"","parse-names":false,"suffix":""},{"dropping-particle":"","family":"Wolf","given":"Jürgen","non-dropping-particle":"","parse-names":false,"suffix":""}],"container-title":"Journal of clinical oncology : official journal of the American Society of Clinical  Oncology","id":"ITEM-1","issue":"2","issued":{"date-parts":[["2017","1"]]},"language":"eng","page":"157-165","title":"Evaluation of BGJ398, a Fibroblast Growth Factor Receptor 1-3 Kinase Inhibitor, in  Patients With Advanced Solid Tumors Harboring Genetic Alterations in Fibroblast Growth Factor Receptors: Results of a Global Phase I, Dose-Escalation and Dose-Expansion St","type":"article-journal","volume":"35"},"uris":["http://www.mendeley.com/documents/?uuid=89e06c61-3990-4efa-9460-59ac5b9c18ed"]},{"id":"ITEM-2","itemData":{"DOI":"10.1038/nrd.2018.146","ISSN":"1474-1784 (Electronic)","PMID":"30168534","author":[{"dropping-particle":"","family":"Dawkins","given":"Joshua","non-dropping-particle":"","parse-names":false,"suffix":""},{"dropping-particle":"","family":"Webster","given":"Rachel M","non-dropping-particle":"","parse-names":false,"suffix":""}],"container-title":"Nature reviews. Drug discovery","id":"ITEM-2","issue":"1","issued":{"date-parts":[["2019","1"]]},"language":"eng","page":"13-14","publisher-place":"England","title":"The hepatocellular carcinoma market.","type":"article-journal","volume":"18"},"uris":["http://www.mendeley.com/documents/?uuid=a9a344d3-8c5f-4ed1-b233-f3d14e33d0bc"]}],"mendeley":{"formattedCitation":"[27,28]","plainTextFormattedCitation":"[27,28]","previouslyFormattedCitation":"[28,29]"},"properties":{"noteIndex":0},"schema":"https://github.com/citation-style-language/schema/raw/master/csl-citation.json"}</w:instrText>
      </w:r>
      <w:r w:rsidRPr="001835DE">
        <w:rPr>
          <w:rFonts w:ascii="Times New Roman" w:hAnsi="Times New Roman" w:cs="Times New Roman"/>
          <w:color w:val="000000" w:themeColor="text1"/>
          <w:lang w:val="en-US"/>
        </w:rPr>
        <w:fldChar w:fldCharType="separate"/>
      </w:r>
      <w:r w:rsidRPr="00B3678E">
        <w:rPr>
          <w:rFonts w:ascii="Times New Roman" w:hAnsi="Times New Roman" w:cs="Times New Roman"/>
          <w:noProof/>
          <w:color w:val="000000" w:themeColor="text1"/>
          <w:lang w:val="en-US"/>
        </w:rPr>
        <w:t>[27,28]</w:t>
      </w:r>
      <w:r w:rsidRPr="001835DE">
        <w:rPr>
          <w:rFonts w:ascii="Times New Roman" w:hAnsi="Times New Roman" w:cs="Times New Roman"/>
          <w:color w:val="000000" w:themeColor="text1"/>
          <w:lang w:val="en-US"/>
        </w:rPr>
        <w:fldChar w:fldCharType="end"/>
      </w:r>
      <w:r w:rsidRPr="001835DE">
        <w:rPr>
          <w:rFonts w:ascii="Times New Roman" w:hAnsi="Times New Roman" w:cs="Times New Roman"/>
          <w:color w:val="000000" w:themeColor="text1"/>
          <w:lang w:val="en-US"/>
        </w:rPr>
        <w:t xml:space="preserve">. The </w:t>
      </w:r>
      <w:r w:rsidRPr="001835DE">
        <w:rPr>
          <w:rFonts w:ascii="Times New Roman" w:hAnsi="Times New Roman" w:cs="Times New Roman"/>
          <w:color w:val="000000" w:themeColor="text1"/>
          <w:lang w:val="en-US"/>
        </w:rPr>
        <w:lastRenderedPageBreak/>
        <w:t>addition of FGF401 to infigratinib did not cause further elevation of serum ALT, ALP, and AST compared to infigratinib or FGF401monotherapy.</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Supplementary Data 3. Effects of infigratinib/FGF401 on angiogenesis, cell proliferation, and apoptosis.</w:t>
      </w:r>
      <w:r w:rsidRPr="001835DE">
        <w:rPr>
          <w:rFonts w:ascii="Times New Roman" w:hAnsi="Times New Roman" w:cs="Times New Roman"/>
          <w:color w:val="000000" w:themeColor="text1"/>
          <w:lang w:val="en-US"/>
        </w:rPr>
        <w:t xml:space="preserve"> Mice bearing high FGF19 expressing-HCC13-0212, and low FGFR2/3-expressing HCC10-0505 tumors were treated with infigratinib, FGF401, and infigratinib/FGF401 for 10 days as described in Figure 1. Tumors collected 2 h after the last treatments were processed for immunohistochemistry as previously described </w:t>
      </w:r>
      <w:r w:rsidRPr="001835DE">
        <w:rPr>
          <w:rFonts w:ascii="Times New Roman" w:hAnsi="Times New Roman" w:cs="Times New Roman"/>
          <w:color w:val="000000" w:themeColor="text1"/>
          <w:lang w:val="en-US"/>
        </w:rPr>
        <w:fldChar w:fldCharType="begin" w:fldLock="1"/>
      </w:r>
      <w:r w:rsidRPr="001835DE">
        <w:rPr>
          <w:rFonts w:ascii="Times New Roman" w:hAnsi="Times New Roman" w:cs="Times New Roman"/>
          <w:color w:val="000000" w:themeColor="text1"/>
          <w:lang w:val="en-US"/>
        </w:rPr>
        <w:instrText>ADDIN CSL_CITATION {"citationItems":[{"id":"ITEM-1","itemData":{"DOI":"10.1002/hep.30481","ISSN":"1527-3350 (Electronic)","PMID":"30575985","abstract":"The fibroblast growth factor (FGF) signaling cascade is a key signaling pathway in hepatocarcinogenesis. We report high FGF receptor (FGFR) expression in 17.7% (11 of 62) of hepatocellular carcinoma (HCC) models. Infigratinib, a pan-FGFR inhibitor, potently suppresses the growth of high-FGFR-expressing and sorafenib-resistant HCCs. Infigratinib inhibits FGFR signaling and its downstream targets, cell proliferation, the angiogenic rescue program, hypoxia, invasion, and metastasis. Infigratinib also induces apoptosis and vessel normalization and improves the overall survival of mice bearing FGFR-driven HCCs. Infigratinib acts in synergy with the microtubule-depolymerizing drug vinorelbine to promote apoptosis, suppress tumor growth, and improve the overall survival of mice. Increased expression levels of FGFR-2 and FGFR-3 through gene amplification correlate with treatment response and may serve as potential biomarkers for patient selection. Conclusion: Treatments with Infigratinib alone or in combination with vinorelbine may be effective in a subset of patients with HCC with FGFR-driven tumors.","author":[{"dropping-particle":"","family":"Huynh","given":"Hung","non-dropping-particle":"","parse-names":false,"suffix":""},{"dropping-particle":"","family":"Lee","given":"Liek Yeow","non-dropping-particle":"","parse-names":false,"suffix":""},{"dropping-particle":"","family":"Goh","given":"Kah Yong","non-dropping-particle":"","parse-names":false,"suffix":""},{"dropping-particle":"","family":"Ong","given":"Richard","non-dropping-particle":"","parse-names":false,"suffix":""},{"dropping-particle":"","family":"Hao","given":"Huai-Xiang","non-dropping-particle":"","parse-names":false,"suffix":""},{"dropping-particle":"","family":"Huang","given":"Alan","non-dropping-particle":"","parse-names":false,"suffix":""},{"dropping-particle":"","family":"Wang","given":"Youzhen","non-dropping-particle":"","parse-names":false,"suffix":""},{"dropping-particle":"","family":"Graus Porta","given":"Diana","non-dropping-particle":"","parse-names":false,"suffix":""},{"dropping-particle":"","family":"Chow","given":"Pierce","non-dropping-particle":"","parse-names":false,"suffix":""},{"dropping-particle":"","family":"Chung","given":"Alexander","non-dropping-particle":"","parse-names":false,"suffix":""}],"container-title":"Hepatology (Baltimore, Md.)","id":"ITEM-1","issue":"3","issued":{"date-parts":[["2019","3"]]},"language":"eng","page":"943-958","publisher-place":"United States","title":"Infigratinib Mediates Vascular Normalization, Impairs Metastasis, and Improves Chemotherapy in Hepatocellular Carcinoma.","type":"article-journal","volume":"69"},"uris":["http://www.mendeley.com/documents/?uuid=1c0eee18-05ea-4f5d-953b-7a8454cfc077"]}],"mendeley":{"formattedCitation":"[12]","plainTextFormattedCitation":"[12]","previouslyFormattedCitation":"[12]"},"properties":{"noteIndex":0},"schema":"https://github.com/citation-style-language/schema/raw/master/csl-citation.json"}</w:instrText>
      </w:r>
      <w:r w:rsidRPr="001835DE">
        <w:rPr>
          <w:rFonts w:ascii="Times New Roman" w:hAnsi="Times New Roman" w:cs="Times New Roman"/>
          <w:color w:val="000000" w:themeColor="text1"/>
          <w:lang w:val="en-US"/>
        </w:rPr>
        <w:fldChar w:fldCharType="separate"/>
      </w:r>
      <w:r w:rsidRPr="001835DE">
        <w:rPr>
          <w:rFonts w:ascii="Times New Roman" w:hAnsi="Times New Roman" w:cs="Times New Roman"/>
          <w:noProof/>
          <w:color w:val="000000" w:themeColor="text1"/>
          <w:lang w:val="en-US"/>
        </w:rPr>
        <w:t>[12]</w:t>
      </w:r>
      <w:r w:rsidRPr="001835DE">
        <w:rPr>
          <w:rFonts w:ascii="Times New Roman" w:hAnsi="Times New Roman" w:cs="Times New Roman"/>
          <w:color w:val="000000" w:themeColor="text1"/>
          <w:lang w:val="en-US"/>
        </w:rPr>
        <w:fldChar w:fldCharType="end"/>
      </w:r>
      <w:r w:rsidRPr="001835DE">
        <w:rPr>
          <w:rFonts w:ascii="Times New Roman" w:hAnsi="Times New Roman" w:cs="Times New Roman"/>
          <w:color w:val="000000" w:themeColor="text1"/>
          <w:lang w:val="en-US"/>
        </w:rPr>
        <w:t>. Representative images of tumor sections from vehicle- and drug-treated mice stained for p-Histone H3 Ser10, cleaved PARP, and CD31 are shown (A, B). Bars: 25 μM. RNA from indicated tumors was extracted and subjected to qRT-PCR. Representative ethidium bromide-stained gels for HCC21-0208 (C) HCC01-0909 (D), HCC13-0212 (E), and HCC10-0505 (F) are shown.</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Supplementary Data 4. Quantification of mean microvessel density, lectin-positive blood vessels, p-Histone 3 Ser10, and cleaved PARP-positive cells.</w:t>
      </w:r>
      <w:r w:rsidRPr="001835DE">
        <w:rPr>
          <w:rFonts w:ascii="Times New Roman" w:hAnsi="Times New Roman" w:cs="Times New Roman"/>
          <w:color w:val="000000" w:themeColor="text1"/>
          <w:lang w:val="en-US"/>
        </w:rPr>
        <w:t xml:space="preserve"> Mice bearing high FGF19-expressing HCC09-0913 and high FGFR2/3-expressing HCC01-0909 xenografts were treated with </w:t>
      </w:r>
      <w:r w:rsidRPr="001835DE">
        <w:rPr>
          <w:rFonts w:ascii="Times New Roman" w:hAnsi="Times New Roman" w:cs="Times New Roman"/>
          <w:b/>
          <w:bCs/>
          <w:color w:val="000000" w:themeColor="text1"/>
          <w:lang w:val="en-US"/>
        </w:rPr>
        <w:t>1)</w:t>
      </w:r>
      <w:r w:rsidRPr="001835DE">
        <w:rPr>
          <w:rFonts w:ascii="Times New Roman" w:hAnsi="Times New Roman" w:cs="Times New Roman"/>
          <w:color w:val="000000" w:themeColor="text1"/>
          <w:lang w:val="en-US"/>
        </w:rPr>
        <w:t xml:space="preserve"> vehicle, </w:t>
      </w:r>
      <w:r w:rsidRPr="001835DE">
        <w:rPr>
          <w:rFonts w:ascii="Times New Roman" w:hAnsi="Times New Roman" w:cs="Times New Roman"/>
          <w:b/>
          <w:bCs/>
          <w:color w:val="000000" w:themeColor="text1"/>
          <w:lang w:val="en-US"/>
        </w:rPr>
        <w:t>2)</w:t>
      </w:r>
      <w:r w:rsidRPr="001835DE">
        <w:rPr>
          <w:rFonts w:ascii="Times New Roman" w:hAnsi="Times New Roman" w:cs="Times New Roman"/>
          <w:color w:val="000000" w:themeColor="text1"/>
          <w:lang w:val="en-US"/>
        </w:rPr>
        <w:t xml:space="preserve"> infigratinib, </w:t>
      </w:r>
      <w:r w:rsidRPr="001835DE">
        <w:rPr>
          <w:rFonts w:ascii="Times New Roman" w:hAnsi="Times New Roman" w:cs="Times New Roman"/>
          <w:b/>
          <w:bCs/>
          <w:color w:val="000000" w:themeColor="text1"/>
          <w:lang w:val="en-US"/>
        </w:rPr>
        <w:t>3)</w:t>
      </w:r>
      <w:r w:rsidRPr="001835DE">
        <w:rPr>
          <w:rFonts w:ascii="Times New Roman" w:hAnsi="Times New Roman" w:cs="Times New Roman"/>
          <w:color w:val="000000" w:themeColor="text1"/>
          <w:lang w:val="en-US"/>
        </w:rPr>
        <w:t xml:space="preserve"> FGF401, </w:t>
      </w:r>
      <w:r w:rsidRPr="001835DE">
        <w:rPr>
          <w:rFonts w:ascii="Times New Roman" w:hAnsi="Times New Roman" w:cs="Times New Roman"/>
          <w:b/>
          <w:bCs/>
          <w:color w:val="000000" w:themeColor="text1"/>
          <w:lang w:val="en-US"/>
        </w:rPr>
        <w:t>4)</w:t>
      </w:r>
      <w:r w:rsidRPr="001835DE">
        <w:rPr>
          <w:rFonts w:ascii="Times New Roman" w:hAnsi="Times New Roman" w:cs="Times New Roman"/>
          <w:color w:val="000000" w:themeColor="text1"/>
          <w:lang w:val="en-US"/>
        </w:rPr>
        <w:t xml:space="preserve"> infigratinib/FGF401 for 10 days as described in Figure 1. Vehicle- and drug-treated mice were perfused with biotinylated Lycopersicon Esculentum (tomato) lectin as described </w:t>
      </w:r>
      <w:r w:rsidRPr="001835DE">
        <w:rPr>
          <w:rFonts w:ascii="Times New Roman" w:hAnsi="Times New Roman" w:cs="Times New Roman"/>
          <w:color w:val="000000" w:themeColor="text1"/>
          <w:lang w:val="en-US"/>
        </w:rPr>
        <w:fldChar w:fldCharType="begin" w:fldLock="1"/>
      </w:r>
      <w:r w:rsidRPr="001835DE">
        <w:rPr>
          <w:rFonts w:ascii="Times New Roman" w:hAnsi="Times New Roman" w:cs="Times New Roman"/>
          <w:color w:val="000000" w:themeColor="text1"/>
          <w:lang w:val="en-US"/>
        </w:rPr>
        <w:instrText>ADDIN CSL_CITATION {"citationItems":[{"id":"ITEM-1","itemData":{"DOI":"10.1002/hep.30481","ISSN":"1527-3350 (Electronic)","PMID":"30575985","abstract":"The fibroblast growth factor (FGF) signaling cascade is a key signaling pathway in hepatocarcinogenesis. We report high FGF receptor (FGFR) expression in 17.7% (11 of 62) of hepatocellular carcinoma (HCC) models. Infigratinib, a pan-FGFR inhibitor, potently suppresses the growth of high-FGFR-expressing and sorafenib-resistant HCCs. Infigratinib inhibits FGFR signaling and its downstream targets, cell proliferation, the angiogenic rescue program, hypoxia, invasion, and metastasis. Infigratinib also induces apoptosis and vessel normalization and improves the overall survival of mice bearing FGFR-driven HCCs. Infigratinib acts in synergy with the microtubule-depolymerizing drug vinorelbine to promote apoptosis, suppress tumor growth, and improve the overall survival of mice. Increased expression levels of FGFR-2 and FGFR-3 through gene amplification correlate with treatment response and may serve as potential biomarkers for patient selection. Conclusion: Treatments with Infigratinib alone or in combination with vinorelbine may be effective in a subset of patients with HCC with FGFR-driven tumors.","author":[{"dropping-particle":"","family":"Huynh","given":"Hung","non-dropping-particle":"","parse-names":false,"suffix":""},{"dropping-particle":"","family":"Lee","given":"Liek Yeow","non-dropping-particle":"","parse-names":false,"suffix":""},{"dropping-particle":"","family":"Goh","given":"Kah Yong","non-dropping-particle":"","parse-names":false,"suffix":""},{"dropping-particle":"","family":"Ong","given":"Richard","non-dropping-particle":"","parse-names":false,"suffix":""},{"dropping-particle":"","family":"Hao","given":"Huai-Xiang","non-dropping-particle":"","parse-names":false,"suffix":""},{"dropping-particle":"","family":"Huang","given":"Alan","non-dropping-particle":"","parse-names":false,"suffix":""},{"dropping-particle":"","family":"Wang","given":"Youzhen","non-dropping-particle":"","parse-names":false,"suffix":""},{"dropping-particle":"","family":"Graus Porta","given":"Diana","non-dropping-particle":"","parse-names":false,"suffix":""},{"dropping-particle":"","family":"Chow","given":"Pierce","non-dropping-particle":"","parse-names":false,"suffix":""},{"dropping-particle":"","family":"Chung","given":"Alexander","non-dropping-particle":"","parse-names":false,"suffix":""}],"container-title":"Hepatology (Baltimore, Md.)","id":"ITEM-1","issue":"3","issued":{"date-parts":[["2019","3"]]},"language":"eng","page":"943-958","publisher-place":"United States","title":"Infigratinib Mediates Vascular Normalization, Impairs Metastasis, and Improves Chemotherapy in Hepatocellular Carcinoma.","type":"article-journal","volume":"69"},"uris":["http://www.mendeley.com/documents/?uuid=1c0eee18-05ea-4f5d-953b-7a8454cfc077"]}],"mendeley":{"formattedCitation":"[12]","plainTextFormattedCitation":"[12]","previouslyFormattedCitation":"[12]"},"properties":{"noteIndex":0},"schema":"https://github.com/citation-style-language/schema/raw/master/csl-citation.json"}</w:instrText>
      </w:r>
      <w:r w:rsidRPr="001835DE">
        <w:rPr>
          <w:rFonts w:ascii="Times New Roman" w:hAnsi="Times New Roman" w:cs="Times New Roman"/>
          <w:color w:val="000000" w:themeColor="text1"/>
          <w:lang w:val="en-US"/>
        </w:rPr>
        <w:fldChar w:fldCharType="separate"/>
      </w:r>
      <w:r w:rsidRPr="001835DE">
        <w:rPr>
          <w:rFonts w:ascii="Times New Roman" w:hAnsi="Times New Roman" w:cs="Times New Roman"/>
          <w:noProof/>
          <w:color w:val="000000" w:themeColor="text1"/>
          <w:lang w:val="en-US"/>
        </w:rPr>
        <w:t>[12]</w:t>
      </w:r>
      <w:r w:rsidRPr="001835DE">
        <w:rPr>
          <w:rFonts w:ascii="Times New Roman" w:hAnsi="Times New Roman" w:cs="Times New Roman"/>
          <w:color w:val="000000" w:themeColor="text1"/>
          <w:lang w:val="en-US"/>
        </w:rPr>
        <w:fldChar w:fldCharType="end"/>
      </w:r>
      <w:r w:rsidRPr="001835DE">
        <w:rPr>
          <w:rFonts w:ascii="Times New Roman" w:hAnsi="Times New Roman" w:cs="Times New Roman"/>
          <w:color w:val="000000" w:themeColor="text1"/>
          <w:lang w:val="en-US"/>
        </w:rPr>
        <w:t xml:space="preserve">. Tumors collected 2 h after the last treatments were processed for immunohistochemistry as previously described </w:t>
      </w:r>
      <w:r w:rsidRPr="001835DE">
        <w:rPr>
          <w:rFonts w:ascii="Times New Roman" w:hAnsi="Times New Roman" w:cs="Times New Roman"/>
          <w:color w:val="000000" w:themeColor="text1"/>
          <w:lang w:val="en-US"/>
        </w:rPr>
        <w:fldChar w:fldCharType="begin" w:fldLock="1"/>
      </w:r>
      <w:r w:rsidRPr="001835DE">
        <w:rPr>
          <w:rFonts w:ascii="Times New Roman" w:hAnsi="Times New Roman" w:cs="Times New Roman"/>
          <w:color w:val="000000" w:themeColor="text1"/>
          <w:lang w:val="en-US"/>
        </w:rPr>
        <w:instrText>ADDIN CSL_CITATION {"citationItems":[{"id":"ITEM-1","itemData":{"DOI":"10.1002/hep.30481","ISSN":"1527-3350 (Electronic)","PMID":"30575985","abstract":"The fibroblast growth factor (FGF) signaling cascade is a key signaling pathway in hepatocarcinogenesis. We report high FGF receptor (FGFR) expression in 17.7% (11 of 62) of hepatocellular carcinoma (HCC) models. Infigratinib, a pan-FGFR inhibitor, potently suppresses the growth of high-FGFR-expressing and sorafenib-resistant HCCs. Infigratinib inhibits FGFR signaling and its downstream targets, cell proliferation, the angiogenic rescue program, hypoxia, invasion, and metastasis. Infigratinib also induces apoptosis and vessel normalization and improves the overall survival of mice bearing FGFR-driven HCCs. Infigratinib acts in synergy with the microtubule-depolymerizing drug vinorelbine to promote apoptosis, suppress tumor growth, and improve the overall survival of mice. Increased expression levels of FGFR-2 and FGFR-3 through gene amplification correlate with treatment response and may serve as potential biomarkers for patient selection. Conclusion: Treatments with Infigratinib alone or in combination with vinorelbine may be effective in a subset of patients with HCC with FGFR-driven tumors.","author":[{"dropping-particle":"","family":"Huynh","given":"Hung","non-dropping-particle":"","parse-names":false,"suffix":""},{"dropping-particle":"","family":"Lee","given":"Liek Yeow","non-dropping-particle":"","parse-names":false,"suffix":""},{"dropping-particle":"","family":"Goh","given":"Kah Yong","non-dropping-particle":"","parse-names":false,"suffix":""},{"dropping-particle":"","family":"Ong","given":"Richard","non-dropping-particle":"","parse-names":false,"suffix":""},{"dropping-particle":"","family":"Hao","given":"Huai-Xiang","non-dropping-particle":"","parse-names":false,"suffix":""},{"dropping-particle":"","family":"Huang","given":"Alan","non-dropping-particle":"","parse-names":false,"suffix":""},{"dropping-particle":"","family":"Wang","given":"Youzhen","non-dropping-particle":"","parse-names":false,"suffix":""},{"dropping-particle":"","family":"Graus Porta","given":"Diana","non-dropping-particle":"","parse-names":false,"suffix":""},{"dropping-particle":"","family":"Chow","given":"Pierce","non-dropping-particle":"","parse-names":false,"suffix":""},{"dropping-particle":"","family":"Chung","given":"Alexander","non-dropping-particle":"","parse-names":false,"suffix":""}],"container-title":"Hepatology (Baltimore, Md.)","id":"ITEM-1","issue":"3","issued":{"date-parts":[["2019","3"]]},"language":"eng","page":"943-958","publisher-place":"United States","title":"Infigratinib Mediates Vascular Normalization, Impairs Metastasis, and Improves Chemotherapy in Hepatocellular Carcinoma.","type":"article-journal","volume":"69"},"uris":["http://www.mendeley.com/documents/?uuid=1c0eee18-05ea-4f5d-953b-7a8454cfc077"]}],"mendeley":{"formattedCitation":"[12]","plainTextFormattedCitation":"[12]","previouslyFormattedCitation":"[12]"},"properties":{"noteIndex":0},"schema":"https://github.com/citation-style-language/schema/raw/master/csl-citation.json"}</w:instrText>
      </w:r>
      <w:r w:rsidRPr="001835DE">
        <w:rPr>
          <w:rFonts w:ascii="Times New Roman" w:hAnsi="Times New Roman" w:cs="Times New Roman"/>
          <w:color w:val="000000" w:themeColor="text1"/>
          <w:lang w:val="en-US"/>
        </w:rPr>
        <w:fldChar w:fldCharType="separate"/>
      </w:r>
      <w:r w:rsidRPr="001835DE">
        <w:rPr>
          <w:rFonts w:ascii="Times New Roman" w:hAnsi="Times New Roman" w:cs="Times New Roman"/>
          <w:noProof/>
          <w:color w:val="000000" w:themeColor="text1"/>
          <w:lang w:val="en-US"/>
        </w:rPr>
        <w:t>[12]</w:t>
      </w:r>
      <w:r w:rsidRPr="001835DE">
        <w:rPr>
          <w:rFonts w:ascii="Times New Roman" w:hAnsi="Times New Roman" w:cs="Times New Roman"/>
          <w:color w:val="000000" w:themeColor="text1"/>
          <w:lang w:val="en-US"/>
        </w:rPr>
        <w:fldChar w:fldCharType="end"/>
      </w:r>
      <w:r w:rsidRPr="001835DE">
        <w:rPr>
          <w:rFonts w:ascii="Times New Roman" w:hAnsi="Times New Roman" w:cs="Times New Roman"/>
          <w:color w:val="000000" w:themeColor="text1"/>
          <w:lang w:val="en-US"/>
        </w:rPr>
        <w:t>. Sections (5-µm) were immunostained with cluster of differentiation 31, lectin, p-histone 3 Ser10, and cleaved PARP antibodies to assess microvessel density, lectin, cell proliferation, and apoptosis, respectively. The number of p-histone 3 Ser10 and cleaved PARP-positive cells, among at least 500 cells counted per region, was determined and plotted as the mean number of positive cells per 1000 cells ± SE. For the quantification of the mean lectin-positive blood vessels and microvessel density ± SE in each section, five random 0.159 mm</w:t>
      </w:r>
      <w:r w:rsidRPr="001835DE">
        <w:rPr>
          <w:rFonts w:ascii="Times New Roman" w:hAnsi="Times New Roman" w:cs="Times New Roman"/>
          <w:color w:val="000000" w:themeColor="text1"/>
          <w:vertAlign w:val="superscript"/>
          <w:lang w:val="en-US"/>
        </w:rPr>
        <w:t>2</w:t>
      </w:r>
      <w:r w:rsidRPr="001835DE">
        <w:rPr>
          <w:rFonts w:ascii="Times New Roman" w:hAnsi="Times New Roman" w:cs="Times New Roman"/>
          <w:color w:val="000000" w:themeColor="text1"/>
          <w:lang w:val="en-US"/>
        </w:rPr>
        <w:t xml:space="preserve"> fields at a magnification of x100 were observed for each tumor. Images were captured via Olympus BX60 light microscopy. Differences in mean microvessel density, lectin-positive blood vessels, p-histone 3 Ser10, and cleaved PARP-positive cells were compared using one-way analysis of variance followed by the Tukey–Kramer method post-hoc test. *</w:t>
      </w:r>
      <w:r w:rsidRPr="001835DE">
        <w:rPr>
          <w:rFonts w:ascii="Times New Roman" w:hAnsi="Times New Roman" w:cs="Times New Roman"/>
          <w:i/>
          <w:iCs/>
          <w:color w:val="000000" w:themeColor="text1"/>
          <w:lang w:val="en-US"/>
        </w:rPr>
        <w:t xml:space="preserve">p </w:t>
      </w:r>
      <w:r w:rsidRPr="001835DE">
        <w:rPr>
          <w:rFonts w:ascii="Times New Roman" w:hAnsi="Times New Roman" w:cs="Times New Roman"/>
          <w:color w:val="000000" w:themeColor="text1"/>
          <w:lang w:val="en-US"/>
        </w:rPr>
        <w:t>&lt; 0.05; **</w:t>
      </w:r>
      <w:r w:rsidRPr="001835DE">
        <w:rPr>
          <w:rFonts w:ascii="Times New Roman" w:hAnsi="Times New Roman" w:cs="Times New Roman"/>
          <w:i/>
          <w:iCs/>
          <w:color w:val="000000" w:themeColor="text1"/>
          <w:lang w:val="en-US"/>
        </w:rPr>
        <w:t xml:space="preserve">p </w:t>
      </w:r>
      <w:r w:rsidRPr="001835DE">
        <w:rPr>
          <w:rFonts w:ascii="Times New Roman" w:hAnsi="Times New Roman" w:cs="Times New Roman"/>
          <w:color w:val="000000" w:themeColor="text1"/>
          <w:lang w:val="en-US"/>
        </w:rPr>
        <w:t>&lt; 0.01; ***</w:t>
      </w:r>
      <w:r w:rsidRPr="001835DE">
        <w:rPr>
          <w:rFonts w:ascii="Times New Roman" w:hAnsi="Times New Roman" w:cs="Times New Roman"/>
          <w:i/>
          <w:iCs/>
          <w:color w:val="000000" w:themeColor="text1"/>
          <w:lang w:val="en-US"/>
        </w:rPr>
        <w:t xml:space="preserve">p </w:t>
      </w:r>
      <w:r w:rsidRPr="001835DE">
        <w:rPr>
          <w:rFonts w:ascii="Times New Roman" w:hAnsi="Times New Roman" w:cs="Times New Roman"/>
          <w:color w:val="000000" w:themeColor="text1"/>
          <w:lang w:val="en-US"/>
        </w:rPr>
        <w:t xml:space="preserve">&lt; 0.001. SE, standard error of the mean. </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Supplementary Data 5. Effects of infigratinib/FGF401 on the FGFR and its downstream targets in low FGFR and null FGF19 HCC10-0505.</w:t>
      </w:r>
      <w:r w:rsidRPr="001835DE">
        <w:rPr>
          <w:rFonts w:ascii="Times New Roman" w:hAnsi="Times New Roman" w:cs="Times New Roman"/>
          <w:color w:val="000000" w:themeColor="text1"/>
          <w:lang w:val="en-US"/>
        </w:rPr>
        <w:t xml:space="preserve"> Mice bearing null FGF19 and low FGFR-expressing HCC10-0505 tumors were </w:t>
      </w:r>
      <w:r w:rsidRPr="001835DE">
        <w:rPr>
          <w:rFonts w:ascii="Times New Roman" w:hAnsi="Times New Roman" w:cs="Times New Roman"/>
          <w:color w:val="000000" w:themeColor="text1"/>
          <w:lang w:val="en-US"/>
        </w:rPr>
        <w:lastRenderedPageBreak/>
        <w:t xml:space="preserve">treated with 1) vehicle, 2) infigratinib once daily, 3) FGF401, and 4) infigratinib/FGF401 as described in Figure 1 for 4 days. Tumors were collected 2 h after the last dose of drugs. Tumor lysates were subjected to Western blot analysis as previously described </w:t>
      </w:r>
      <w:r w:rsidRPr="001835DE">
        <w:rPr>
          <w:rFonts w:ascii="Times New Roman" w:hAnsi="Times New Roman" w:cs="Times New Roman"/>
          <w:color w:val="000000" w:themeColor="text1"/>
          <w:lang w:val="en-US"/>
        </w:rPr>
        <w:fldChar w:fldCharType="begin" w:fldLock="1"/>
      </w:r>
      <w:r w:rsidRPr="001835DE">
        <w:rPr>
          <w:rFonts w:ascii="Times New Roman" w:hAnsi="Times New Roman" w:cs="Times New Roman"/>
          <w:color w:val="000000" w:themeColor="text1"/>
          <w:lang w:val="en-US"/>
        </w:rPr>
        <w:instrText>ADDIN CSL_CITATION {"citationItems":[{"id":"ITEM-1","itemData":{"DOI":"10.1002/hep.30481","ISSN":"1527-3350 (Electronic)","PMID":"30575985","abstract":"The fibroblast growth factor (FGF) signaling cascade is a key signaling pathway in hepatocarcinogenesis. We report high FGF receptor (FGFR) expression in 17.7% (11 of 62) of hepatocellular carcinoma (HCC) models. Infigratinib, a pan-FGFR inhibitor, potently suppresses the growth of high-FGFR-expressing and sorafenib-resistant HCCs. Infigratinib inhibits FGFR signaling and its downstream targets, cell proliferation, the angiogenic rescue program, hypoxia, invasion, and metastasis. Infigratinib also induces apoptosis and vessel normalization and improves the overall survival of mice bearing FGFR-driven HCCs. Infigratinib acts in synergy with the microtubule-depolymerizing drug vinorelbine to promote apoptosis, suppress tumor growth, and improve the overall survival of mice. Increased expression levels of FGFR-2 and FGFR-3 through gene amplification correlate with treatment response and may serve as potential biomarkers for patient selection. Conclusion: Treatments with Infigratinib alone or in combination with vinorelbine may be effective in a subset of patients with HCC with FGFR-driven tumors.","author":[{"dropping-particle":"","family":"Huynh","given":"Hung","non-dropping-particle":"","parse-names":false,"suffix":""},{"dropping-particle":"","family":"Lee","given":"Liek Yeow","non-dropping-particle":"","parse-names":false,"suffix":""},{"dropping-particle":"","family":"Goh","given":"Kah Yong","non-dropping-particle":"","parse-names":false,"suffix":""},{"dropping-particle":"","family":"Ong","given":"Richard","non-dropping-particle":"","parse-names":false,"suffix":""},{"dropping-particle":"","family":"Hao","given":"Huai-Xiang","non-dropping-particle":"","parse-names":false,"suffix":""},{"dropping-particle":"","family":"Huang","given":"Alan","non-dropping-particle":"","parse-names":false,"suffix":""},{"dropping-particle":"","family":"Wang","given":"Youzhen","non-dropping-particle":"","parse-names":false,"suffix":""},{"dropping-particle":"","family":"Graus Porta","given":"Diana","non-dropping-particle":"","parse-names":false,"suffix":""},{"dropping-particle":"","family":"Chow","given":"Pierce","non-dropping-particle":"","parse-names":false,"suffix":""},{"dropping-particle":"","family":"Chung","given":"Alexander","non-dropping-particle":"","parse-names":false,"suffix":""}],"container-title":"Hepatology (Baltimore, Md.)","id":"ITEM-1","issue":"3","issued":{"date-parts":[["2019","3"]]},"language":"eng","page":"943-958","publisher-place":"United States","title":"Infigratinib Mediates Vascular Normalization, Impairs Metastasis, and Improves Chemotherapy in Hepatocellular Carcinoma.","type":"article-journal","volume":"69"},"uris":["http://www.mendeley.com/documents/?uuid=1c0eee18-05ea-4f5d-953b-7a8454cfc077"]}],"mendeley":{"formattedCitation":"[12]","plainTextFormattedCitation":"[12]","previouslyFormattedCitation":"[12]"},"properties":{"noteIndex":0},"schema":"https://github.com/citation-style-language/schema/raw/master/csl-citation.json"}</w:instrText>
      </w:r>
      <w:r w:rsidRPr="001835DE">
        <w:rPr>
          <w:rFonts w:ascii="Times New Roman" w:hAnsi="Times New Roman" w:cs="Times New Roman"/>
          <w:color w:val="000000" w:themeColor="text1"/>
          <w:lang w:val="en-US"/>
        </w:rPr>
        <w:fldChar w:fldCharType="separate"/>
      </w:r>
      <w:r w:rsidRPr="001835DE">
        <w:rPr>
          <w:rFonts w:ascii="Times New Roman" w:hAnsi="Times New Roman" w:cs="Times New Roman"/>
          <w:noProof/>
          <w:color w:val="000000" w:themeColor="text1"/>
          <w:lang w:val="en-US"/>
        </w:rPr>
        <w:t>[12]</w:t>
      </w:r>
      <w:r w:rsidRPr="001835DE">
        <w:rPr>
          <w:rFonts w:ascii="Times New Roman" w:hAnsi="Times New Roman" w:cs="Times New Roman"/>
          <w:color w:val="000000" w:themeColor="text1"/>
          <w:lang w:val="en-US"/>
        </w:rPr>
        <w:fldChar w:fldCharType="end"/>
      </w:r>
      <w:r w:rsidRPr="001835DE">
        <w:rPr>
          <w:rFonts w:ascii="Times New Roman" w:hAnsi="Times New Roman" w:cs="Times New Roman"/>
          <w:color w:val="000000" w:themeColor="text1"/>
          <w:lang w:val="en-US"/>
        </w:rPr>
        <w:t xml:space="preserve">. Blots were incubated with indicated antibodies. Representative blots are shown. </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Supplementary Data 6. Infigratinib plus FGF401 was additive or synergistic.</w:t>
      </w:r>
      <w:r w:rsidRPr="001835DE">
        <w:rPr>
          <w:rFonts w:ascii="Times New Roman" w:hAnsi="Times New Roman" w:cs="Times New Roman"/>
          <w:color w:val="000000" w:themeColor="text1"/>
          <w:lang w:val="en-US"/>
        </w:rPr>
        <w:t xml:space="preserve"> A graph of equally effective dose pairs for a single effect level (isobologram) was constructed using the median effect dose for infigratinib, FGF401, and infigratinib plus FGF401 on HCC01-0909 and HCC29-1104 tumors as described by Tallarida </w:t>
      </w:r>
      <w:r w:rsidRPr="001835DE">
        <w:rPr>
          <w:rFonts w:ascii="Times New Roman" w:hAnsi="Times New Roman" w:cs="Times New Roman"/>
          <w:color w:val="000000" w:themeColor="text1"/>
          <w:lang w:val="en-US"/>
        </w:rPr>
        <w:fldChar w:fldCharType="begin" w:fldLock="1"/>
      </w:r>
      <w:r>
        <w:rPr>
          <w:rFonts w:ascii="Times New Roman" w:hAnsi="Times New Roman" w:cs="Times New Roman"/>
          <w:color w:val="000000" w:themeColor="text1"/>
          <w:lang w:val="en-US"/>
        </w:rPr>
        <w:instrText>ADDIN CSL_CITATION {"citationItems":[{"id":"ITEM-1","itemData":{"ISSN":"0022-3565 (Print)","PMID":"11504778","abstract":"Two drugs that produce overtly similar effects will sometimes produce exaggerated or diminished effects when used concurrently. A quantitative assessment is necessary to distinguish these cases from simply additive action. This distinction is based on the classic pharmacologic definition of additivity that, briefly stated, means that each constituent contributes to the effect in accord with its own potency. Accordingly, the relative potency of the agents, not necessarily constant at all effect levels, allows a calculation using dose pairs to determine the equivalent of either agent and the effect by using the equivalent in the dose-response relation of the reference compound. The calculation is aided by a popular graph (isobologram) that provides a visual assessment of the interaction but also requires independent statistical analysis. The latter can be accomplished from calculations that use the total dose in a fixed-ratio combination along with the calculated additive total dose for the same effect. Different methods may be used, and each is applicable to experiments in which a single drug is given at two different sites. When departures from additivity are found, whether in \"two-drug\" or \"two-site\" experiments, the information is useful in designing new experiments for illuminating mechanisms. Several examples, mainly from analgesic drug studies, illustrate this application. Even when a single drug (or site) is used, its introduction places it in potential contact with a myriad of chemicals already in the system, a fact that underscores the importance of this topic in other areas of biological investigation.","author":[{"dropping-particle":"","family":"Tallarida","given":"R J","non-dropping-particle":"","parse-names":false,"suffix":""}],"container-title":"The Journal of pharmacology and experimental therapeutics","id":"ITEM-1","issue":"3","issued":{"date-parts":[["2001","9"]]},"language":"eng","page":"865-872","publisher-place":"United States","title":"Drug synergism: its detection and applications.","type":"article-journal","volume":"298"},"uris":["http://www.mendeley.com/documents/?uuid=2a917b6c-6e2a-439f-b921-6a5123f750c4"]}],"mendeley":{"formattedCitation":"[29]","plainTextFormattedCitation":"[29]","previouslyFormattedCitation":"[18]"},"properties":{"noteIndex":0},"schema":"https://github.com/citation-style-language/schema/raw/master/csl-citation.json"}</w:instrText>
      </w:r>
      <w:r w:rsidRPr="001835DE">
        <w:rPr>
          <w:rFonts w:ascii="Times New Roman" w:hAnsi="Times New Roman" w:cs="Times New Roman"/>
          <w:color w:val="000000" w:themeColor="text1"/>
          <w:lang w:val="en-US"/>
        </w:rPr>
        <w:fldChar w:fldCharType="separate"/>
      </w:r>
      <w:r w:rsidRPr="00B3678E">
        <w:rPr>
          <w:rFonts w:ascii="Times New Roman" w:hAnsi="Times New Roman" w:cs="Times New Roman"/>
          <w:noProof/>
          <w:color w:val="000000" w:themeColor="text1"/>
          <w:lang w:val="en-US"/>
        </w:rPr>
        <w:t>[29]</w:t>
      </w:r>
      <w:r w:rsidRPr="001835DE">
        <w:rPr>
          <w:rFonts w:ascii="Times New Roman" w:hAnsi="Times New Roman" w:cs="Times New Roman"/>
          <w:color w:val="000000" w:themeColor="text1"/>
          <w:lang w:val="en-US"/>
        </w:rPr>
        <w:fldChar w:fldCharType="end"/>
      </w:r>
      <w:r w:rsidRPr="001835DE">
        <w:rPr>
          <w:rFonts w:ascii="Times New Roman" w:hAnsi="Times New Roman" w:cs="Times New Roman"/>
          <w:color w:val="000000" w:themeColor="text1"/>
          <w:lang w:val="en-US"/>
        </w:rPr>
        <w:t>. Point A represents the dosage of infigratinib alone (mg/kg) to achieve approximately 50% tumor growth inhibition and point B symbolizes the required FGF401 dosage alone (mg/kg twice daily) to obtain approximately 50% of tumor growth inhibition. Any dose combination of the two drugs that falls on or close to the straight line that links point A to B is defined as additive. Any dose combination that falls to the left of the straight line is defined as superadditive/synergistic. Note that all dose pairs of high FGFR2/3-expressing HCC01-0909 or high FGF19-expressing HCC29-1104 have combination indices (CI) that are less than 1 and fall on the left side of the straight line. These are categorized as synergistic.</w:t>
      </w:r>
    </w:p>
    <w:p w:rsidR="00D21317"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Pr>
          <w:rFonts w:ascii="Times New Roman" w:hAnsi="Times New Roman" w:cs="Times New Roman"/>
          <w:b/>
          <w:bCs/>
          <w:color w:val="000000" w:themeColor="text1"/>
          <w:lang w:val="en-US"/>
        </w:rPr>
        <w:t>Supplementary Data</w:t>
      </w:r>
      <w:r w:rsidRPr="001835DE">
        <w:rPr>
          <w:rFonts w:ascii="Times New Roman" w:hAnsi="Times New Roman" w:cs="Times New Roman"/>
          <w:b/>
          <w:bCs/>
          <w:color w:val="000000" w:themeColor="text1"/>
          <w:lang w:val="en-US"/>
        </w:rPr>
        <w:t xml:space="preserve"> 7. Infigratinib/FGF401 improves anti-tumor immunity.</w:t>
      </w:r>
      <w:r w:rsidRPr="001835DE">
        <w:rPr>
          <w:rFonts w:ascii="Times New Roman" w:hAnsi="Times New Roman" w:cs="Times New Roman"/>
          <w:color w:val="000000" w:themeColor="text1"/>
          <w:lang w:val="en-US"/>
        </w:rPr>
        <w:t xml:space="preserve"> HCC01-0909 tumors were subcutaneously implanted in CD34+ hu-NSG humanized mice and treated with vehicle, infigratinib, FGF401, and combined infigratinib and FGF401 as described in Figure 6 for 11 days.  Sections were immunostained with antibodies against CD45, CD11c, CD8α, CD68, VISTA, granzyme B, CD20, and CD4. Six random 0.159 mm</w:t>
      </w:r>
      <w:r w:rsidRPr="001835DE">
        <w:rPr>
          <w:rFonts w:ascii="Times New Roman" w:hAnsi="Times New Roman" w:cs="Times New Roman"/>
          <w:color w:val="000000" w:themeColor="text1"/>
          <w:vertAlign w:val="superscript"/>
          <w:lang w:val="en-US"/>
        </w:rPr>
        <w:t>2</w:t>
      </w:r>
      <w:r w:rsidRPr="001835DE">
        <w:rPr>
          <w:rFonts w:ascii="Times New Roman" w:hAnsi="Times New Roman" w:cs="Times New Roman"/>
          <w:color w:val="000000" w:themeColor="text1"/>
          <w:lang w:val="en-US"/>
        </w:rPr>
        <w:t xml:space="preserve"> fields at a magnification of x100 were captured using an Olympus BX60 light microscope and staining-positive cells were quantified.  Representative images of tumor sections stained with CD45, CD11c, CD8α, CD68, VISTA, granzyme B, CD20, and CD4 antibodies are shown (</w:t>
      </w:r>
      <w:r w:rsidRPr="001835DE">
        <w:rPr>
          <w:rFonts w:ascii="Times New Roman" w:hAnsi="Times New Roman" w:cs="Times New Roman"/>
          <w:b/>
          <w:color w:val="000000" w:themeColor="text1"/>
          <w:lang w:val="en-US"/>
        </w:rPr>
        <w:t>A</w:t>
      </w:r>
      <w:r w:rsidRPr="001835DE">
        <w:rPr>
          <w:rFonts w:ascii="Times New Roman" w:hAnsi="Times New Roman" w:cs="Times New Roman"/>
          <w:color w:val="000000" w:themeColor="text1"/>
          <w:lang w:val="en-US"/>
        </w:rPr>
        <w:t xml:space="preserve">). Magnification: 100x. For the quantification of mean CD45, CD4, CD8α, CD68, CD11c, granzyme B, and VISTA cells, five random fields at a magnification of 100x were selected for each section. The number of CD45-, CD4-, CD8α-, CD68-, CD11c-, granzyme B-, and VISTA-positive cells per field was counted and expressed as mean </w:t>
      </w:r>
      <w:r w:rsidRPr="001835DE">
        <w:rPr>
          <w:rFonts w:ascii="Times New Roman" w:hAnsi="Times New Roman" w:cs="Times New Roman"/>
          <w:color w:val="000000" w:themeColor="text1"/>
          <w:lang w:val="en-US"/>
        </w:rPr>
        <w:sym w:font="Symbol" w:char="F0B1"/>
      </w:r>
      <w:r w:rsidRPr="001835DE">
        <w:rPr>
          <w:rFonts w:ascii="Times New Roman" w:hAnsi="Times New Roman" w:cs="Times New Roman"/>
          <w:color w:val="000000" w:themeColor="text1"/>
          <w:lang w:val="en-US"/>
        </w:rPr>
        <w:t xml:space="preserve"> SE (</w:t>
      </w:r>
      <w:r w:rsidRPr="001835DE">
        <w:rPr>
          <w:rFonts w:ascii="Times New Roman" w:hAnsi="Times New Roman" w:cs="Times New Roman"/>
          <w:b/>
          <w:color w:val="000000" w:themeColor="text1"/>
          <w:lang w:val="en-US"/>
        </w:rPr>
        <w:t>B</w:t>
      </w:r>
      <w:r w:rsidRPr="001835DE">
        <w:rPr>
          <w:rFonts w:ascii="Times New Roman" w:hAnsi="Times New Roman" w:cs="Times New Roman"/>
          <w:color w:val="000000" w:themeColor="text1"/>
          <w:lang w:val="en-US"/>
        </w:rPr>
        <w:t xml:space="preserve">). Differences in the means of staining-positive cells were compared. * </w:t>
      </w:r>
      <w:r w:rsidRPr="001835DE">
        <w:rPr>
          <w:rFonts w:ascii="Times New Roman" w:hAnsi="Times New Roman" w:cs="Times New Roman"/>
          <w:i/>
          <w:iCs/>
          <w:color w:val="000000" w:themeColor="text1"/>
          <w:lang w:val="en-US"/>
        </w:rPr>
        <w:t xml:space="preserve">p </w:t>
      </w:r>
      <w:r w:rsidRPr="001835DE">
        <w:rPr>
          <w:rFonts w:ascii="Times New Roman" w:hAnsi="Times New Roman" w:cs="Times New Roman"/>
          <w:color w:val="000000" w:themeColor="text1"/>
          <w:lang w:val="en-US"/>
        </w:rPr>
        <w:t xml:space="preserve">&lt; 0.05; ** </w:t>
      </w:r>
      <w:r w:rsidRPr="001835DE">
        <w:rPr>
          <w:rFonts w:ascii="Times New Roman" w:hAnsi="Times New Roman" w:cs="Times New Roman"/>
          <w:i/>
          <w:iCs/>
          <w:color w:val="000000" w:themeColor="text1"/>
          <w:lang w:val="en-US"/>
        </w:rPr>
        <w:t xml:space="preserve">p </w:t>
      </w:r>
      <w:r w:rsidRPr="001835DE">
        <w:rPr>
          <w:rFonts w:ascii="Times New Roman" w:hAnsi="Times New Roman" w:cs="Times New Roman"/>
          <w:color w:val="000000" w:themeColor="text1"/>
          <w:lang w:val="en-US"/>
        </w:rPr>
        <w:t xml:space="preserve">&lt; 0.01; *** </w:t>
      </w:r>
      <w:r w:rsidRPr="001835DE">
        <w:rPr>
          <w:rFonts w:ascii="Times New Roman" w:hAnsi="Times New Roman" w:cs="Times New Roman"/>
          <w:i/>
          <w:iCs/>
          <w:color w:val="000000" w:themeColor="text1"/>
          <w:lang w:val="en-US"/>
        </w:rPr>
        <w:t xml:space="preserve">p </w:t>
      </w:r>
      <w:r w:rsidRPr="001835DE">
        <w:rPr>
          <w:rFonts w:ascii="Times New Roman" w:hAnsi="Times New Roman" w:cs="Times New Roman"/>
          <w:color w:val="000000" w:themeColor="text1"/>
          <w:lang w:val="en-US"/>
        </w:rPr>
        <w:t>&lt; 0.001; n.s. not signification. SE, standard error of the mean.</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Default="00D21317" w:rsidP="00D21317">
      <w:pPr>
        <w:spacing w:line="480" w:lineRule="auto"/>
        <w:contextualSpacing/>
        <w:jc w:val="both"/>
        <w:rPr>
          <w:rFonts w:ascii="Times New Roman" w:hAnsi="Times New Roman" w:cs="Times New Roman"/>
          <w:b/>
          <w:bCs/>
          <w:color w:val="000000" w:themeColor="text1"/>
          <w:lang w:val="en-US"/>
        </w:rPr>
      </w:pPr>
    </w:p>
    <w:p w:rsidR="00D21317" w:rsidRDefault="00D21317" w:rsidP="00D21317">
      <w:pPr>
        <w:spacing w:line="480" w:lineRule="auto"/>
        <w:contextualSpacing/>
        <w:jc w:val="both"/>
        <w:rPr>
          <w:rFonts w:ascii="Times New Roman" w:hAnsi="Times New Roman" w:cs="Times New Roman"/>
          <w:b/>
          <w:bCs/>
          <w:color w:val="000000" w:themeColor="text1"/>
          <w:lang w:val="en-US"/>
        </w:rPr>
      </w:pPr>
    </w:p>
    <w:p w:rsidR="00D21317" w:rsidRDefault="00D21317" w:rsidP="00D21317">
      <w:pPr>
        <w:spacing w:line="480" w:lineRule="auto"/>
        <w:contextualSpacing/>
        <w:jc w:val="both"/>
        <w:rPr>
          <w:rFonts w:ascii="Times New Roman" w:hAnsi="Times New Roman" w:cs="Times New Roman"/>
          <w:b/>
          <w:bCs/>
          <w:color w:val="000000" w:themeColor="text1"/>
          <w:lang w:val="en-US"/>
        </w:rPr>
      </w:pPr>
    </w:p>
    <w:p w:rsidR="00D21317" w:rsidRDefault="00D21317" w:rsidP="00D21317">
      <w:pPr>
        <w:spacing w:line="480" w:lineRule="auto"/>
        <w:contextualSpacing/>
        <w:jc w:val="both"/>
        <w:rPr>
          <w:rFonts w:ascii="Times New Roman" w:hAnsi="Times New Roman" w:cs="Times New Roman"/>
          <w:b/>
          <w:bCs/>
          <w:color w:val="000000" w:themeColor="text1"/>
          <w:lang w:val="en-US"/>
        </w:rPr>
      </w:pPr>
    </w:p>
    <w:p w:rsidR="00D21317" w:rsidRDefault="00D21317" w:rsidP="00D21317">
      <w:pPr>
        <w:spacing w:line="480" w:lineRule="auto"/>
        <w:contextualSpacing/>
        <w:jc w:val="both"/>
        <w:rPr>
          <w:rFonts w:ascii="Times New Roman" w:hAnsi="Times New Roman" w:cs="Times New Roman"/>
          <w:b/>
          <w:bCs/>
          <w:color w:val="000000" w:themeColor="text1"/>
          <w:lang w:val="en-US"/>
        </w:rPr>
      </w:pPr>
    </w:p>
    <w:p w:rsidR="00D21317" w:rsidRDefault="00D21317" w:rsidP="00D21317">
      <w:pPr>
        <w:spacing w:line="480" w:lineRule="auto"/>
        <w:contextualSpacing/>
        <w:jc w:val="both"/>
        <w:rPr>
          <w:rFonts w:ascii="Times New Roman" w:hAnsi="Times New Roman" w:cs="Times New Roman"/>
          <w:b/>
          <w:bCs/>
          <w:color w:val="000000" w:themeColor="text1"/>
          <w:lang w:val="en-US"/>
        </w:rPr>
      </w:pPr>
    </w:p>
    <w:p w:rsidR="00D21317" w:rsidRDefault="00D21317" w:rsidP="00D21317">
      <w:pPr>
        <w:spacing w:line="480" w:lineRule="auto"/>
        <w:contextualSpacing/>
        <w:jc w:val="both"/>
        <w:rPr>
          <w:rFonts w:ascii="Times New Roman" w:hAnsi="Times New Roman" w:cs="Times New Roman"/>
          <w:b/>
          <w:bCs/>
          <w:color w:val="000000" w:themeColor="text1"/>
          <w:lang w:val="en-US"/>
        </w:rPr>
      </w:pPr>
    </w:p>
    <w:p w:rsidR="00D21317" w:rsidRDefault="00D21317" w:rsidP="00D21317">
      <w:pPr>
        <w:spacing w:line="480" w:lineRule="auto"/>
        <w:contextualSpacing/>
        <w:jc w:val="both"/>
        <w:rPr>
          <w:rFonts w:ascii="Times New Roman" w:hAnsi="Times New Roman" w:cs="Times New Roman"/>
          <w:b/>
          <w:bCs/>
          <w:color w:val="000000" w:themeColor="text1"/>
          <w:lang w:val="en-US"/>
        </w:rPr>
      </w:pPr>
    </w:p>
    <w:p w:rsidR="00D21317" w:rsidRDefault="00D21317" w:rsidP="00D21317">
      <w:pPr>
        <w:spacing w:line="480" w:lineRule="auto"/>
        <w:contextualSpacing/>
        <w:jc w:val="both"/>
        <w:rPr>
          <w:rFonts w:ascii="Times New Roman" w:hAnsi="Times New Roman" w:cs="Times New Roman"/>
          <w:b/>
          <w:bCs/>
          <w:color w:val="000000" w:themeColor="text1"/>
          <w:lang w:val="en-US"/>
        </w:rPr>
      </w:pPr>
    </w:p>
    <w:p w:rsidR="00D21317" w:rsidRDefault="00D21317" w:rsidP="00D21317">
      <w:pPr>
        <w:spacing w:line="480" w:lineRule="auto"/>
        <w:contextualSpacing/>
        <w:jc w:val="both"/>
        <w:rPr>
          <w:rFonts w:ascii="Times New Roman" w:hAnsi="Times New Roman" w:cs="Times New Roman"/>
          <w:b/>
          <w:bCs/>
          <w:color w:val="000000" w:themeColor="text1"/>
          <w:lang w:val="en-US"/>
        </w:rPr>
      </w:pPr>
    </w:p>
    <w:p w:rsidR="00D21317" w:rsidRDefault="00D21317" w:rsidP="00D21317">
      <w:pPr>
        <w:spacing w:line="480" w:lineRule="auto"/>
        <w:contextualSpacing/>
        <w:jc w:val="both"/>
        <w:rPr>
          <w:rFonts w:ascii="Times New Roman" w:hAnsi="Times New Roman" w:cs="Times New Roman"/>
          <w:b/>
          <w:bCs/>
          <w:color w:val="000000" w:themeColor="text1"/>
          <w:lang w:val="en-US"/>
        </w:rPr>
      </w:pPr>
    </w:p>
    <w:p w:rsidR="00D21317" w:rsidRDefault="00D21317" w:rsidP="00D21317">
      <w:pPr>
        <w:spacing w:line="480" w:lineRule="auto"/>
        <w:contextualSpacing/>
        <w:jc w:val="both"/>
        <w:rPr>
          <w:rFonts w:ascii="Times New Roman" w:hAnsi="Times New Roman" w:cs="Times New Roman"/>
          <w:b/>
          <w:bCs/>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Supplementary Materials and Methods</w:t>
      </w:r>
    </w:p>
    <w:p w:rsidR="00D21317" w:rsidRPr="001835DE" w:rsidRDefault="00D21317" w:rsidP="00D21317">
      <w:pPr>
        <w:pStyle w:val="BSbullet"/>
        <w:numPr>
          <w:ilvl w:val="0"/>
          <w:numId w:val="0"/>
        </w:numPr>
        <w:spacing w:line="480" w:lineRule="auto"/>
        <w:ind w:right="-61"/>
        <w:contextualSpacing/>
        <w:jc w:val="both"/>
        <w:rPr>
          <w:rFonts w:cs="Times New Roman"/>
          <w:color w:val="000000" w:themeColor="text1"/>
          <w:sz w:val="20"/>
          <w:szCs w:val="20"/>
        </w:rPr>
      </w:pPr>
      <w:r w:rsidRPr="001835DE">
        <w:rPr>
          <w:rFonts w:cs="Times New Roman"/>
          <w:b/>
          <w:bCs/>
          <w:color w:val="000000" w:themeColor="text1"/>
          <w:sz w:val="20"/>
          <w:szCs w:val="20"/>
        </w:rPr>
        <w:t>Reagents.</w:t>
      </w:r>
      <w:r w:rsidRPr="001835DE">
        <w:rPr>
          <w:rFonts w:cs="Times New Roman"/>
          <w:color w:val="000000" w:themeColor="text1"/>
          <w:sz w:val="20"/>
          <w:szCs w:val="20"/>
        </w:rPr>
        <w:t xml:space="preserve"> Antibodies against CD45 (#13917), CD11c (45581), CD8α (#85336), CD68 (#76437), VISTA (#54979), Granzyme B (#46890), AKT (#9272), FGFR1 (#9740), FGFR3 (#4574), FGFR4 (#8562), p70S6K (#9202), Bim (#2819), Rb (#9313), CDC25C (#4688), cleaved caspase 3 (#9661), cleaved PARP (#5625), Cdc2 (#9112), Cyclin D1 (#2978), c-Myc (#5605), survivin (#2803), and </w:t>
      </w:r>
      <w:r w:rsidRPr="001835DE">
        <w:rPr>
          <w:rFonts w:cs="Times New Roman"/>
          <w:color w:val="000000" w:themeColor="text1"/>
          <w:sz w:val="20"/>
          <w:szCs w:val="20"/>
        </w:rPr>
        <w:sym w:font="Symbol" w:char="F061"/>
      </w:r>
      <w:r w:rsidRPr="001835DE">
        <w:rPr>
          <w:rFonts w:cs="Times New Roman"/>
          <w:color w:val="000000" w:themeColor="text1"/>
          <w:sz w:val="20"/>
          <w:szCs w:val="20"/>
        </w:rPr>
        <w:t>-tubulin (#2144), and phosphorylation-specific antibodies against RB Ser807/811 (#9308), AKT Ser473 (#9271), FRS2-α Tyr439 (#3861), p70S6K Thr421/424 (#9204), S6R Ser235/236 (#2211), 4EBP1 Thr70 (#9455), Histone 3 Ser10 (#9701), Cdc2 Tyr15 (#9111), and ERK1/2 Thr202/Tyr204 were from Cell Signaling Technology (Beverly, MA, USA). The antibodies against FGFR2 (sc-122), p-Cdk2 Thr14/Tyr15, ERK1/2 (sc-94), FRS2-α (sc-17841), and p27 (sc-528) were from Santa Cruz Biotechnology Inc. (Santa Cruz, CA, USA). Anti-mouse CD31 (#2502) antibody was obtained from BioLegend (San Diego, CA, USA). Anti-human CD20 (ab9475) and CD4 (ab133616) antibodies were obtained from Abcam Singapore Pte Ltd (Singapore). SignalStain boost IHC detection reagent (HRP, rabbit or mouse) was obtained from Cell Signaling Technology. Research grade Capsitol was purchased from CyDex, Inc. (Lenexa, KS, USA).</w:t>
      </w:r>
    </w:p>
    <w:p w:rsidR="00D21317" w:rsidRPr="001835DE" w:rsidRDefault="00D21317" w:rsidP="00D21317">
      <w:pPr>
        <w:pStyle w:val="BSbullet"/>
        <w:numPr>
          <w:ilvl w:val="0"/>
          <w:numId w:val="0"/>
        </w:numPr>
        <w:spacing w:line="480" w:lineRule="auto"/>
        <w:ind w:right="-61"/>
        <w:contextualSpacing/>
        <w:jc w:val="both"/>
        <w:rPr>
          <w:rFonts w:cs="Times New Roman"/>
          <w:color w:val="000000" w:themeColor="text1"/>
          <w:sz w:val="20"/>
          <w:szCs w:val="20"/>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lastRenderedPageBreak/>
        <w:t xml:space="preserve">Drug preparation and administration. </w:t>
      </w:r>
      <w:r w:rsidRPr="001835DE">
        <w:rPr>
          <w:rFonts w:ascii="Times New Roman" w:hAnsi="Times New Roman" w:cs="Times New Roman"/>
          <w:color w:val="000000" w:themeColor="text1"/>
          <w:lang w:val="en-US"/>
        </w:rPr>
        <w:t>Bevacizumab (Genentech, Inc., South San Francisco, CA, USA) was diluted in phosphate buffered saline at a concentration of 5 mg/kg. Infigratinib and FGF401 were purchased from Selleck Chemicals (Houston, TX, USA). Infigratinib (15 mg/kg) was dissolved in 21% w/v Captisol and 30% v/v PEG300. FGF401 (30 mg/kg) was dissolved in 100 mM citrate buffer at pH 2.5. Sorafenib (Bayer AG, Leverkusen, Germany) was suspended in 5% glucose followed by Captisol/PEG300 to a final concentration of 10 mg/kg. Bevacizumab was injected peritoneally once a week. Infigratinib and sorafenib were administered orally once a day and FGF401 were administered orally twice daily.</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Cell culture.</w:t>
      </w:r>
      <w:r w:rsidRPr="001835DE">
        <w:rPr>
          <w:rFonts w:ascii="Times New Roman" w:hAnsi="Times New Roman" w:cs="Times New Roman"/>
          <w:color w:val="000000" w:themeColor="text1"/>
          <w:lang w:val="en-US"/>
        </w:rPr>
        <w:t xml:space="preserve"> Fresh HCC01-0909 cells were isolated from PDX tumors and maintained as monolayer cultures in high glucose Dulbecco’s Modified Eagle’s Medium (DMEM) supplemented with 10% fetal bovine serum (FBS) and 1% penicillin-streptomycin. Cells were maintained at 37 °C with 5% CO</w:t>
      </w:r>
      <w:r w:rsidRPr="001835DE">
        <w:rPr>
          <w:rFonts w:ascii="Times New Roman" w:hAnsi="Times New Roman" w:cs="Times New Roman"/>
          <w:color w:val="000000" w:themeColor="text1"/>
          <w:vertAlign w:val="subscript"/>
          <w:lang w:val="en-US"/>
        </w:rPr>
        <w:t>2</w:t>
      </w:r>
      <w:r w:rsidRPr="001835DE">
        <w:rPr>
          <w:rFonts w:ascii="Times New Roman" w:hAnsi="Times New Roman" w:cs="Times New Roman"/>
          <w:color w:val="000000" w:themeColor="text1"/>
          <w:lang w:val="en-US"/>
        </w:rPr>
        <w:t xml:space="preserve"> </w:t>
      </w:r>
      <w:r w:rsidRPr="001835DE">
        <w:rPr>
          <w:rFonts w:ascii="Times New Roman" w:hAnsi="Times New Roman" w:cs="Times New Roman"/>
          <w:color w:val="000000" w:themeColor="text1"/>
          <w:lang w:val="en-US"/>
        </w:rPr>
        <w:fldChar w:fldCharType="begin" w:fldLock="1"/>
      </w:r>
      <w:r w:rsidRPr="001835DE">
        <w:rPr>
          <w:rFonts w:ascii="Times New Roman" w:hAnsi="Times New Roman" w:cs="Times New Roman"/>
          <w:color w:val="000000" w:themeColor="text1"/>
          <w:lang w:val="en-US"/>
        </w:rPr>
        <w:instrText>ADDIN CSL_CITATION {"citationItems":[{"id":"ITEM-1","itemData":{"DOI":"10.1002/hep.30481","ISSN":"1527-3350 (Electronic)","PMID":"30575985","abstract":"The fibroblast growth factor (FGF) signaling cascade is a key signaling pathway in hepatocarcinogenesis. We report high FGF receptor (FGFR) expression in 17.7% (11 of 62) of hepatocellular carcinoma (HCC) models. Infigratinib, a pan-FGFR inhibitor, potently suppresses the growth of high-FGFR-expressing and sorafenib-resistant HCCs. Infigratinib inhibits FGFR signaling and its downstream targets, cell proliferation, the angiogenic rescue program, hypoxia, invasion, and metastasis. Infigratinib also induces apoptosis and vessel normalization and improves the overall survival of mice bearing FGFR-driven HCCs. Infigratinib acts in synergy with the microtubule-depolymerizing drug vinorelbine to promote apoptosis, suppress tumor growth, and improve the overall survival of mice. Increased expression levels of FGFR-2 and FGFR-3 through gene amplification correlate with treatment response and may serve as potential biomarkers for patient selection. Conclusion: Treatments with Infigratinib alone or in combination with vinorelbine may be effective in a subset of patients with HCC with FGFR-driven tumors.","author":[{"dropping-particle":"","family":"Huynh","given":"Hung","non-dropping-particle":"","parse-names":false,"suffix":""},{"dropping-particle":"","family":"Lee","given":"Liek Yeow","non-dropping-particle":"","parse-names":false,"suffix":""},{"dropping-particle":"","family":"Goh","given":"Kah Yong","non-dropping-particle":"","parse-names":false,"suffix":""},{"dropping-particle":"","family":"Ong","given":"Richard","non-dropping-particle":"","parse-names":false,"suffix":""},{"dropping-particle":"","family":"Hao","given":"Huai-Xiang","non-dropping-particle":"","parse-names":false,"suffix":""},{"dropping-particle":"","family":"Huang","given":"Alan","non-dropping-particle":"","parse-names":false,"suffix":""},{"dropping-particle":"","family":"Wang","given":"Youzhen","non-dropping-particle":"","parse-names":false,"suffix":""},{"dropping-particle":"","family":"Graus Porta","given":"Diana","non-dropping-particle":"","parse-names":false,"suffix":""},{"dropping-particle":"","family":"Chow","given":"Pierce","non-dropping-particle":"","parse-names":false,"suffix":""},{"dropping-particle":"","family":"Chung","given":"Alexander","non-dropping-particle":"","parse-names":false,"suffix":""}],"container-title":"Hepatology (Baltimore, Md.)","id":"ITEM-1","issue":"3","issued":{"date-parts":[["2019","3"]]},"language":"eng","page":"943-958","publisher-place":"United States","title":"Infigratinib Mediates Vascular Normalization, Impairs Metastasis, and Improves Chemotherapy in Hepatocellular Carcinoma.","type":"article-journal","volume":"69"},"uris":["http://www.mendeley.com/documents/?uuid=1c0eee18-05ea-4f5d-953b-7a8454cfc077"]}],"mendeley":{"formattedCitation":"[12]","plainTextFormattedCitation":"[12]","previouslyFormattedCitation":"[12]"},"properties":{"noteIndex":0},"schema":"https://github.com/citation-style-language/schema/raw/master/csl-citation.json"}</w:instrText>
      </w:r>
      <w:r w:rsidRPr="001835DE">
        <w:rPr>
          <w:rFonts w:ascii="Times New Roman" w:hAnsi="Times New Roman" w:cs="Times New Roman"/>
          <w:color w:val="000000" w:themeColor="text1"/>
          <w:lang w:val="en-US"/>
        </w:rPr>
        <w:fldChar w:fldCharType="separate"/>
      </w:r>
      <w:r w:rsidRPr="001835DE">
        <w:rPr>
          <w:rFonts w:ascii="Times New Roman" w:hAnsi="Times New Roman" w:cs="Times New Roman"/>
          <w:noProof/>
          <w:color w:val="000000" w:themeColor="text1"/>
          <w:lang w:val="en-US"/>
        </w:rPr>
        <w:t>[12]</w:t>
      </w:r>
      <w:r w:rsidRPr="001835DE">
        <w:rPr>
          <w:rFonts w:ascii="Times New Roman" w:hAnsi="Times New Roman" w:cs="Times New Roman"/>
          <w:color w:val="000000" w:themeColor="text1"/>
          <w:lang w:val="en-US"/>
        </w:rPr>
        <w:fldChar w:fldCharType="end"/>
      </w:r>
      <w:r w:rsidRPr="001835DE">
        <w:rPr>
          <w:rFonts w:ascii="Times New Roman" w:hAnsi="Times New Roman" w:cs="Times New Roman"/>
          <w:color w:val="000000" w:themeColor="text1"/>
          <w:lang w:val="en-US"/>
        </w:rPr>
        <w:t>.</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Flow cytometry analysis.</w:t>
      </w:r>
      <w:r w:rsidRPr="001835DE">
        <w:rPr>
          <w:rFonts w:ascii="Times New Roman" w:hAnsi="Times New Roman" w:cs="Times New Roman"/>
          <w:color w:val="000000" w:themeColor="text1"/>
          <w:lang w:val="en-US"/>
        </w:rPr>
        <w:t xml:space="preserve"> HCC01-0909 cells were plated at a density of 5 x 10</w:t>
      </w:r>
      <w:r w:rsidRPr="001835DE">
        <w:rPr>
          <w:rFonts w:ascii="Times New Roman" w:hAnsi="Times New Roman" w:cs="Times New Roman"/>
          <w:color w:val="000000" w:themeColor="text1"/>
          <w:vertAlign w:val="superscript"/>
          <w:lang w:val="en-US"/>
        </w:rPr>
        <w:t>5</w:t>
      </w:r>
      <w:r w:rsidRPr="001835DE">
        <w:rPr>
          <w:rFonts w:ascii="Times New Roman" w:hAnsi="Times New Roman" w:cs="Times New Roman"/>
          <w:color w:val="000000" w:themeColor="text1"/>
          <w:lang w:val="en-US"/>
        </w:rPr>
        <w:t xml:space="preserve"> and then treated with either 0.1% DMSO, 0.5 µM of infigratinib, 1.0 µM of FGF401, or the indicated doses of infigratinib/FGF401 in growth medium for 24h. Cultures were then incubated with 0.25% trypsin for 5 min, centrifuged at 800 x g for 10 min and passed through a 70 µm strainer. Cells were fixed in 70% ethanol at 4 °C for 24 h and stained with propidium iodide (Thermo Fisher, Cat# p1304MP). The fluorescence intensities of the stained cells were measured using a FACSCalibur flow cytometer (BD, San Jose, CA, USA) and data were analyzed using BD CellQuest Pro software (version 5.1). For every measurement, 10,000 events were collected, and gating was set to exclude cell doublets. The DNA contents at certain phases are shown as percentages compared to the total DNA content within the gate.</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Development of sorafenib-resistant HCC models.</w:t>
      </w:r>
      <w:r w:rsidRPr="001835DE">
        <w:rPr>
          <w:rFonts w:ascii="Times New Roman" w:hAnsi="Times New Roman" w:cs="Times New Roman"/>
          <w:color w:val="000000" w:themeColor="text1"/>
          <w:lang w:val="en-US"/>
        </w:rPr>
        <w:t xml:space="preserve"> Mice bearing HCC06-0606 tumors were chronically treated with 10 mg/kg sorafenib once daily. After the initial response to sorafenib, HCC06-0606 tumors gradually acquired resistance, leading to further tumor growth. Sorafenib-treated tumors were harvested for serial transplantation when they reached sizes of ~1500 mm</w:t>
      </w:r>
      <w:r w:rsidRPr="001835DE">
        <w:rPr>
          <w:rFonts w:ascii="Times New Roman" w:hAnsi="Times New Roman" w:cs="Times New Roman"/>
          <w:color w:val="000000" w:themeColor="text1"/>
          <w:vertAlign w:val="superscript"/>
          <w:lang w:val="en-US"/>
        </w:rPr>
        <w:t>3</w:t>
      </w:r>
      <w:r w:rsidRPr="001835DE">
        <w:rPr>
          <w:rFonts w:ascii="Times New Roman" w:hAnsi="Times New Roman" w:cs="Times New Roman"/>
          <w:color w:val="000000" w:themeColor="text1"/>
          <w:lang w:val="en-US"/>
        </w:rPr>
        <w:t>. Treatment cycles were repeated until sorafenib had almost no impact on tumor growth compared with vehicle-treated tumors. HCC06-0606Sora87 (sorafenib-resistant passage 87) model was used to study the efficacy of infigratinib/FGF401 in vivo.</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lastRenderedPageBreak/>
        <w:t>Vessel perfusion study.</w:t>
      </w:r>
      <w:r w:rsidRPr="001835DE">
        <w:rPr>
          <w:rFonts w:ascii="Times New Roman" w:hAnsi="Times New Roman" w:cs="Times New Roman"/>
          <w:color w:val="000000" w:themeColor="text1"/>
          <w:lang w:val="en-US"/>
        </w:rPr>
        <w:t xml:space="preserve"> Each mouse bearing tumor xenografts (vehicle- or drug-treated) was intravenously injected with 100 mg of biotinylated Lycopersicon Esculentum (tomato) lectin (VectorLabs #B-1175) prepared in 100 μl of 0.9% NaCl. The tumors were harvested 10 min after lectin perfusion and fixed in 10% formalin for paraffin embedding before obtaining 5 μm sections. After endogenous peroxidase activity and nonspecific staining were blocked, the sections were incubated for 1 hour at room temperature with streptavidin peroxidase. To visualize productive microvessels, immunohistochemistry was performed using the streptavidin-biotin peroxidase complex method, according to the manufacturer's instructions (Lab Vision Corporation, Fremont, CA, USA). For the quantifications of the mean microvessel density in sections, 10 random 0.159 mm</w:t>
      </w:r>
      <w:r w:rsidRPr="001835DE">
        <w:rPr>
          <w:rFonts w:ascii="Times New Roman" w:hAnsi="Times New Roman" w:cs="Times New Roman"/>
          <w:color w:val="000000" w:themeColor="text1"/>
          <w:vertAlign w:val="superscript"/>
          <w:lang w:val="en-US"/>
        </w:rPr>
        <w:t>2</w:t>
      </w:r>
      <w:r w:rsidRPr="001835DE">
        <w:rPr>
          <w:rFonts w:ascii="Times New Roman" w:hAnsi="Times New Roman" w:cs="Times New Roman"/>
          <w:color w:val="000000" w:themeColor="text1"/>
          <w:lang w:val="en-US"/>
        </w:rPr>
        <w:t xml:space="preserve"> fields at a magnification of 100x were captured for each tumor.</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To determine the extent of hypoxia in tumor tissues, mice bearing tumors (vehicle- and drug-treated) were intraperitoneally injected with 60 mg/kg pimonidazole hydrochloride 1 hour before tumor harvest. Hypoxic regions of tumors were identified by staining the sections with Hypoxyprobe plus Kit HP2 according to the manufacturer’s instructions (Hypoxyprobe Inc, Burlington, MA, USA).</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Immunohistochemistry.</w:t>
      </w:r>
      <w:r w:rsidRPr="001835DE">
        <w:rPr>
          <w:rFonts w:ascii="Times New Roman" w:hAnsi="Times New Roman" w:cs="Times New Roman"/>
          <w:color w:val="000000" w:themeColor="text1"/>
          <w:lang w:val="en-US"/>
        </w:rPr>
        <w:t xml:space="preserve"> Tumor tissues were fixed in 10% formalin in PBS (ICM Pharma Pte. Ltd., Singapore) at room temperature for 24 h and subsequently embedded in paraffin. Sections (5 µm) were immunostained with CD31, p-Histone H3 Ser10, and cleaved PARP antibodies to assess microvessel density, cell proliferation, and apoptosis, respectively </w:t>
      </w:r>
      <w:r w:rsidRPr="001835DE">
        <w:rPr>
          <w:rFonts w:ascii="Times New Roman" w:hAnsi="Times New Roman" w:cs="Times New Roman"/>
          <w:color w:val="000000" w:themeColor="text1"/>
          <w:lang w:val="en-US"/>
        </w:rPr>
        <w:fldChar w:fldCharType="begin" w:fldLock="1"/>
      </w:r>
      <w:r w:rsidRPr="001835DE">
        <w:rPr>
          <w:rFonts w:ascii="Times New Roman" w:hAnsi="Times New Roman" w:cs="Times New Roman"/>
          <w:color w:val="000000" w:themeColor="text1"/>
          <w:lang w:val="en-US"/>
        </w:rPr>
        <w:instrText>ADDIN CSL_CITATION {"citationItems":[{"id":"ITEM-1","itemData":{"DOI":"10.1002/hep.30481","ISSN":"1527-3350 (Electronic)","PMID":"30575985","abstract":"The fibroblast growth factor (FGF) signaling cascade is a key signaling pathway in hepatocarcinogenesis. We report high FGF receptor (FGFR) expression in 17.7% (11 of 62) of hepatocellular carcinoma (HCC) models. Infigratinib, a pan-FGFR inhibitor, potently suppresses the growth of high-FGFR-expressing and sorafenib-resistant HCCs. Infigratinib inhibits FGFR signaling and its downstream targets, cell proliferation, the angiogenic rescue program, hypoxia, invasion, and metastasis. Infigratinib also induces apoptosis and vessel normalization and improves the overall survival of mice bearing FGFR-driven HCCs. Infigratinib acts in synergy with the microtubule-depolymerizing drug vinorelbine to promote apoptosis, suppress tumor growth, and improve the overall survival of mice. Increased expression levels of FGFR-2 and FGFR-3 through gene amplification correlate with treatment response and may serve as potential biomarkers for patient selection. Conclusion: Treatments with Infigratinib alone or in combination with vinorelbine may be effective in a subset of patients with HCC with FGFR-driven tumors.","author":[{"dropping-particle":"","family":"Huynh","given":"Hung","non-dropping-particle":"","parse-names":false,"suffix":""},{"dropping-particle":"","family":"Lee","given":"Liek Yeow","non-dropping-particle":"","parse-names":false,"suffix":""},{"dropping-particle":"","family":"Goh","given":"Kah Yong","non-dropping-particle":"","parse-names":false,"suffix":""},{"dropping-particle":"","family":"Ong","given":"Richard","non-dropping-particle":"","parse-names":false,"suffix":""},{"dropping-particle":"","family":"Hao","given":"Huai-Xiang","non-dropping-particle":"","parse-names":false,"suffix":""},{"dropping-particle":"","family":"Huang","given":"Alan","non-dropping-particle":"","parse-names":false,"suffix":""},{"dropping-particle":"","family":"Wang","given":"Youzhen","non-dropping-particle":"","parse-names":false,"suffix":""},{"dropping-particle":"","family":"Graus Porta","given":"Diana","non-dropping-particle":"","parse-names":false,"suffix":""},{"dropping-particle":"","family":"Chow","given":"Pierce","non-dropping-particle":"","parse-names":false,"suffix":""},{"dropping-particle":"","family":"Chung","given":"Alexander","non-dropping-particle":"","parse-names":false,"suffix":""}],"container-title":"Hepatology (Baltimore, Md.)","id":"ITEM-1","issue":"3","issued":{"date-parts":[["2019","3"]]},"language":"eng","page":"943-958","publisher-place":"United States","title":"Infigratinib Mediates Vascular Normalization, Impairs Metastasis, and Improves Chemotherapy in Hepatocellular Carcinoma.","type":"article-journal","volume":"69"},"uris":["http://www.mendeley.com/documents/?uuid=1c0eee18-05ea-4f5d-953b-7a8454cfc077"]}],"mendeley":{"formattedCitation":"[12]","plainTextFormattedCitation":"[12]","previouslyFormattedCitation":"[12]"},"properties":{"noteIndex":0},"schema":"https://github.com/citation-style-language/schema/raw/master/csl-citation.json"}</w:instrText>
      </w:r>
      <w:r w:rsidRPr="001835DE">
        <w:rPr>
          <w:rFonts w:ascii="Times New Roman" w:hAnsi="Times New Roman" w:cs="Times New Roman"/>
          <w:color w:val="000000" w:themeColor="text1"/>
          <w:lang w:val="en-US"/>
        </w:rPr>
        <w:fldChar w:fldCharType="separate"/>
      </w:r>
      <w:r w:rsidRPr="001835DE">
        <w:rPr>
          <w:rFonts w:ascii="Times New Roman" w:hAnsi="Times New Roman" w:cs="Times New Roman"/>
          <w:noProof/>
          <w:color w:val="000000" w:themeColor="text1"/>
          <w:lang w:val="en-US"/>
        </w:rPr>
        <w:t>[12]</w:t>
      </w:r>
      <w:r w:rsidRPr="001835DE">
        <w:rPr>
          <w:rFonts w:ascii="Times New Roman" w:hAnsi="Times New Roman" w:cs="Times New Roman"/>
          <w:color w:val="000000" w:themeColor="text1"/>
          <w:lang w:val="en-US"/>
        </w:rPr>
        <w:fldChar w:fldCharType="end"/>
      </w:r>
      <w:r w:rsidRPr="001835DE">
        <w:rPr>
          <w:rFonts w:ascii="Times New Roman" w:hAnsi="Times New Roman" w:cs="Times New Roman"/>
          <w:color w:val="000000" w:themeColor="text1"/>
          <w:lang w:val="en-US"/>
        </w:rPr>
        <w:t xml:space="preserve">.To detect total immune cells, CD4 T-cells, T-cell receptor, macrophages, functional CD8 T-cells, and putative macrophages, sections were stained with CD45, CD4, CD8α, CD68, CD11c, granzyme B, and VISTA antibodies, respectively. Slides were then counterstained with hematoxylin (Sigma Diagnostics, St. Louis, MO, USA), dehydrated, and mounted. The immunostaining was evaluated two independent pathologists. All images were taken on an Olympus BX60 microscope (Olympus, Japan).The number of p-Histone H3 Ser10 and cleaved PARP-positive cells among at least 500 cells per region was counted and expressed as the number of positive cells per 1000 cells. For the quantification of mean microvessel density, CD45, CD4, CD8α, CD68, CD11c, granzyme B, and VISTA cells, five random fields at a magnification of 100x were selected for each section. The number of CD31-positive blood vessels, CD45-, CD4-, CD8α-, CD68-, CD11c-, granzyme B-, and VISTA-positive cells per field was counted and expressed as mean </w:t>
      </w:r>
      <w:r w:rsidRPr="001835DE">
        <w:rPr>
          <w:rFonts w:ascii="Times New Roman" w:hAnsi="Times New Roman" w:cs="Times New Roman"/>
          <w:color w:val="000000" w:themeColor="text1"/>
          <w:lang w:val="en-US"/>
        </w:rPr>
        <w:sym w:font="Symbol" w:char="F0B1"/>
      </w:r>
      <w:r w:rsidRPr="001835DE">
        <w:rPr>
          <w:rFonts w:ascii="Times New Roman" w:hAnsi="Times New Roman" w:cs="Times New Roman"/>
          <w:color w:val="000000" w:themeColor="text1"/>
          <w:lang w:val="en-US"/>
        </w:rPr>
        <w:t xml:space="preserve"> SE. SE, standard error of the mean. *</w:t>
      </w:r>
      <w:r w:rsidRPr="001835DE">
        <w:rPr>
          <w:rFonts w:ascii="Times New Roman" w:hAnsi="Times New Roman" w:cs="Times New Roman"/>
          <w:i/>
          <w:iCs/>
          <w:color w:val="000000" w:themeColor="text1"/>
          <w:lang w:val="en-US"/>
        </w:rPr>
        <w:t xml:space="preserve">p </w:t>
      </w:r>
      <w:r w:rsidRPr="001835DE">
        <w:rPr>
          <w:rFonts w:ascii="Times New Roman" w:hAnsi="Times New Roman" w:cs="Times New Roman"/>
          <w:color w:val="000000" w:themeColor="text1"/>
          <w:lang w:val="en-US"/>
        </w:rPr>
        <w:t>&lt; 0.05; **</w:t>
      </w:r>
      <w:r w:rsidRPr="001835DE">
        <w:rPr>
          <w:rFonts w:ascii="Times New Roman" w:hAnsi="Times New Roman" w:cs="Times New Roman"/>
          <w:i/>
          <w:iCs/>
          <w:color w:val="000000" w:themeColor="text1"/>
          <w:lang w:val="en-US"/>
        </w:rPr>
        <w:t xml:space="preserve">p </w:t>
      </w:r>
      <w:r w:rsidRPr="001835DE">
        <w:rPr>
          <w:rFonts w:ascii="Times New Roman" w:hAnsi="Times New Roman" w:cs="Times New Roman"/>
          <w:color w:val="000000" w:themeColor="text1"/>
          <w:lang w:val="en-US"/>
        </w:rPr>
        <w:t>&lt; 0.01; ***</w:t>
      </w:r>
      <w:r w:rsidRPr="001835DE">
        <w:rPr>
          <w:rFonts w:ascii="Times New Roman" w:hAnsi="Times New Roman" w:cs="Times New Roman"/>
          <w:i/>
          <w:iCs/>
          <w:color w:val="000000" w:themeColor="text1"/>
          <w:lang w:val="en-US"/>
        </w:rPr>
        <w:t xml:space="preserve">p </w:t>
      </w:r>
      <w:r w:rsidRPr="001835DE">
        <w:rPr>
          <w:rFonts w:ascii="Times New Roman" w:hAnsi="Times New Roman" w:cs="Times New Roman"/>
          <w:color w:val="000000" w:themeColor="text1"/>
          <w:lang w:val="en-US"/>
        </w:rPr>
        <w:t xml:space="preserve">&lt; 0.001. </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Western blot analysis.</w:t>
      </w:r>
      <w:r w:rsidRPr="001835DE">
        <w:rPr>
          <w:rFonts w:ascii="Times New Roman" w:hAnsi="Times New Roman" w:cs="Times New Roman"/>
          <w:color w:val="000000" w:themeColor="text1"/>
          <w:lang w:val="en-US"/>
        </w:rPr>
        <w:t xml:space="preserve"> To determine the changes in protein expressions, independent tumors from vehicle- and drug-treated mice were homogenized separately in buffer containing 50 mM Tris-HCl pH 7.4, 150 mM NaCl, 0.5% NP-40, 1 mM EDTA, 10 mM Na3VO4, and 25 mM NaF, supplemented with protease inhibitors. Eighty micrograms of protein per sample was resolved by SDS-PAGE and transferred to a nitrocellulose membrane as previously described </w:t>
      </w:r>
      <w:r w:rsidRPr="001835DE">
        <w:rPr>
          <w:rFonts w:ascii="Times New Roman" w:hAnsi="Times New Roman" w:cs="Times New Roman"/>
          <w:color w:val="000000" w:themeColor="text1"/>
          <w:lang w:val="en-US"/>
        </w:rPr>
        <w:fldChar w:fldCharType="begin" w:fldLock="1"/>
      </w:r>
      <w:r w:rsidRPr="001835DE">
        <w:rPr>
          <w:rFonts w:ascii="Times New Roman" w:hAnsi="Times New Roman" w:cs="Times New Roman"/>
          <w:color w:val="000000" w:themeColor="text1"/>
          <w:lang w:val="en-US"/>
        </w:rPr>
        <w:instrText>ADDIN CSL_CITATION {"citationItems":[{"id":"ITEM-1","itemData":{"DOI":"10.1002/hep.30481","ISSN":"1527-3350 (Electronic)","PMID":"30575985","abstract":"The fibroblast growth factor (FGF) signaling cascade is a key signaling pathway in hepatocarcinogenesis. We report high FGF receptor (FGFR) expression in 17.7% (11 of 62) of hepatocellular carcinoma (HCC) models. Infigratinib, a pan-FGFR inhibitor, potently suppresses the growth of high-FGFR-expressing and sorafenib-resistant HCCs. Infigratinib inhibits FGFR signaling and its downstream targets, cell proliferation, the angiogenic rescue program, hypoxia, invasion, and metastasis. Infigratinib also induces apoptosis and vessel normalization and improves the overall survival of mice bearing FGFR-driven HCCs. Infigratinib acts in synergy with the microtubule-depolymerizing drug vinorelbine to promote apoptosis, suppress tumor growth, and improve the overall survival of mice. Increased expression levels of FGFR-2 and FGFR-3 through gene amplification correlate with treatment response and may serve as potential biomarkers for patient selection. Conclusion: Treatments with Infigratinib alone or in combination with vinorelbine may be effective in a subset of patients with HCC with FGFR-driven tumors.","author":[{"dropping-particle":"","family":"Huynh","given":"Hung","non-dropping-particle":"","parse-names":false,"suffix":""},{"dropping-particle":"","family":"Lee","given":"Liek Yeow","non-dropping-particle":"","parse-names":false,"suffix":""},{"dropping-particle":"","family":"Goh","given":"Kah Yong","non-dropping-particle":"","parse-names":false,"suffix":""},{"dropping-particle":"","family":"Ong","given":"Richard","non-dropping-particle":"","parse-names":false,"suffix":""},{"dropping-particle":"","family":"Hao","given":"Huai-Xiang","non-dropping-particle":"","parse-names":false,"suffix":""},{"dropping-particle":"","family":"Huang","given":"Alan","non-dropping-particle":"","parse-names":false,"suffix":""},{"dropping-particle":"","family":"Wang","given":"Youzhen","non-dropping-particle":"","parse-names":false,"suffix":""},{"dropping-particle":"","family":"Graus Porta","given":"Diana","non-dropping-particle":"","parse-names":false,"suffix":""},{"dropping-particle":"","family":"Chow","given":"Pierce","non-dropping-particle":"","parse-names":false,"suffix":""},{"dropping-particle":"","family":"Chung","given":"Alexander","non-dropping-particle":"","parse-names":false,"suffix":""}],"container-title":"Hepatology (Baltimore, Md.)","id":"ITEM-1","issue":"3","issued":{"date-parts":[["2019","3"]]},"language":"eng","page":"943-958","publisher-place":"United States","title":"Infigratinib Mediates Vascular Normalization, Impairs Metastasis, and Improves Chemotherapy in Hepatocellular Carcinoma.","type":"article-journal","volume":"69"},"uris":["http://www.mendeley.com/documents/?uuid=1c0eee18-05ea-4f5d-953b-7a8454cfc077"]}],"mendeley":{"formattedCitation":"[12]","plainTextFormattedCitation":"[12]","previouslyFormattedCitation":"[12]"},"properties":{"noteIndex":0},"schema":"https://github.com/citation-style-language/schema/raw/master/csl-citation.json"}</w:instrText>
      </w:r>
      <w:r w:rsidRPr="001835DE">
        <w:rPr>
          <w:rFonts w:ascii="Times New Roman" w:hAnsi="Times New Roman" w:cs="Times New Roman"/>
          <w:color w:val="000000" w:themeColor="text1"/>
          <w:lang w:val="en-US"/>
        </w:rPr>
        <w:fldChar w:fldCharType="separate"/>
      </w:r>
      <w:r w:rsidRPr="001835DE">
        <w:rPr>
          <w:rFonts w:ascii="Times New Roman" w:hAnsi="Times New Roman" w:cs="Times New Roman"/>
          <w:noProof/>
          <w:color w:val="000000" w:themeColor="text1"/>
          <w:lang w:val="en-US"/>
        </w:rPr>
        <w:t>[12]</w:t>
      </w:r>
      <w:r w:rsidRPr="001835DE">
        <w:rPr>
          <w:rFonts w:ascii="Times New Roman" w:hAnsi="Times New Roman" w:cs="Times New Roman"/>
          <w:color w:val="000000" w:themeColor="text1"/>
          <w:lang w:val="en-US"/>
        </w:rPr>
        <w:fldChar w:fldCharType="end"/>
      </w:r>
      <w:r w:rsidRPr="001835DE">
        <w:rPr>
          <w:rFonts w:ascii="Times New Roman" w:hAnsi="Times New Roman" w:cs="Times New Roman"/>
          <w:color w:val="000000" w:themeColor="text1"/>
          <w:lang w:val="en-US"/>
        </w:rPr>
        <w:t>. Blots were incubated with primary antibodies and, subsequently, horseradish peroxidase-conjugated secondary antibodies. Blots were then visualized with a chemiluminescent detection system (Amersham, Pharmacia Biotech). For quantification analysis, the total density of the band corresponding to protein blotting with the indicated antibody was calculated, normalized to α-tubulin, and expressed as the fold change relative to the control (the expression level in the vehicle-treated sample). A value greater (or less) than 1 indicated that the expression level of the protein of interest was greater (or less) than that in the control group. All of the antibodies were used at the dilutions suggested by the manufacturers.</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Angiogenic rescue program study.</w:t>
      </w:r>
      <w:r w:rsidRPr="001835DE">
        <w:rPr>
          <w:rFonts w:ascii="Times New Roman" w:hAnsi="Times New Roman" w:cs="Times New Roman"/>
          <w:color w:val="000000" w:themeColor="text1"/>
          <w:lang w:val="en-US"/>
        </w:rPr>
        <w:t xml:space="preserve"> Vehicle- and drug-treated tumors were collected at the indicated times and frozen at −80 °C. RNA extractions were performed according to the Qiagen RNeasy protocol. VEGF, PDGF-AA, bFGF, CYR61, and HIF-1α expression was determined by qRT-PCR as previously described </w:t>
      </w:r>
      <w:r w:rsidRPr="001835DE">
        <w:rPr>
          <w:rFonts w:ascii="Times New Roman" w:hAnsi="Times New Roman" w:cs="Times New Roman"/>
          <w:color w:val="000000" w:themeColor="text1"/>
          <w:lang w:val="en-US"/>
        </w:rPr>
        <w:fldChar w:fldCharType="begin" w:fldLock="1"/>
      </w:r>
      <w:r w:rsidRPr="001835DE">
        <w:rPr>
          <w:rFonts w:ascii="Times New Roman" w:hAnsi="Times New Roman" w:cs="Times New Roman"/>
          <w:color w:val="000000" w:themeColor="text1"/>
          <w:lang w:val="en-US"/>
        </w:rPr>
        <w:instrText>ADDIN CSL_CITATION {"citationItems":[{"id":"ITEM-1","itemData":{"DOI":"10.1002/hep.30481","ISSN":"1527-3350 (Electronic)","PMID":"30575985","abstract":"The fibroblast growth factor (FGF) signaling cascade is a key signaling pathway in hepatocarcinogenesis. We report high FGF receptor (FGFR) expression in 17.7% (11 of 62) of hepatocellular carcinoma (HCC) models. Infigratinib, a pan-FGFR inhibitor, potently suppresses the growth of high-FGFR-expressing and sorafenib-resistant HCCs. Infigratinib inhibits FGFR signaling and its downstream targets, cell proliferation, the angiogenic rescue program, hypoxia, invasion, and metastasis. Infigratinib also induces apoptosis and vessel normalization and improves the overall survival of mice bearing FGFR-driven HCCs. Infigratinib acts in synergy with the microtubule-depolymerizing drug vinorelbine to promote apoptosis, suppress tumor growth, and improve the overall survival of mice. Increased expression levels of FGFR-2 and FGFR-3 through gene amplification correlate with treatment response and may serve as potential biomarkers for patient selection. Conclusion: Treatments with Infigratinib alone or in combination with vinorelbine may be effective in a subset of patients with HCC with FGFR-driven tumors.","author":[{"dropping-particle":"","family":"Huynh","given":"Hung","non-dropping-particle":"","parse-names":false,"suffix":""},{"dropping-particle":"","family":"Lee","given":"Liek Yeow","non-dropping-particle":"","parse-names":false,"suffix":""},{"dropping-particle":"","family":"Goh","given":"Kah Yong","non-dropping-particle":"","parse-names":false,"suffix":""},{"dropping-particle":"","family":"Ong","given":"Richard","non-dropping-particle":"","parse-names":false,"suffix":""},{"dropping-particle":"","family":"Hao","given":"Huai-Xiang","non-dropping-particle":"","parse-names":false,"suffix":""},{"dropping-particle":"","family":"Huang","given":"Alan","non-dropping-particle":"","parse-names":false,"suffix":""},{"dropping-particle":"","family":"Wang","given":"Youzhen","non-dropping-particle":"","parse-names":false,"suffix":""},{"dropping-particle":"","family":"Graus Porta","given":"Diana","non-dropping-particle":"","parse-names":false,"suffix":""},{"dropping-particle":"","family":"Chow","given":"Pierce","non-dropping-particle":"","parse-names":false,"suffix":""},{"dropping-particle":"","family":"Chung","given":"Alexander","non-dropping-particle":"","parse-names":false,"suffix":""}],"container-title":"Hepatology (Baltimore, Md.)","id":"ITEM-1","issue":"3","issued":{"date-parts":[["2019","3"]]},"language":"eng","page":"943-958","publisher-place":"United States","title":"Infigratinib Mediates Vascular Normalization, Impairs Metastasis, and Improves Chemotherapy in Hepatocellular Carcinoma.","type":"article-journal","volume":"69"},"uris":["http://www.mendeley.com/documents/?uuid=1c0eee18-05ea-4f5d-953b-7a8454cfc077"]}],"mendeley":{"formattedCitation":"[12]","plainTextFormattedCitation":"[12]","previouslyFormattedCitation":"[12]"},"properties":{"noteIndex":0},"schema":"https://github.com/citation-style-language/schema/raw/master/csl-citation.json"}</w:instrText>
      </w:r>
      <w:r w:rsidRPr="001835DE">
        <w:rPr>
          <w:rFonts w:ascii="Times New Roman" w:hAnsi="Times New Roman" w:cs="Times New Roman"/>
          <w:color w:val="000000" w:themeColor="text1"/>
          <w:lang w:val="en-US"/>
        </w:rPr>
        <w:fldChar w:fldCharType="separate"/>
      </w:r>
      <w:r w:rsidRPr="001835DE">
        <w:rPr>
          <w:rFonts w:ascii="Times New Roman" w:hAnsi="Times New Roman" w:cs="Times New Roman"/>
          <w:noProof/>
          <w:color w:val="000000" w:themeColor="text1"/>
          <w:lang w:val="en-US"/>
        </w:rPr>
        <w:t>[12]</w:t>
      </w:r>
      <w:r w:rsidRPr="001835DE">
        <w:rPr>
          <w:rFonts w:ascii="Times New Roman" w:hAnsi="Times New Roman" w:cs="Times New Roman"/>
          <w:color w:val="000000" w:themeColor="text1"/>
          <w:lang w:val="en-US"/>
        </w:rPr>
        <w:fldChar w:fldCharType="end"/>
      </w:r>
      <w:r w:rsidRPr="001835DE">
        <w:rPr>
          <w:rFonts w:ascii="Times New Roman" w:hAnsi="Times New Roman" w:cs="Times New Roman"/>
          <w:color w:val="000000" w:themeColor="text1"/>
          <w:lang w:val="en-US"/>
        </w:rPr>
        <w:t>.</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Statistical analysis.</w:t>
      </w:r>
      <w:r w:rsidRPr="001835DE">
        <w:rPr>
          <w:rFonts w:ascii="Times New Roman" w:hAnsi="Times New Roman" w:cs="Times New Roman"/>
          <w:color w:val="000000" w:themeColor="text1"/>
          <w:lang w:val="en-US"/>
        </w:rPr>
        <w:t xml:space="preserve"> The Student’s t-test and one-way ANOVA with post-hoc Tukey analysis were used for two-group and multiple group comparisons, respectively. Differences in the levels of tumor weight at sacrifice, p-Histone 3 Ser10 index, mean microvessel density, and cleaved PARP-positive cells were compared. </w:t>
      </w:r>
      <w:r w:rsidRPr="001835DE">
        <w:rPr>
          <w:rFonts w:ascii="Times New Roman" w:hAnsi="Times New Roman" w:cs="Times New Roman"/>
          <w:i/>
          <w:iCs/>
          <w:color w:val="000000" w:themeColor="text1"/>
          <w:lang w:val="en-US"/>
        </w:rPr>
        <w:t xml:space="preserve">P </w:t>
      </w:r>
      <w:r w:rsidRPr="001835DE">
        <w:rPr>
          <w:rFonts w:ascii="Times New Roman" w:hAnsi="Times New Roman" w:cs="Times New Roman"/>
          <w:color w:val="000000" w:themeColor="text1"/>
          <w:lang w:val="en-US"/>
        </w:rPr>
        <w:t>&lt; 0.05 was considered statistically significant using an error rate of α = 0.05. Mouse survival analyses were performed using the Kaplan–Meier method and the log-rank test was used to statistically compare the curves. Sample sizes were chosen based on our prior experience and calculation power of 85%.</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 xml:space="preserve">For the drug combination study, we utilized the Chou–Talalay method </w:t>
      </w:r>
      <w:r w:rsidRPr="001835DE">
        <w:rPr>
          <w:rFonts w:ascii="Times New Roman" w:hAnsi="Times New Roman" w:cs="Times New Roman"/>
          <w:color w:val="000000" w:themeColor="text1"/>
          <w:lang w:val="en-US"/>
        </w:rPr>
        <w:fldChar w:fldCharType="begin" w:fldLock="1"/>
      </w:r>
      <w:r>
        <w:rPr>
          <w:rFonts w:ascii="Times New Roman" w:hAnsi="Times New Roman" w:cs="Times New Roman"/>
          <w:color w:val="000000" w:themeColor="text1"/>
          <w:lang w:val="en-US"/>
        </w:rPr>
        <w:instrText>ADDIN CSL_CITATION {"citationItems":[{"id":"ITEM-1","itemData":{"ISSN":"0022-3565 (Print)","PMID":"11504778","abstract":"Two drugs that produce overtly similar effects will sometimes produce exaggerated or diminished effects when used concurrently. A quantitative assessment is necessary to distinguish these cases from simply additive action. This distinction is based on the classic pharmacologic definition of additivity that, briefly stated, means that each constituent contributes to the effect in accord with its own potency. Accordingly, the relative potency of the agents, not necessarily constant at all effect levels, allows a calculation using dose pairs to determine the equivalent of either agent and the effect by using the equivalent in the dose-response relation of the reference compound. The calculation is aided by a popular graph (isobologram) that provides a visual assessment of the interaction but also requires independent statistical analysis. The latter can be accomplished from calculations that use the total dose in a fixed-ratio combination along with the calculated additive total dose for the same effect. Different methods may be used, and each is applicable to experiments in which a single drug is given at two different sites. When departures from additivity are found, whether in \"two-drug\" or \"two-site\" experiments, the information is useful in designing new experiments for illuminating mechanisms. Several examples, mainly from analgesic drug studies, illustrate this application. Even when a single drug (or site) is used, its introduction places it in potential contact with a myriad of chemicals already in the system, a fact that underscores the importance of this topic in other areas of biological investigation.","author":[{"dropping-particle":"","family":"Tallarida","given":"R J","non-dropping-particle":"","parse-names":false,"suffix":""}],"container-title":"The Journal of pharmacology and experimental therapeutics","id":"ITEM-1","issue":"3","issued":{"date-parts":[["2001","9"]]},"language":"eng","page":"865-872","publisher-place":"United States","title":"Drug synergism: its detection and applications.","type":"article-journal","volume":"298"},"uris":["http://www.mendeley.com/documents/?uuid=2a917b6c-6e2a-439f-b921-6a5123f750c4"]}],"mendeley":{"formattedCitation":"[29]","plainTextFormattedCitation":"[29]","previouslyFormattedCitation":"[18]"},"properties":{"noteIndex":0},"schema":"https://github.com/citation-style-language/schema/raw/master/csl-citation.json"}</w:instrText>
      </w:r>
      <w:r w:rsidRPr="001835DE">
        <w:rPr>
          <w:rFonts w:ascii="Times New Roman" w:hAnsi="Times New Roman" w:cs="Times New Roman"/>
          <w:color w:val="000000" w:themeColor="text1"/>
          <w:lang w:val="en-US"/>
        </w:rPr>
        <w:fldChar w:fldCharType="separate"/>
      </w:r>
      <w:r w:rsidRPr="00B3678E">
        <w:rPr>
          <w:rFonts w:ascii="Times New Roman" w:hAnsi="Times New Roman" w:cs="Times New Roman"/>
          <w:noProof/>
          <w:color w:val="000000" w:themeColor="text1"/>
          <w:lang w:val="en-US"/>
        </w:rPr>
        <w:t>[29]</w:t>
      </w:r>
      <w:r w:rsidRPr="001835DE">
        <w:rPr>
          <w:rFonts w:ascii="Times New Roman" w:hAnsi="Times New Roman" w:cs="Times New Roman"/>
          <w:color w:val="000000" w:themeColor="text1"/>
          <w:lang w:val="en-US"/>
        </w:rPr>
        <w:fldChar w:fldCharType="end"/>
      </w:r>
      <w:r w:rsidRPr="001835DE">
        <w:rPr>
          <w:rFonts w:ascii="Times New Roman" w:hAnsi="Times New Roman" w:cs="Times New Roman"/>
          <w:color w:val="000000" w:themeColor="text1"/>
          <w:lang w:val="en-US"/>
        </w:rPr>
        <w:t xml:space="preserve"> to generate combination indices (CI); a CI of less than 1 was considered to be synergistic, whereas a CI value of less than 0.2 was considered to indicate strong synergy.</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Supplementary Tables</w:t>
      </w: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Supplementary Table 1.</w:t>
      </w:r>
      <w:r w:rsidRPr="001835DE">
        <w:rPr>
          <w:rFonts w:ascii="Times New Roman" w:hAnsi="Times New Roman" w:cs="Times New Roman"/>
          <w:color w:val="000000" w:themeColor="text1"/>
          <w:lang w:val="en-US"/>
        </w:rPr>
        <w:t xml:space="preserve"> </w:t>
      </w:r>
      <w:r w:rsidRPr="001835DE">
        <w:rPr>
          <w:rFonts w:ascii="Times New Roman" w:hAnsi="Times New Roman" w:cs="Times New Roman"/>
          <w:b/>
          <w:bCs/>
          <w:color w:val="000000" w:themeColor="text1"/>
          <w:lang w:val="en-US"/>
        </w:rPr>
        <w:t xml:space="preserve">PDX lines used in this study and their FGFR1-4 and FGF19 expression levels. </w:t>
      </w:r>
      <w:r w:rsidRPr="001835DE">
        <w:rPr>
          <w:rFonts w:ascii="Times New Roman" w:hAnsi="Times New Roman" w:cs="Times New Roman"/>
          <w:color w:val="000000" w:themeColor="text1"/>
          <w:lang w:val="en-US"/>
        </w:rPr>
        <w:t>“High” and “Low” indicate an expression level above 1.5-fold and below 0.3-fold relative to normal level, respectively.</w:t>
      </w:r>
    </w:p>
    <w:tbl>
      <w:tblPr>
        <w:tblStyle w:val="TableGrid"/>
        <w:tblW w:w="9639" w:type="dxa"/>
        <w:tblBorders>
          <w:left w:val="none" w:sz="0" w:space="0" w:color="auto"/>
          <w:right w:val="none" w:sz="0" w:space="0" w:color="auto"/>
          <w:insideV w:val="none" w:sz="0" w:space="0" w:color="auto"/>
        </w:tblBorders>
        <w:tblLook w:val="04A0" w:firstRow="1" w:lastRow="0" w:firstColumn="1" w:lastColumn="0" w:noHBand="0" w:noVBand="1"/>
      </w:tblPr>
      <w:tblGrid>
        <w:gridCol w:w="1826"/>
        <w:gridCol w:w="1271"/>
        <w:gridCol w:w="1271"/>
        <w:gridCol w:w="944"/>
        <w:gridCol w:w="951"/>
        <w:gridCol w:w="1271"/>
        <w:gridCol w:w="2105"/>
      </w:tblGrid>
      <w:tr w:rsidR="00D21317" w:rsidRPr="001835DE" w:rsidTr="00EC2305">
        <w:tc>
          <w:tcPr>
            <w:tcW w:w="2122" w:type="dxa"/>
            <w:vAlign w:val="center"/>
          </w:tcPr>
          <w:p w:rsidR="00D21317" w:rsidRPr="001835DE" w:rsidRDefault="00D21317" w:rsidP="00EC2305">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PDX line</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FGFR1</w:t>
            </w:r>
          </w:p>
        </w:tc>
        <w:tc>
          <w:tcPr>
            <w:tcW w:w="1001" w:type="dxa"/>
            <w:vAlign w:val="center"/>
          </w:tcPr>
          <w:p w:rsidR="00D21317" w:rsidRPr="001835DE" w:rsidRDefault="00D21317" w:rsidP="00EC2305">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FGFR2</w:t>
            </w:r>
          </w:p>
        </w:tc>
        <w:tc>
          <w:tcPr>
            <w:tcW w:w="983" w:type="dxa"/>
            <w:vAlign w:val="center"/>
          </w:tcPr>
          <w:p w:rsidR="00D21317" w:rsidRPr="001835DE" w:rsidRDefault="00D21317" w:rsidP="00EC2305">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FGFR3</w:t>
            </w:r>
          </w:p>
        </w:tc>
        <w:tc>
          <w:tcPr>
            <w:tcW w:w="993" w:type="dxa"/>
            <w:vAlign w:val="center"/>
          </w:tcPr>
          <w:p w:rsidR="00D21317" w:rsidRPr="001835DE" w:rsidRDefault="00D21317" w:rsidP="00EC2305">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FGFR4</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FGF19</w:t>
            </w:r>
          </w:p>
        </w:tc>
        <w:tc>
          <w:tcPr>
            <w:tcW w:w="2556" w:type="dxa"/>
          </w:tcPr>
          <w:p w:rsidR="00D21317" w:rsidRPr="001835DE" w:rsidRDefault="00D21317" w:rsidP="00EC2305">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Drug resistance</w:t>
            </w:r>
          </w:p>
        </w:tc>
      </w:tr>
      <w:tr w:rsidR="00D21317" w:rsidRPr="001835DE" w:rsidTr="00EC2305">
        <w:tc>
          <w:tcPr>
            <w:tcW w:w="212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HCC01-0909</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Low</w:t>
            </w:r>
          </w:p>
        </w:tc>
        <w:tc>
          <w:tcPr>
            <w:tcW w:w="1001"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8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9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Low</w:t>
            </w:r>
          </w:p>
        </w:tc>
        <w:tc>
          <w:tcPr>
            <w:tcW w:w="2556" w:type="dxa"/>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w:t>
            </w:r>
          </w:p>
        </w:tc>
      </w:tr>
      <w:tr w:rsidR="00D21317" w:rsidRPr="001835DE" w:rsidTr="00EC2305">
        <w:tc>
          <w:tcPr>
            <w:tcW w:w="212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HCC06-0606</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Undetectable</w:t>
            </w:r>
          </w:p>
        </w:tc>
        <w:tc>
          <w:tcPr>
            <w:tcW w:w="1001"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8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9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Normal</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Undetectable</w:t>
            </w:r>
          </w:p>
        </w:tc>
        <w:tc>
          <w:tcPr>
            <w:tcW w:w="2556" w:type="dxa"/>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w:t>
            </w:r>
          </w:p>
        </w:tc>
      </w:tr>
      <w:tr w:rsidR="00D21317" w:rsidRPr="001835DE" w:rsidTr="00EC2305">
        <w:tc>
          <w:tcPr>
            <w:tcW w:w="212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HCC26-0808A</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Undetectable</w:t>
            </w:r>
          </w:p>
        </w:tc>
        <w:tc>
          <w:tcPr>
            <w:tcW w:w="1001"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8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9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Undetectable</w:t>
            </w:r>
          </w:p>
        </w:tc>
        <w:tc>
          <w:tcPr>
            <w:tcW w:w="2556" w:type="dxa"/>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w:t>
            </w:r>
          </w:p>
        </w:tc>
      </w:tr>
      <w:tr w:rsidR="00D21317" w:rsidRPr="001835DE" w:rsidTr="00EC2305">
        <w:tc>
          <w:tcPr>
            <w:tcW w:w="212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HCC29-1104</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Low</w:t>
            </w:r>
          </w:p>
        </w:tc>
        <w:tc>
          <w:tcPr>
            <w:tcW w:w="1001"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Normal</w:t>
            </w:r>
          </w:p>
        </w:tc>
        <w:tc>
          <w:tcPr>
            <w:tcW w:w="98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Normal</w:t>
            </w:r>
          </w:p>
        </w:tc>
        <w:tc>
          <w:tcPr>
            <w:tcW w:w="99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2556" w:type="dxa"/>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w:t>
            </w:r>
          </w:p>
        </w:tc>
      </w:tr>
      <w:tr w:rsidR="00D21317" w:rsidRPr="001835DE" w:rsidTr="00EC2305">
        <w:tc>
          <w:tcPr>
            <w:tcW w:w="212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HCC26-1004</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Low</w:t>
            </w:r>
          </w:p>
        </w:tc>
        <w:tc>
          <w:tcPr>
            <w:tcW w:w="1001"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Low</w:t>
            </w:r>
          </w:p>
        </w:tc>
        <w:tc>
          <w:tcPr>
            <w:tcW w:w="98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Low</w:t>
            </w:r>
          </w:p>
        </w:tc>
        <w:tc>
          <w:tcPr>
            <w:tcW w:w="99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2556" w:type="dxa"/>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w:t>
            </w:r>
          </w:p>
        </w:tc>
      </w:tr>
      <w:tr w:rsidR="00D21317" w:rsidRPr="001835DE" w:rsidTr="00EC2305">
        <w:tc>
          <w:tcPr>
            <w:tcW w:w="212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HCC13-0212</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Low</w:t>
            </w:r>
          </w:p>
        </w:tc>
        <w:tc>
          <w:tcPr>
            <w:tcW w:w="1001"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Normal</w:t>
            </w:r>
          </w:p>
        </w:tc>
        <w:tc>
          <w:tcPr>
            <w:tcW w:w="98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Normal</w:t>
            </w:r>
          </w:p>
        </w:tc>
        <w:tc>
          <w:tcPr>
            <w:tcW w:w="99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2556" w:type="dxa"/>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w:t>
            </w:r>
          </w:p>
        </w:tc>
      </w:tr>
      <w:tr w:rsidR="00D21317" w:rsidRPr="001835DE" w:rsidTr="00EC2305">
        <w:tc>
          <w:tcPr>
            <w:tcW w:w="212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HCC09-0913</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Low</w:t>
            </w:r>
          </w:p>
        </w:tc>
        <w:tc>
          <w:tcPr>
            <w:tcW w:w="1001"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8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9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2556" w:type="dxa"/>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w:t>
            </w:r>
          </w:p>
        </w:tc>
      </w:tr>
      <w:tr w:rsidR="00D21317" w:rsidRPr="001835DE" w:rsidTr="00EC2305">
        <w:trPr>
          <w:trHeight w:val="657"/>
        </w:trPr>
        <w:tc>
          <w:tcPr>
            <w:tcW w:w="212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HCC10-0505</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Undetectable</w:t>
            </w:r>
          </w:p>
        </w:tc>
        <w:tc>
          <w:tcPr>
            <w:tcW w:w="1001"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Undetectable</w:t>
            </w:r>
          </w:p>
        </w:tc>
        <w:tc>
          <w:tcPr>
            <w:tcW w:w="98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Low</w:t>
            </w:r>
          </w:p>
        </w:tc>
        <w:tc>
          <w:tcPr>
            <w:tcW w:w="99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Undetectable</w:t>
            </w:r>
          </w:p>
        </w:tc>
        <w:tc>
          <w:tcPr>
            <w:tcW w:w="2556"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Infigratinib and FGF401</w:t>
            </w:r>
          </w:p>
        </w:tc>
      </w:tr>
      <w:tr w:rsidR="00D21317" w:rsidRPr="001835DE" w:rsidTr="00EC2305">
        <w:tc>
          <w:tcPr>
            <w:tcW w:w="212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HCC06-0606Sora87</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Low</w:t>
            </w:r>
          </w:p>
        </w:tc>
        <w:tc>
          <w:tcPr>
            <w:tcW w:w="1001"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8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93"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High</w:t>
            </w:r>
          </w:p>
        </w:tc>
        <w:tc>
          <w:tcPr>
            <w:tcW w:w="99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Undetectable</w:t>
            </w:r>
          </w:p>
        </w:tc>
        <w:tc>
          <w:tcPr>
            <w:tcW w:w="2556"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Sorafenib</w:t>
            </w:r>
          </w:p>
        </w:tc>
      </w:tr>
    </w:tbl>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Default="00D21317" w:rsidP="00D21317">
      <w:pPr>
        <w:spacing w:line="480" w:lineRule="auto"/>
        <w:contextualSpacing/>
        <w:jc w:val="both"/>
        <w:rPr>
          <w:rFonts w:ascii="Times New Roman" w:hAnsi="Times New Roman" w:cs="Times New Roman"/>
          <w:color w:val="000000" w:themeColor="text1"/>
          <w:lang w:val="en-US"/>
        </w:rPr>
      </w:pPr>
    </w:p>
    <w:p w:rsidR="00D21317" w:rsidRDefault="00D21317" w:rsidP="00D21317">
      <w:pPr>
        <w:spacing w:line="480" w:lineRule="auto"/>
        <w:contextualSpacing/>
        <w:jc w:val="both"/>
        <w:rPr>
          <w:rFonts w:ascii="Times New Roman" w:hAnsi="Times New Roman" w:cs="Times New Roman"/>
          <w:color w:val="000000" w:themeColor="text1"/>
          <w:lang w:val="en-US"/>
        </w:rPr>
      </w:pPr>
    </w:p>
    <w:p w:rsidR="00D21317" w:rsidRDefault="00D21317" w:rsidP="00D21317">
      <w:pPr>
        <w:spacing w:line="480" w:lineRule="auto"/>
        <w:contextualSpacing/>
        <w:jc w:val="both"/>
        <w:rPr>
          <w:rFonts w:ascii="Times New Roman" w:hAnsi="Times New Roman" w:cs="Times New Roman"/>
          <w:color w:val="000000" w:themeColor="text1"/>
          <w:lang w:val="en-US"/>
        </w:rPr>
      </w:pPr>
    </w:p>
    <w:p w:rsidR="00D21317" w:rsidRDefault="00D21317" w:rsidP="00D21317">
      <w:pPr>
        <w:spacing w:line="480" w:lineRule="auto"/>
        <w:contextualSpacing/>
        <w:jc w:val="both"/>
        <w:rPr>
          <w:rFonts w:ascii="Times New Roman" w:hAnsi="Times New Roman" w:cs="Times New Roman"/>
          <w:color w:val="000000" w:themeColor="text1"/>
          <w:lang w:val="en-US"/>
        </w:rPr>
      </w:pPr>
    </w:p>
    <w:p w:rsidR="00D21317" w:rsidRDefault="00D21317" w:rsidP="00D21317">
      <w:pPr>
        <w:spacing w:line="480" w:lineRule="auto"/>
        <w:contextualSpacing/>
        <w:jc w:val="both"/>
        <w:rPr>
          <w:rFonts w:ascii="Times New Roman" w:hAnsi="Times New Roman" w:cs="Times New Roman"/>
          <w:color w:val="000000" w:themeColor="text1"/>
          <w:lang w:val="en-US"/>
        </w:rPr>
      </w:pPr>
    </w:p>
    <w:p w:rsidR="00D21317" w:rsidRDefault="00D21317" w:rsidP="00D21317">
      <w:pPr>
        <w:spacing w:line="480" w:lineRule="auto"/>
        <w:contextualSpacing/>
        <w:jc w:val="both"/>
        <w:rPr>
          <w:rFonts w:ascii="Times New Roman" w:hAnsi="Times New Roman" w:cs="Times New Roman"/>
          <w:color w:val="000000" w:themeColor="text1"/>
          <w:lang w:val="en-US"/>
        </w:rPr>
      </w:pPr>
    </w:p>
    <w:p w:rsidR="00D21317" w:rsidRDefault="00D21317" w:rsidP="00D21317">
      <w:pPr>
        <w:spacing w:line="480" w:lineRule="auto"/>
        <w:contextualSpacing/>
        <w:jc w:val="both"/>
        <w:rPr>
          <w:rFonts w:ascii="Times New Roman" w:hAnsi="Times New Roman" w:cs="Times New Roman"/>
          <w:color w:val="000000" w:themeColor="text1"/>
          <w:lang w:val="en-US"/>
        </w:rPr>
      </w:pPr>
    </w:p>
    <w:p w:rsidR="00D21317" w:rsidRDefault="00D21317" w:rsidP="00D21317">
      <w:pPr>
        <w:spacing w:line="480" w:lineRule="auto"/>
        <w:contextualSpacing/>
        <w:jc w:val="both"/>
        <w:rPr>
          <w:rFonts w:ascii="Times New Roman" w:hAnsi="Times New Roman" w:cs="Times New Roman"/>
          <w:color w:val="000000" w:themeColor="text1"/>
          <w:lang w:val="en-US"/>
        </w:rPr>
      </w:pPr>
    </w:p>
    <w:p w:rsidR="00D21317" w:rsidRDefault="00D21317" w:rsidP="00D21317">
      <w:pPr>
        <w:spacing w:line="480" w:lineRule="auto"/>
        <w:contextualSpacing/>
        <w:jc w:val="both"/>
        <w:rPr>
          <w:rFonts w:ascii="Times New Roman" w:hAnsi="Times New Roman" w:cs="Times New Roman"/>
          <w:color w:val="000000" w:themeColor="text1"/>
          <w:lang w:val="en-US"/>
        </w:rPr>
      </w:pPr>
    </w:p>
    <w:p w:rsidR="00D21317" w:rsidRDefault="00D21317" w:rsidP="00D21317">
      <w:pPr>
        <w:spacing w:line="480" w:lineRule="auto"/>
        <w:contextualSpacing/>
        <w:jc w:val="both"/>
        <w:rPr>
          <w:rFonts w:ascii="Times New Roman" w:hAnsi="Times New Roman" w:cs="Times New Roman"/>
          <w:color w:val="000000" w:themeColor="text1"/>
          <w:lang w:val="en-US"/>
        </w:rPr>
      </w:pPr>
    </w:p>
    <w:p w:rsidR="00D21317" w:rsidRDefault="00D21317" w:rsidP="00D21317">
      <w:pPr>
        <w:spacing w:line="480" w:lineRule="auto"/>
        <w:contextualSpacing/>
        <w:jc w:val="both"/>
        <w:rPr>
          <w:rFonts w:ascii="Times New Roman" w:hAnsi="Times New Roman" w:cs="Times New Roman"/>
          <w:color w:val="000000" w:themeColor="text1"/>
          <w:lang w:val="en-US"/>
        </w:rPr>
      </w:pPr>
    </w:p>
    <w:p w:rsidR="00D21317"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p>
    <w:p w:rsidR="00D21317" w:rsidRPr="001835DE" w:rsidRDefault="00D21317" w:rsidP="00D21317">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b/>
          <w:bCs/>
          <w:color w:val="000000" w:themeColor="text1"/>
          <w:lang w:val="en-US"/>
        </w:rPr>
        <w:t>Supplementary Table 2. Effects of infigratinib/FGF401 on tumor growth.</w:t>
      </w:r>
      <w:r w:rsidRPr="001835DE">
        <w:rPr>
          <w:rFonts w:ascii="Times New Roman" w:hAnsi="Times New Roman" w:cs="Times New Roman"/>
          <w:color w:val="000000" w:themeColor="text1"/>
          <w:lang w:val="en-US"/>
        </w:rPr>
        <w:t xml:space="preserve"> Severe combined immunodeficient (SCID) mice (</w:t>
      </w:r>
      <w:r w:rsidRPr="001835DE">
        <w:rPr>
          <w:rFonts w:ascii="Times New Roman" w:hAnsi="Times New Roman" w:cs="Times New Roman"/>
          <w:i/>
          <w:iCs/>
          <w:color w:val="000000" w:themeColor="text1"/>
          <w:lang w:val="en-US"/>
        </w:rPr>
        <w:t xml:space="preserve">n </w:t>
      </w:r>
      <w:r w:rsidRPr="001835DE">
        <w:rPr>
          <w:rFonts w:ascii="Times New Roman" w:hAnsi="Times New Roman" w:cs="Times New Roman"/>
          <w:color w:val="000000" w:themeColor="text1"/>
          <w:lang w:val="en-US"/>
        </w:rPr>
        <w:t xml:space="preserve">= 8–10 mice per group) were subcutaneously implanted with the indicated tumors and subsequently treated with vehicle, infigratinib, or FGF401 twice daily, or combined infigratinib/FGF401 for 14 to 28 days. The efficacy of each treatment was determined using the T/C ratio. * </w:t>
      </w:r>
      <w:r w:rsidRPr="001835DE">
        <w:rPr>
          <w:rFonts w:ascii="Times New Roman" w:hAnsi="Times New Roman" w:cs="Times New Roman"/>
          <w:i/>
          <w:iCs/>
          <w:color w:val="000000" w:themeColor="text1"/>
          <w:lang w:val="en-US"/>
        </w:rPr>
        <w:t xml:space="preserve">p </w:t>
      </w:r>
      <w:r w:rsidRPr="001835DE">
        <w:rPr>
          <w:rFonts w:ascii="Times New Roman" w:hAnsi="Times New Roman" w:cs="Times New Roman"/>
          <w:color w:val="000000" w:themeColor="text1"/>
          <w:lang w:val="en-US"/>
        </w:rPr>
        <w:t xml:space="preserve">&lt; 0.05; ** </w:t>
      </w:r>
      <w:r w:rsidRPr="001835DE">
        <w:rPr>
          <w:rFonts w:ascii="Times New Roman" w:hAnsi="Times New Roman" w:cs="Times New Roman"/>
          <w:i/>
          <w:iCs/>
          <w:color w:val="000000" w:themeColor="text1"/>
          <w:lang w:val="en-US"/>
        </w:rPr>
        <w:t xml:space="preserve">p </w:t>
      </w:r>
      <w:r w:rsidRPr="001835DE">
        <w:rPr>
          <w:rFonts w:ascii="Times New Roman" w:hAnsi="Times New Roman" w:cs="Times New Roman"/>
          <w:color w:val="000000" w:themeColor="text1"/>
          <w:lang w:val="en-US"/>
        </w:rPr>
        <w:t xml:space="preserve">&lt; 0.01; *** </w:t>
      </w:r>
      <w:r w:rsidRPr="001835DE">
        <w:rPr>
          <w:rFonts w:ascii="Times New Roman" w:hAnsi="Times New Roman" w:cs="Times New Roman"/>
          <w:i/>
          <w:iCs/>
          <w:color w:val="000000" w:themeColor="text1"/>
          <w:lang w:val="en-US"/>
        </w:rPr>
        <w:t xml:space="preserve">p </w:t>
      </w:r>
      <w:r w:rsidRPr="001835DE">
        <w:rPr>
          <w:rFonts w:ascii="Times New Roman" w:hAnsi="Times New Roman" w:cs="Times New Roman"/>
          <w:color w:val="000000" w:themeColor="text1"/>
          <w:lang w:val="en-US"/>
        </w:rPr>
        <w:t>&lt; 0.001; n.s. not significant.</w:t>
      </w:r>
    </w:p>
    <w:tbl>
      <w:tblPr>
        <w:tblStyle w:val="TableGrid"/>
        <w:tblW w:w="9475" w:type="dxa"/>
        <w:tblBorders>
          <w:left w:val="none" w:sz="0" w:space="0" w:color="auto"/>
          <w:right w:val="none" w:sz="0" w:space="0" w:color="auto"/>
          <w:insideV w:val="none" w:sz="0" w:space="0" w:color="auto"/>
        </w:tblBorders>
        <w:tblLook w:val="04A0" w:firstRow="1" w:lastRow="0" w:firstColumn="1" w:lastColumn="0" w:noHBand="0" w:noVBand="1"/>
      </w:tblPr>
      <w:tblGrid>
        <w:gridCol w:w="2552"/>
        <w:gridCol w:w="1246"/>
        <w:gridCol w:w="1872"/>
        <w:gridCol w:w="1418"/>
        <w:gridCol w:w="2375"/>
        <w:gridCol w:w="12"/>
      </w:tblGrid>
      <w:tr w:rsidR="00D21317" w:rsidRPr="001835DE" w:rsidTr="00EC2305">
        <w:tc>
          <w:tcPr>
            <w:tcW w:w="2552" w:type="dxa"/>
            <w:vMerge w:val="restart"/>
            <w:vAlign w:val="center"/>
          </w:tcPr>
          <w:p w:rsidR="00D21317" w:rsidRPr="001835DE" w:rsidRDefault="00D21317" w:rsidP="00EC2305">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Xenograft lines</w:t>
            </w:r>
          </w:p>
        </w:tc>
        <w:tc>
          <w:tcPr>
            <w:tcW w:w="6923" w:type="dxa"/>
            <w:gridSpan w:val="5"/>
            <w:vAlign w:val="center"/>
          </w:tcPr>
          <w:p w:rsidR="00D21317" w:rsidRPr="001835DE" w:rsidRDefault="00D21317" w:rsidP="00EC2305">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Treatments and T/C ratio</w:t>
            </w:r>
          </w:p>
        </w:tc>
      </w:tr>
      <w:tr w:rsidR="00D21317" w:rsidRPr="001835DE" w:rsidTr="00EC2305">
        <w:trPr>
          <w:gridAfter w:val="1"/>
          <w:wAfter w:w="12" w:type="dxa"/>
        </w:trPr>
        <w:tc>
          <w:tcPr>
            <w:tcW w:w="2552" w:type="dxa"/>
            <w:vMerge/>
            <w:vAlign w:val="center"/>
          </w:tcPr>
          <w:p w:rsidR="00D21317" w:rsidRPr="001835DE" w:rsidRDefault="00D21317" w:rsidP="00EC2305">
            <w:pPr>
              <w:spacing w:line="480" w:lineRule="auto"/>
              <w:contextualSpacing/>
              <w:jc w:val="both"/>
              <w:rPr>
                <w:rFonts w:ascii="Times New Roman" w:hAnsi="Times New Roman" w:cs="Times New Roman"/>
                <w:b/>
                <w:bCs/>
                <w:color w:val="000000" w:themeColor="text1"/>
                <w:lang w:val="en-US"/>
              </w:rPr>
            </w:pPr>
          </w:p>
        </w:tc>
        <w:tc>
          <w:tcPr>
            <w:tcW w:w="1246" w:type="dxa"/>
            <w:vAlign w:val="center"/>
          </w:tcPr>
          <w:p w:rsidR="00D21317" w:rsidRPr="001835DE" w:rsidRDefault="00D21317" w:rsidP="00EC2305">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Control</w:t>
            </w:r>
          </w:p>
        </w:tc>
        <w:tc>
          <w:tcPr>
            <w:tcW w:w="1872" w:type="dxa"/>
            <w:vAlign w:val="center"/>
          </w:tcPr>
          <w:p w:rsidR="00D21317" w:rsidRPr="001835DE" w:rsidRDefault="00D21317" w:rsidP="00EC2305">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Infigratinib</w:t>
            </w:r>
          </w:p>
        </w:tc>
        <w:tc>
          <w:tcPr>
            <w:tcW w:w="1418" w:type="dxa"/>
            <w:vAlign w:val="center"/>
          </w:tcPr>
          <w:p w:rsidR="00D21317" w:rsidRPr="001835DE" w:rsidRDefault="00D21317" w:rsidP="00EC2305">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FGF401</w:t>
            </w:r>
          </w:p>
        </w:tc>
        <w:tc>
          <w:tcPr>
            <w:tcW w:w="2375" w:type="dxa"/>
            <w:vAlign w:val="center"/>
          </w:tcPr>
          <w:p w:rsidR="00D21317" w:rsidRPr="001835DE" w:rsidRDefault="00D21317" w:rsidP="00EC2305">
            <w:pPr>
              <w:spacing w:line="480" w:lineRule="auto"/>
              <w:contextualSpacing/>
              <w:jc w:val="both"/>
              <w:rPr>
                <w:rFonts w:ascii="Times New Roman" w:hAnsi="Times New Roman" w:cs="Times New Roman"/>
                <w:b/>
                <w:bCs/>
                <w:color w:val="000000" w:themeColor="text1"/>
                <w:lang w:val="en-US"/>
              </w:rPr>
            </w:pPr>
            <w:r w:rsidRPr="001835DE">
              <w:rPr>
                <w:rFonts w:ascii="Times New Roman" w:hAnsi="Times New Roman" w:cs="Times New Roman"/>
                <w:b/>
                <w:bCs/>
                <w:color w:val="000000" w:themeColor="text1"/>
                <w:lang w:val="en-US"/>
              </w:rPr>
              <w:t>Infigratinib + FGF401</w:t>
            </w:r>
          </w:p>
        </w:tc>
      </w:tr>
      <w:tr w:rsidR="00D21317" w:rsidRPr="001835DE" w:rsidTr="00EC2305">
        <w:trPr>
          <w:gridAfter w:val="1"/>
          <w:wAfter w:w="12" w:type="dxa"/>
        </w:trPr>
        <w:tc>
          <w:tcPr>
            <w:tcW w:w="255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HCC09-0913</w:t>
            </w:r>
          </w:p>
        </w:tc>
        <w:tc>
          <w:tcPr>
            <w:tcW w:w="1246"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1</w:t>
            </w:r>
          </w:p>
        </w:tc>
        <w:tc>
          <w:tcPr>
            <w:tcW w:w="1872"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0.06*</w:t>
            </w:r>
          </w:p>
        </w:tc>
        <w:tc>
          <w:tcPr>
            <w:tcW w:w="1418"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0.04*</w:t>
            </w:r>
          </w:p>
        </w:tc>
        <w:tc>
          <w:tcPr>
            <w:tcW w:w="2375"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0.005**</w:t>
            </w:r>
          </w:p>
        </w:tc>
      </w:tr>
      <w:tr w:rsidR="00D21317" w:rsidRPr="001835DE" w:rsidTr="00EC2305">
        <w:trPr>
          <w:gridAfter w:val="1"/>
          <w:wAfter w:w="12" w:type="dxa"/>
        </w:trPr>
        <w:tc>
          <w:tcPr>
            <w:tcW w:w="255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HCC26-1004</w:t>
            </w:r>
          </w:p>
        </w:tc>
        <w:tc>
          <w:tcPr>
            <w:tcW w:w="1246"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1</w:t>
            </w:r>
          </w:p>
        </w:tc>
        <w:tc>
          <w:tcPr>
            <w:tcW w:w="1872"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0.80</w:t>
            </w:r>
          </w:p>
        </w:tc>
        <w:tc>
          <w:tcPr>
            <w:tcW w:w="1418"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0.13*</w:t>
            </w:r>
          </w:p>
        </w:tc>
        <w:tc>
          <w:tcPr>
            <w:tcW w:w="2375"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0.08**</w:t>
            </w:r>
          </w:p>
        </w:tc>
      </w:tr>
      <w:tr w:rsidR="00D21317" w:rsidRPr="001835DE" w:rsidTr="00EC2305">
        <w:trPr>
          <w:gridAfter w:val="1"/>
          <w:wAfter w:w="12" w:type="dxa"/>
        </w:trPr>
        <w:tc>
          <w:tcPr>
            <w:tcW w:w="255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HCC29-1104</w:t>
            </w:r>
          </w:p>
        </w:tc>
        <w:tc>
          <w:tcPr>
            <w:tcW w:w="1246"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1</w:t>
            </w:r>
          </w:p>
        </w:tc>
        <w:tc>
          <w:tcPr>
            <w:tcW w:w="1872"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0.42*</w:t>
            </w:r>
          </w:p>
        </w:tc>
        <w:tc>
          <w:tcPr>
            <w:tcW w:w="1418"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0.20**</w:t>
            </w:r>
          </w:p>
        </w:tc>
        <w:tc>
          <w:tcPr>
            <w:tcW w:w="2375"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0.08***</w:t>
            </w:r>
          </w:p>
        </w:tc>
      </w:tr>
      <w:tr w:rsidR="00D21317" w:rsidRPr="001835DE" w:rsidTr="00EC2305">
        <w:trPr>
          <w:gridAfter w:val="1"/>
          <w:wAfter w:w="12" w:type="dxa"/>
        </w:trPr>
        <w:tc>
          <w:tcPr>
            <w:tcW w:w="255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HCC13-0212</w:t>
            </w:r>
          </w:p>
        </w:tc>
        <w:tc>
          <w:tcPr>
            <w:tcW w:w="1246"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1</w:t>
            </w:r>
          </w:p>
        </w:tc>
        <w:tc>
          <w:tcPr>
            <w:tcW w:w="1872"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0.54*</w:t>
            </w:r>
          </w:p>
        </w:tc>
        <w:tc>
          <w:tcPr>
            <w:tcW w:w="1418"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0.41*</w:t>
            </w:r>
          </w:p>
        </w:tc>
        <w:tc>
          <w:tcPr>
            <w:tcW w:w="2375"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0.14**</w:t>
            </w:r>
          </w:p>
        </w:tc>
      </w:tr>
      <w:tr w:rsidR="00D21317" w:rsidRPr="001835DE" w:rsidTr="00EC2305">
        <w:trPr>
          <w:gridAfter w:val="1"/>
          <w:wAfter w:w="12" w:type="dxa"/>
        </w:trPr>
        <w:tc>
          <w:tcPr>
            <w:tcW w:w="255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HCC01-0909</w:t>
            </w:r>
          </w:p>
        </w:tc>
        <w:tc>
          <w:tcPr>
            <w:tcW w:w="1246"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1</w:t>
            </w:r>
          </w:p>
        </w:tc>
        <w:tc>
          <w:tcPr>
            <w:tcW w:w="1872"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0.22*</w:t>
            </w:r>
          </w:p>
        </w:tc>
        <w:tc>
          <w:tcPr>
            <w:tcW w:w="1418"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0.52**</w:t>
            </w:r>
          </w:p>
        </w:tc>
        <w:tc>
          <w:tcPr>
            <w:tcW w:w="2375"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0.01***</w:t>
            </w:r>
          </w:p>
        </w:tc>
      </w:tr>
      <w:tr w:rsidR="00D21317" w:rsidRPr="001835DE" w:rsidTr="00EC2305">
        <w:trPr>
          <w:gridAfter w:val="1"/>
          <w:wAfter w:w="12" w:type="dxa"/>
        </w:trPr>
        <w:tc>
          <w:tcPr>
            <w:tcW w:w="255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HCC06-0606</w:t>
            </w:r>
          </w:p>
        </w:tc>
        <w:tc>
          <w:tcPr>
            <w:tcW w:w="1246"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1</w:t>
            </w:r>
          </w:p>
        </w:tc>
        <w:tc>
          <w:tcPr>
            <w:tcW w:w="1872"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0.27*</w:t>
            </w:r>
          </w:p>
        </w:tc>
        <w:tc>
          <w:tcPr>
            <w:tcW w:w="1418"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0.88**</w:t>
            </w:r>
          </w:p>
        </w:tc>
        <w:tc>
          <w:tcPr>
            <w:tcW w:w="2375"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0.10***</w:t>
            </w:r>
          </w:p>
        </w:tc>
      </w:tr>
      <w:tr w:rsidR="00D21317" w:rsidRPr="001835DE" w:rsidTr="00EC2305">
        <w:trPr>
          <w:gridAfter w:val="1"/>
          <w:wAfter w:w="12" w:type="dxa"/>
        </w:trPr>
        <w:tc>
          <w:tcPr>
            <w:tcW w:w="255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HCC26-0808A</w:t>
            </w:r>
          </w:p>
        </w:tc>
        <w:tc>
          <w:tcPr>
            <w:tcW w:w="1246"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1</w:t>
            </w:r>
          </w:p>
        </w:tc>
        <w:tc>
          <w:tcPr>
            <w:tcW w:w="1872"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0.07*</w:t>
            </w:r>
          </w:p>
        </w:tc>
        <w:tc>
          <w:tcPr>
            <w:tcW w:w="1418"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0.79</w:t>
            </w:r>
          </w:p>
        </w:tc>
        <w:tc>
          <w:tcPr>
            <w:tcW w:w="2375"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0.02**</w:t>
            </w:r>
          </w:p>
        </w:tc>
      </w:tr>
      <w:tr w:rsidR="00D21317" w:rsidRPr="001835DE" w:rsidTr="00EC2305">
        <w:trPr>
          <w:gridAfter w:val="1"/>
          <w:wAfter w:w="12" w:type="dxa"/>
        </w:trPr>
        <w:tc>
          <w:tcPr>
            <w:tcW w:w="255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HCC06-0606Sora87</w:t>
            </w:r>
          </w:p>
        </w:tc>
        <w:tc>
          <w:tcPr>
            <w:tcW w:w="1246"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1</w:t>
            </w:r>
          </w:p>
        </w:tc>
        <w:tc>
          <w:tcPr>
            <w:tcW w:w="1872"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0.43*</w:t>
            </w:r>
          </w:p>
        </w:tc>
        <w:tc>
          <w:tcPr>
            <w:tcW w:w="1418"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1.28**</w:t>
            </w:r>
          </w:p>
        </w:tc>
        <w:tc>
          <w:tcPr>
            <w:tcW w:w="2375"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0.20***</w:t>
            </w:r>
          </w:p>
        </w:tc>
      </w:tr>
      <w:tr w:rsidR="00D21317" w:rsidRPr="001835DE" w:rsidTr="00EC2305">
        <w:trPr>
          <w:gridAfter w:val="1"/>
          <w:wAfter w:w="12" w:type="dxa"/>
        </w:trPr>
        <w:tc>
          <w:tcPr>
            <w:tcW w:w="2552" w:type="dxa"/>
            <w:vAlign w:val="center"/>
          </w:tcPr>
          <w:p w:rsidR="00D21317" w:rsidRPr="001835DE" w:rsidRDefault="00D21317" w:rsidP="00EC2305">
            <w:pPr>
              <w:spacing w:line="480" w:lineRule="auto"/>
              <w:contextualSpacing/>
              <w:jc w:val="both"/>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HCC10-0505</w:t>
            </w:r>
          </w:p>
        </w:tc>
        <w:tc>
          <w:tcPr>
            <w:tcW w:w="1246"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1</w:t>
            </w:r>
          </w:p>
        </w:tc>
        <w:tc>
          <w:tcPr>
            <w:tcW w:w="1872"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0.79</w:t>
            </w:r>
          </w:p>
        </w:tc>
        <w:tc>
          <w:tcPr>
            <w:tcW w:w="1418"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0.78</w:t>
            </w:r>
          </w:p>
        </w:tc>
        <w:tc>
          <w:tcPr>
            <w:tcW w:w="2375" w:type="dxa"/>
            <w:vAlign w:val="center"/>
          </w:tcPr>
          <w:p w:rsidR="00D21317" w:rsidRPr="001835DE" w:rsidRDefault="00D21317" w:rsidP="00EC2305">
            <w:pPr>
              <w:spacing w:line="480" w:lineRule="auto"/>
              <w:contextualSpacing/>
              <w:jc w:val="center"/>
              <w:rPr>
                <w:rFonts w:ascii="Times New Roman" w:hAnsi="Times New Roman" w:cs="Times New Roman"/>
                <w:color w:val="000000" w:themeColor="text1"/>
                <w:lang w:val="en-US"/>
              </w:rPr>
            </w:pPr>
            <w:r w:rsidRPr="001835DE">
              <w:rPr>
                <w:rFonts w:ascii="Times New Roman" w:hAnsi="Times New Roman" w:cs="Times New Roman"/>
                <w:color w:val="000000" w:themeColor="text1"/>
                <w:lang w:val="en-US"/>
              </w:rPr>
              <w:t>0.77</w:t>
            </w:r>
          </w:p>
        </w:tc>
      </w:tr>
    </w:tbl>
    <w:p w:rsidR="00FB7C93" w:rsidRDefault="00FB7C93"/>
    <w:sectPr w:rsidR="00FB7C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0"/>
    <w:family w:val="decorativ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051149"/>
    <w:multiLevelType w:val="multilevel"/>
    <w:tmpl w:val="2DCA25CE"/>
    <w:lvl w:ilvl="0">
      <w:start w:val="1"/>
      <w:numFmt w:val="bullet"/>
      <w:pStyle w:val="BSbullet"/>
      <w:lvlText w:val=""/>
      <w:lvlJc w:val="left"/>
      <w:pPr>
        <w:tabs>
          <w:tab w:val="num" w:pos="567"/>
        </w:tabs>
        <w:ind w:left="567" w:hanging="283"/>
      </w:pPr>
      <w:rPr>
        <w:rFonts w:ascii="Wingdings" w:hAnsi="Wingdings" w:hint="default"/>
      </w:rPr>
    </w:lvl>
    <w:lvl w:ilvl="1">
      <w:start w:val="1"/>
      <w:numFmt w:val="bullet"/>
      <w:lvlText w:val="-"/>
      <w:lvlJc w:val="left"/>
      <w:pPr>
        <w:tabs>
          <w:tab w:val="num" w:pos="851"/>
        </w:tabs>
        <w:ind w:left="851" w:hanging="284"/>
      </w:pPr>
      <w:rPr>
        <w:rFonts w:ascii="Courier New" w:hAnsi="Courier New" w:hint="default"/>
        <w:sz w:val="22"/>
      </w:rPr>
    </w:lvl>
    <w:lvl w:ilvl="2">
      <w:start w:val="1"/>
      <w:numFmt w:val="bullet"/>
      <w:lvlText w:val=""/>
      <w:lvlJc w:val="left"/>
      <w:pPr>
        <w:tabs>
          <w:tab w:val="num" w:pos="1134"/>
        </w:tabs>
        <w:ind w:left="1134" w:hanging="283"/>
      </w:pPr>
      <w:rPr>
        <w:rFonts w:ascii="Wingdings" w:hAnsi="Wingdings" w:hint="default"/>
      </w:rPr>
    </w:lvl>
    <w:lvl w:ilvl="3">
      <w:start w:val="1"/>
      <w:numFmt w:val="bullet"/>
      <w:lvlText w:val=""/>
      <w:lvlJc w:val="left"/>
      <w:pPr>
        <w:tabs>
          <w:tab w:val="num" w:pos="3164"/>
        </w:tabs>
        <w:ind w:left="3164" w:hanging="360"/>
      </w:pPr>
      <w:rPr>
        <w:rFonts w:ascii="Symbol" w:hAnsi="Symbol" w:hint="default"/>
      </w:rPr>
    </w:lvl>
    <w:lvl w:ilvl="4">
      <w:start w:val="1"/>
      <w:numFmt w:val="bullet"/>
      <w:lvlText w:val="o"/>
      <w:lvlJc w:val="left"/>
      <w:pPr>
        <w:tabs>
          <w:tab w:val="num" w:pos="3884"/>
        </w:tabs>
        <w:ind w:left="3884" w:hanging="360"/>
      </w:pPr>
      <w:rPr>
        <w:rFonts w:ascii="Courier New" w:hAnsi="Courier New" w:cs="Courier New" w:hint="default"/>
      </w:rPr>
    </w:lvl>
    <w:lvl w:ilvl="5">
      <w:start w:val="1"/>
      <w:numFmt w:val="bullet"/>
      <w:lvlText w:val=""/>
      <w:lvlJc w:val="left"/>
      <w:pPr>
        <w:tabs>
          <w:tab w:val="num" w:pos="4604"/>
        </w:tabs>
        <w:ind w:left="4604" w:hanging="360"/>
      </w:pPr>
      <w:rPr>
        <w:rFonts w:ascii="Wingdings" w:hAnsi="Wingdings" w:hint="default"/>
      </w:rPr>
    </w:lvl>
    <w:lvl w:ilvl="6">
      <w:start w:val="1"/>
      <w:numFmt w:val="bullet"/>
      <w:lvlText w:val=""/>
      <w:lvlJc w:val="left"/>
      <w:pPr>
        <w:tabs>
          <w:tab w:val="num" w:pos="5324"/>
        </w:tabs>
        <w:ind w:left="5324" w:hanging="360"/>
      </w:pPr>
      <w:rPr>
        <w:rFonts w:ascii="Symbol" w:hAnsi="Symbol" w:hint="default"/>
      </w:rPr>
    </w:lvl>
    <w:lvl w:ilvl="7">
      <w:start w:val="1"/>
      <w:numFmt w:val="bullet"/>
      <w:lvlText w:val="o"/>
      <w:lvlJc w:val="left"/>
      <w:pPr>
        <w:tabs>
          <w:tab w:val="num" w:pos="6044"/>
        </w:tabs>
        <w:ind w:left="6044" w:hanging="360"/>
      </w:pPr>
      <w:rPr>
        <w:rFonts w:ascii="Courier New" w:hAnsi="Courier New" w:cs="Courier New" w:hint="default"/>
      </w:rPr>
    </w:lvl>
    <w:lvl w:ilvl="8">
      <w:start w:val="1"/>
      <w:numFmt w:val="bullet"/>
      <w:lvlText w:val=""/>
      <w:lvlJc w:val="left"/>
      <w:pPr>
        <w:tabs>
          <w:tab w:val="num" w:pos="6764"/>
        </w:tabs>
        <w:ind w:left="676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317"/>
    <w:rsid w:val="00D21317"/>
    <w:rsid w:val="00FB7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F7A4D"/>
  <w15:chartTrackingRefBased/>
  <w15:docId w15:val="{72E8BFC5-88D3-42C1-8A14-B1908E55B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1317"/>
    <w:pPr>
      <w:spacing w:after="0" w:line="240" w:lineRule="auto"/>
    </w:pPr>
    <w:rPr>
      <w:rFonts w:ascii="Arial" w:hAnsi="Arial" w:cs="Arial"/>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21317"/>
    <w:pPr>
      <w:spacing w:after="0" w:line="240" w:lineRule="auto"/>
    </w:pPr>
    <w:rPr>
      <w:rFonts w:ascii="Arial" w:hAnsi="Arial" w:cs="Arial"/>
      <w:sz w:val="20"/>
      <w:szCs w:val="20"/>
      <w:lang w:val="en-S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Sbullet">
    <w:name w:val="BS bullet"/>
    <w:basedOn w:val="Normal"/>
    <w:rsid w:val="00D21317"/>
    <w:pPr>
      <w:numPr>
        <w:numId w:val="1"/>
      </w:numPr>
      <w:spacing w:line="360" w:lineRule="auto"/>
    </w:pPr>
    <w:rPr>
      <w:rFonts w:ascii="Times New Roman" w:eastAsia="Times New Roman" w:hAnsi="Times New Roman"/>
      <w:sz w:val="23"/>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8783</Words>
  <Characters>50069</Characters>
  <Application>Microsoft Office Word</Application>
  <DocSecurity>0</DocSecurity>
  <Lines>417</Lines>
  <Paragraphs>117</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58735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2021-04-05T10:58:00Z</dcterms:created>
  <dcterms:modified xsi:type="dcterms:W3CDTF">2021-04-05T10:58:00Z</dcterms:modified>
</cp:coreProperties>
</file>