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A8287" w14:textId="77777777" w:rsidR="00616706" w:rsidRDefault="00000000">
      <w:pPr>
        <w:spacing w:line="480" w:lineRule="auto"/>
        <w:rPr>
          <w:b/>
        </w:rPr>
      </w:pPr>
      <w:r>
        <w:rPr>
          <w:b/>
        </w:rPr>
        <w:t>Supplementary Figures</w:t>
      </w:r>
    </w:p>
    <w:p w14:paraId="6E4E34BB" w14:textId="77777777" w:rsidR="00616706" w:rsidRDefault="00616706">
      <w:pPr>
        <w:spacing w:line="480" w:lineRule="auto"/>
      </w:pPr>
    </w:p>
    <w:p w14:paraId="4949D2E8" w14:textId="77777777" w:rsidR="00616706" w:rsidRDefault="00000000">
      <w:pPr>
        <w:spacing w:line="480" w:lineRule="auto"/>
      </w:pPr>
      <w:r>
        <w:rPr>
          <w:noProof/>
        </w:rPr>
        <w:drawing>
          <wp:inline distT="114300" distB="114300" distL="114300" distR="114300" wp14:anchorId="60513DC7" wp14:editId="27BBE8B1">
            <wp:extent cx="2675593" cy="471963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5593" cy="47196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02CFA8E" w14:textId="77777777" w:rsidR="00616706" w:rsidRDefault="00000000">
      <w:pPr>
        <w:spacing w:line="480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Supplementary Figure 1. Less than one percent of metagenomic contig sequences from healthy individuals and obese adolescents contain evidence of HGT. </w:t>
      </w:r>
      <w:r>
        <w:rPr>
          <w:sz w:val="20"/>
          <w:szCs w:val="20"/>
        </w:rPr>
        <w:t xml:space="preserve">The percentage of contigs with and without HGT is plotted for each of the 381 microbiome samples from the Gut Bugs Trial </w:t>
      </w:r>
      <w:hyperlink r:id="rId5">
        <w:r>
          <w:rPr>
            <w:sz w:val="20"/>
            <w:szCs w:val="20"/>
          </w:rPr>
          <w:t>(Wilson et al. 2021)</w:t>
        </w:r>
      </w:hyperlink>
      <w:r>
        <w:rPr>
          <w:sz w:val="20"/>
          <w:szCs w:val="20"/>
        </w:rPr>
        <w:t>. HGT, horizontal gene transfer.</w:t>
      </w:r>
    </w:p>
    <w:p w14:paraId="4894DF1F" w14:textId="77777777" w:rsidR="00616706" w:rsidRDefault="00616706">
      <w:pPr>
        <w:spacing w:line="480" w:lineRule="auto"/>
        <w:rPr>
          <w:sz w:val="20"/>
          <w:szCs w:val="20"/>
        </w:rPr>
      </w:pPr>
    </w:p>
    <w:p w14:paraId="12407152" w14:textId="77777777" w:rsidR="00616706" w:rsidRDefault="00000000">
      <w:pPr>
        <w:spacing w:line="480" w:lineRule="auto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114300" distB="114300" distL="114300" distR="114300" wp14:anchorId="6EDA8944" wp14:editId="50D0F408">
            <wp:extent cx="5943600" cy="41910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480E16" w14:textId="77777777" w:rsidR="00616706" w:rsidRDefault="00000000">
      <w:pPr>
        <w:spacing w:line="480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Supplementary Figure 2. Gene functions of engraftment-dependent HTGCs show no differences up to 26 weeks post-intervention. </w:t>
      </w:r>
      <w:r>
        <w:rPr>
          <w:sz w:val="20"/>
          <w:szCs w:val="20"/>
        </w:rPr>
        <w:t>Relative abundances of gene clusters in each COG functional category were compared within each sex at each timepoint (PERMANOVA test). CPM, copies per million reads; COG, clusters of orthologous groups; HTGC, horizontally transferred gene cluster.</w:t>
      </w:r>
    </w:p>
    <w:sectPr w:rsidR="00616706" w:rsidSect="00BE3EF9"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706"/>
    <w:rsid w:val="00616706"/>
    <w:rsid w:val="00BE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F5081"/>
  <w15:docId w15:val="{67D1AAF5-D359-4DB3-8EC1-4D0966716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N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LineNumber">
    <w:name w:val="line number"/>
    <w:basedOn w:val="DefaultParagraphFont"/>
    <w:uiPriority w:val="99"/>
    <w:semiHidden/>
    <w:unhideWhenUsed/>
    <w:rsid w:val="00BE3E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paperpile.com/c/oqqJrV/0cZwn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Anna Behling</cp:lastModifiedBy>
  <cp:revision>2</cp:revision>
  <dcterms:created xsi:type="dcterms:W3CDTF">2023-10-09T00:03:00Z</dcterms:created>
  <dcterms:modified xsi:type="dcterms:W3CDTF">2023-10-09T00:03:00Z</dcterms:modified>
</cp:coreProperties>
</file>