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D3867" w14:textId="77777777" w:rsidR="00C21D1C" w:rsidRPr="00FE758F" w:rsidRDefault="00C21D1C" w:rsidP="00C21D1C">
      <w:pPr>
        <w:pStyle w:val="014FigureCaption"/>
        <w:jc w:val="both"/>
        <w:rPr>
          <w:rFonts w:cs="Arial"/>
        </w:rPr>
      </w:pPr>
      <w:bookmarkStart w:id="0" w:name="_Toc146289240"/>
      <w:r>
        <w:rPr>
          <w:rFonts w:cs="Arial"/>
        </w:rPr>
        <w:t>Figure S1</w:t>
      </w:r>
      <w:r w:rsidRPr="00FE758F">
        <w:rPr>
          <w:rFonts w:cs="Arial"/>
        </w:rPr>
        <w:t xml:space="preserve">: Gating strategy and raw count data for </w:t>
      </w:r>
      <w:r>
        <w:rPr>
          <w:rFonts w:cs="Arial"/>
        </w:rPr>
        <w:t>Figure 1</w:t>
      </w:r>
      <w:r w:rsidRPr="00FE758F">
        <w:rPr>
          <w:rFonts w:cs="Arial"/>
        </w:rPr>
        <w:t>. A) Gating strategy used to identify cell subsets. Raw counts of T-cells (B), B-cells (C), CD45- cells (D), dendritic cells (E), neutrophils (F), microglia (G), and monocytes/macrophages (H) are shown. For each plot, groups that share a letter are not statistically significantly different (</w:t>
      </w:r>
      <w:r w:rsidRPr="00FE758F">
        <w:rPr>
          <w:rFonts w:cs="Arial"/>
          <w:i/>
          <w:iCs/>
        </w:rPr>
        <w:t xml:space="preserve">p </w:t>
      </w:r>
      <w:r w:rsidRPr="00FE758F">
        <w:rPr>
          <w:rFonts w:cs="Arial"/>
        </w:rPr>
        <w:t>&gt; 0.05) after Tukey’s correction for multiple comparisons.</w:t>
      </w:r>
      <w:bookmarkEnd w:id="0"/>
      <w:r w:rsidRPr="00FE758F">
        <w:rPr>
          <w:rFonts w:cs="Arial"/>
        </w:rPr>
        <w:t xml:space="preserve">  </w:t>
      </w:r>
    </w:p>
    <w:p w14:paraId="6659ACDE" w14:textId="77777777" w:rsidR="00C21D1C" w:rsidRPr="0010445F" w:rsidRDefault="00C21D1C" w:rsidP="00C21D1C">
      <w:pPr>
        <w:pStyle w:val="014FigureCaption"/>
        <w:jc w:val="both"/>
        <w:rPr>
          <w:rFonts w:cs="Arial"/>
        </w:rPr>
      </w:pPr>
      <w:bookmarkStart w:id="1" w:name="_Toc146289241"/>
      <w:r>
        <w:rPr>
          <w:rFonts w:cs="Arial"/>
        </w:rPr>
        <w:t>Figure S2</w:t>
      </w:r>
      <w:r w:rsidRPr="00FE758F">
        <w:rPr>
          <w:rFonts w:cs="Arial"/>
        </w:rPr>
        <w:t>:</w:t>
      </w:r>
      <w:r>
        <w:rPr>
          <w:rFonts w:cs="Arial"/>
        </w:rPr>
        <w:t xml:space="preserve"> </w:t>
      </w:r>
      <w:r w:rsidRPr="00FE758F">
        <w:rPr>
          <w:rFonts w:cs="Arial"/>
        </w:rPr>
        <w:t>Testing different MicroBead dilutions and CD45 antibody clones in the detected yields of immune cells from brain. A) Experimental workflow showing the sample fractions collected after magnetic separation and CD45 antibody clones used during surface labeling. B) Gating strategy used to identify broad cell subsets. C) Live cell count in each fraction. The frequency of microglia (D), non-microglia myeloid cells (E), lymphocytes (F), and CD45- cells (G) are shown, represented as a percentage of total live cells in the sample. In these figures, groups that share a letter are not statistically significant (</w:t>
      </w:r>
      <w:r w:rsidRPr="00FE758F">
        <w:rPr>
          <w:rFonts w:cs="Arial"/>
          <w:i/>
          <w:iCs/>
        </w:rPr>
        <w:t xml:space="preserve">p </w:t>
      </w:r>
      <w:r w:rsidRPr="00FE758F">
        <w:rPr>
          <w:rFonts w:cs="Arial"/>
        </w:rPr>
        <w:t>&gt; 0.05) after Tukey’s correction for multiple comparisons, which were conducted separately for each fraction.</w:t>
      </w:r>
      <w:bookmarkEnd w:id="1"/>
      <w:r w:rsidRPr="00FE758F">
        <w:rPr>
          <w:rFonts w:cs="Arial"/>
        </w:rPr>
        <w:t xml:space="preserve"> </w:t>
      </w:r>
    </w:p>
    <w:p w14:paraId="1949BE9B" w14:textId="77777777" w:rsidR="00C21D1C" w:rsidRPr="00FE758F" w:rsidRDefault="00C21D1C" w:rsidP="00C21D1C">
      <w:pPr>
        <w:pStyle w:val="014FigureCaption"/>
        <w:jc w:val="both"/>
        <w:rPr>
          <w:rFonts w:cs="Arial"/>
        </w:rPr>
      </w:pPr>
      <w:bookmarkStart w:id="2" w:name="_Toc146289243"/>
      <w:r>
        <w:rPr>
          <w:rFonts w:cs="Arial"/>
        </w:rPr>
        <w:t>Figure S3</w:t>
      </w:r>
      <w:r w:rsidRPr="00FE758F">
        <w:rPr>
          <w:rFonts w:cs="Arial"/>
        </w:rPr>
        <w:t xml:space="preserve">: Initial clustering and annotation of our brain immune PIPseq dataset. A) Cells were clustered with a low resolution at first, leaving 25 clusters, labeled on a UMAP plot. The expression of </w:t>
      </w:r>
      <w:r w:rsidRPr="00FE758F">
        <w:rPr>
          <w:rFonts w:cs="Arial"/>
          <w:i/>
          <w:iCs/>
        </w:rPr>
        <w:t>Ptprc</w:t>
      </w:r>
      <w:r w:rsidRPr="00FE758F">
        <w:rPr>
          <w:rFonts w:cs="Arial"/>
        </w:rPr>
        <w:t xml:space="preserve"> (B), </w:t>
      </w:r>
      <w:r w:rsidRPr="00FE758F">
        <w:rPr>
          <w:rFonts w:cs="Arial"/>
          <w:i/>
          <w:iCs/>
        </w:rPr>
        <w:t>Itgam</w:t>
      </w:r>
      <w:r w:rsidRPr="00FE758F">
        <w:rPr>
          <w:rFonts w:cs="Arial"/>
        </w:rPr>
        <w:t xml:space="preserve"> (C), </w:t>
      </w:r>
      <w:r w:rsidRPr="00FE758F">
        <w:rPr>
          <w:rFonts w:cs="Arial"/>
          <w:i/>
          <w:iCs/>
        </w:rPr>
        <w:t xml:space="preserve">Ngp </w:t>
      </w:r>
      <w:r w:rsidRPr="00FE758F">
        <w:rPr>
          <w:rFonts w:cs="Arial"/>
        </w:rPr>
        <w:t xml:space="preserve">(D), </w:t>
      </w:r>
      <w:r w:rsidRPr="00FE758F">
        <w:rPr>
          <w:rFonts w:cs="Arial"/>
          <w:i/>
          <w:iCs/>
        </w:rPr>
        <w:t xml:space="preserve">Cd3e </w:t>
      </w:r>
      <w:r w:rsidRPr="00FE758F">
        <w:rPr>
          <w:rFonts w:cs="Arial"/>
        </w:rPr>
        <w:t xml:space="preserve">(E), </w:t>
      </w:r>
      <w:r w:rsidRPr="00FE758F">
        <w:rPr>
          <w:rFonts w:cs="Arial"/>
          <w:i/>
          <w:iCs/>
        </w:rPr>
        <w:t xml:space="preserve">Ms4a1 </w:t>
      </w:r>
      <w:r w:rsidRPr="00FE758F">
        <w:rPr>
          <w:rFonts w:cs="Arial"/>
        </w:rPr>
        <w:t xml:space="preserve">(F), </w:t>
      </w:r>
      <w:r w:rsidRPr="00FE758F">
        <w:rPr>
          <w:rFonts w:cs="Arial"/>
          <w:i/>
          <w:iCs/>
        </w:rPr>
        <w:t>Nkg7</w:t>
      </w:r>
      <w:r w:rsidRPr="00FE758F">
        <w:rPr>
          <w:rFonts w:cs="Arial"/>
        </w:rPr>
        <w:t xml:space="preserve"> (G) is shown, expressed as log2-transformed normalized counts. H) Clusters were labeled broadly based on the expression of canonical cell markers. These clusters were then isolated and analyzed in more depth in later figures, shown in (I-N).</w:t>
      </w:r>
      <w:bookmarkEnd w:id="2"/>
      <w:r w:rsidRPr="00FE758F">
        <w:rPr>
          <w:rFonts w:cs="Arial"/>
        </w:rPr>
        <w:t xml:space="preserve"> </w:t>
      </w:r>
    </w:p>
    <w:p w14:paraId="3D2200BF" w14:textId="77777777" w:rsidR="00C21D1C" w:rsidRPr="00FE758F" w:rsidRDefault="00C21D1C" w:rsidP="00C21D1C">
      <w:pPr>
        <w:pStyle w:val="014FigureCaption"/>
        <w:jc w:val="both"/>
        <w:rPr>
          <w:rFonts w:cs="Arial"/>
        </w:rPr>
      </w:pPr>
      <w:bookmarkStart w:id="3" w:name="_Toc146289244"/>
      <w:r w:rsidRPr="00FE758F">
        <w:rPr>
          <w:rFonts w:cs="Arial"/>
        </w:rPr>
        <w:t xml:space="preserve">Figure </w:t>
      </w:r>
      <w:r>
        <w:rPr>
          <w:rFonts w:cs="Arial"/>
        </w:rPr>
        <w:t>S4</w:t>
      </w:r>
      <w:r w:rsidRPr="00FE758F">
        <w:rPr>
          <w:rFonts w:cs="Arial"/>
        </w:rPr>
        <w:t xml:space="preserve">: Annotation of the B-cell cluster. A) Robust clustering revealed 6 groups of cells. The effectiveness of this clustering strategy is shown by the silhouette score in each cell (B) and average co-clustering of cells during iterative subsampling (C). Useful genes in cluster identification were </w:t>
      </w:r>
      <w:r w:rsidRPr="00FE758F">
        <w:rPr>
          <w:rFonts w:cs="Arial"/>
          <w:i/>
          <w:iCs/>
        </w:rPr>
        <w:t xml:space="preserve">Cd79a </w:t>
      </w:r>
      <w:r w:rsidRPr="00FE758F">
        <w:rPr>
          <w:rFonts w:cs="Arial"/>
        </w:rPr>
        <w:t xml:space="preserve">(D), </w:t>
      </w:r>
      <w:r w:rsidRPr="00FE758F">
        <w:rPr>
          <w:rFonts w:cs="Arial"/>
          <w:i/>
          <w:iCs/>
        </w:rPr>
        <w:t xml:space="preserve">Ms4a1 </w:t>
      </w:r>
      <w:r w:rsidRPr="00FE758F">
        <w:rPr>
          <w:rFonts w:cs="Arial"/>
        </w:rPr>
        <w:t xml:space="preserve">(E), </w:t>
      </w:r>
      <w:r w:rsidRPr="00FE758F">
        <w:rPr>
          <w:rFonts w:cs="Arial"/>
          <w:i/>
          <w:iCs/>
        </w:rPr>
        <w:t xml:space="preserve">Ighm </w:t>
      </w:r>
      <w:r w:rsidRPr="00FE758F">
        <w:rPr>
          <w:rFonts w:cs="Arial"/>
        </w:rPr>
        <w:t xml:space="preserve">(F), </w:t>
      </w:r>
      <w:r w:rsidRPr="00FE758F">
        <w:rPr>
          <w:rFonts w:cs="Arial"/>
          <w:i/>
          <w:iCs/>
        </w:rPr>
        <w:t>Cd3e</w:t>
      </w:r>
      <w:r w:rsidRPr="00FE758F">
        <w:rPr>
          <w:rFonts w:cs="Arial"/>
        </w:rPr>
        <w:t xml:space="preserve"> (G), and </w:t>
      </w:r>
      <w:r w:rsidRPr="00FE758F">
        <w:rPr>
          <w:rFonts w:cs="Arial"/>
          <w:i/>
          <w:iCs/>
        </w:rPr>
        <w:t>Nkg7</w:t>
      </w:r>
      <w:r w:rsidRPr="00FE758F">
        <w:rPr>
          <w:rFonts w:cs="Arial"/>
        </w:rPr>
        <w:t xml:space="preserve"> (H). I) Final cluster identities included B-cells and a doublet cluster, which showed expression of T- and B-cell markers, that was removed before further analyses.</w:t>
      </w:r>
      <w:bookmarkEnd w:id="3"/>
    </w:p>
    <w:p w14:paraId="5C838151" w14:textId="77777777" w:rsidR="00C21D1C" w:rsidRPr="00FE758F" w:rsidRDefault="00C21D1C" w:rsidP="00C21D1C">
      <w:pPr>
        <w:pStyle w:val="014FigureCaption"/>
        <w:jc w:val="both"/>
        <w:rPr>
          <w:rFonts w:cs="Arial"/>
        </w:rPr>
      </w:pPr>
      <w:bookmarkStart w:id="4" w:name="_Toc146289245"/>
      <w:r w:rsidRPr="00FE758F">
        <w:rPr>
          <w:rFonts w:cs="Arial"/>
        </w:rPr>
        <w:t xml:space="preserve">Figure </w:t>
      </w:r>
      <w:r>
        <w:rPr>
          <w:rFonts w:cs="Arial"/>
        </w:rPr>
        <w:t>S5</w:t>
      </w:r>
      <w:r w:rsidRPr="00FE758F">
        <w:rPr>
          <w:rFonts w:cs="Arial"/>
        </w:rPr>
        <w:t xml:space="preserve">: Annotation of the CD45- cluster. A) Robust clustering revealed 17 groups of cells. The effectiveness of this clustering strategy is shown by the silhouette score of each cell (B) and average co-clustering of cells during iterative subsampling (C). Useful genes in cluster identification were </w:t>
      </w:r>
      <w:r w:rsidRPr="00FE758F">
        <w:rPr>
          <w:rFonts w:cs="Arial"/>
          <w:i/>
          <w:iCs/>
        </w:rPr>
        <w:t>Acta2</w:t>
      </w:r>
      <w:r w:rsidRPr="00FE758F">
        <w:rPr>
          <w:rFonts w:cs="Arial"/>
        </w:rPr>
        <w:t xml:space="preserve"> (D), </w:t>
      </w:r>
      <w:r w:rsidRPr="00FE758F">
        <w:rPr>
          <w:rFonts w:cs="Arial"/>
          <w:i/>
          <w:iCs/>
        </w:rPr>
        <w:t xml:space="preserve">Aqp4 </w:t>
      </w:r>
      <w:r w:rsidRPr="00FE758F">
        <w:rPr>
          <w:rFonts w:cs="Arial"/>
        </w:rPr>
        <w:t xml:space="preserve">(E), </w:t>
      </w:r>
      <w:r w:rsidRPr="00FE758F">
        <w:rPr>
          <w:rFonts w:cs="Arial"/>
          <w:i/>
          <w:iCs/>
        </w:rPr>
        <w:t xml:space="preserve">Cldn5 </w:t>
      </w:r>
      <w:r w:rsidRPr="00FE758F">
        <w:rPr>
          <w:rFonts w:cs="Arial"/>
        </w:rPr>
        <w:t xml:space="preserve">(F), </w:t>
      </w:r>
      <w:r w:rsidRPr="00FE758F">
        <w:rPr>
          <w:rFonts w:cs="Arial"/>
          <w:i/>
          <w:iCs/>
        </w:rPr>
        <w:t xml:space="preserve">Col1a2 </w:t>
      </w:r>
      <w:r w:rsidRPr="00FE758F">
        <w:rPr>
          <w:rFonts w:cs="Arial"/>
        </w:rPr>
        <w:t xml:space="preserve">(G), </w:t>
      </w:r>
      <w:r w:rsidRPr="00FE758F">
        <w:rPr>
          <w:rFonts w:cs="Arial"/>
          <w:i/>
          <w:iCs/>
        </w:rPr>
        <w:t xml:space="preserve">Dcn </w:t>
      </w:r>
      <w:r w:rsidRPr="00FE758F">
        <w:rPr>
          <w:rFonts w:cs="Arial"/>
        </w:rPr>
        <w:t xml:space="preserve">(H), </w:t>
      </w:r>
      <w:r w:rsidRPr="00FE758F">
        <w:rPr>
          <w:rFonts w:cs="Arial"/>
          <w:i/>
          <w:iCs/>
        </w:rPr>
        <w:t xml:space="preserve">Folr1 </w:t>
      </w:r>
      <w:r w:rsidRPr="00FE758F">
        <w:rPr>
          <w:rFonts w:cs="Arial"/>
        </w:rPr>
        <w:t xml:space="preserve">(I), </w:t>
      </w:r>
      <w:r w:rsidRPr="00FE758F">
        <w:rPr>
          <w:rFonts w:cs="Arial"/>
          <w:i/>
          <w:iCs/>
        </w:rPr>
        <w:t xml:space="preserve">Gja1 </w:t>
      </w:r>
      <w:r w:rsidRPr="00FE758F">
        <w:rPr>
          <w:rFonts w:cs="Arial"/>
        </w:rPr>
        <w:t xml:space="preserve">(J), </w:t>
      </w:r>
      <w:r w:rsidRPr="00FE758F">
        <w:rPr>
          <w:rFonts w:cs="Arial"/>
          <w:i/>
          <w:iCs/>
        </w:rPr>
        <w:t xml:space="preserve">Olig1 </w:t>
      </w:r>
      <w:r w:rsidRPr="00FE758F">
        <w:rPr>
          <w:rFonts w:cs="Arial"/>
        </w:rPr>
        <w:t xml:space="preserve">(K), </w:t>
      </w:r>
      <w:r w:rsidRPr="00FE758F">
        <w:rPr>
          <w:rFonts w:cs="Arial"/>
          <w:i/>
          <w:iCs/>
        </w:rPr>
        <w:t xml:space="preserve">S100b </w:t>
      </w:r>
      <w:r w:rsidRPr="00FE758F">
        <w:rPr>
          <w:rFonts w:cs="Arial"/>
        </w:rPr>
        <w:t xml:space="preserve">(L), and </w:t>
      </w:r>
      <w:r w:rsidRPr="00FE758F">
        <w:rPr>
          <w:rFonts w:cs="Arial"/>
          <w:i/>
          <w:iCs/>
        </w:rPr>
        <w:t xml:space="preserve">Slc38a2 </w:t>
      </w:r>
      <w:r w:rsidRPr="00FE758F">
        <w:rPr>
          <w:rFonts w:cs="Arial"/>
        </w:rPr>
        <w:t>(M). N) Final cluster identities included choroid plexus cells, endothelial cells, astrocytes, pericytes, leptomeningeal cells, and oligodendrocytes.</w:t>
      </w:r>
      <w:bookmarkEnd w:id="4"/>
    </w:p>
    <w:p w14:paraId="3C04E9C7" w14:textId="77777777" w:rsidR="00C21D1C" w:rsidRPr="00FE758F" w:rsidRDefault="00C21D1C" w:rsidP="00C21D1C">
      <w:pPr>
        <w:pStyle w:val="014FigureCaption"/>
        <w:jc w:val="both"/>
        <w:rPr>
          <w:rFonts w:cs="Arial"/>
        </w:rPr>
      </w:pPr>
      <w:bookmarkStart w:id="5" w:name="_Toc146289246"/>
      <w:r w:rsidRPr="00FE758F">
        <w:rPr>
          <w:rFonts w:cs="Arial"/>
        </w:rPr>
        <w:t xml:space="preserve">Figure </w:t>
      </w:r>
      <w:r>
        <w:rPr>
          <w:rFonts w:cs="Arial"/>
        </w:rPr>
        <w:t>S6</w:t>
      </w:r>
      <w:r w:rsidRPr="00FE758F">
        <w:rPr>
          <w:rFonts w:cs="Arial"/>
        </w:rPr>
        <w:t xml:space="preserve">: Annotation of the microglial cluster. A) Robust clustering revealed 7 clusters in a down-sampled version of our microglial dataset. The effectiveness of this clustering strategy is shown by the silhouette score in each cell (B) and average co-clustering of cells during iterative subsampling (C). D) The clustering </w:t>
      </w:r>
      <w:r w:rsidRPr="00FE758F">
        <w:rPr>
          <w:rFonts w:cs="Arial"/>
        </w:rPr>
        <w:lastRenderedPageBreak/>
        <w:t xml:space="preserve">resolution indicated by chooseR was applied to the full dataset, leaving 14 clusters. The Dice coefficient was calculated for each pair of down-sampled and unsampled clusters, plotted as a heatmap. Unsampled clusters are shown in (E). Microglial marker genes are shown, including </w:t>
      </w:r>
      <w:r w:rsidRPr="00FE758F">
        <w:rPr>
          <w:rFonts w:cs="Arial"/>
          <w:i/>
          <w:iCs/>
        </w:rPr>
        <w:t xml:space="preserve">Aif1 </w:t>
      </w:r>
      <w:r w:rsidRPr="00FE758F">
        <w:rPr>
          <w:rFonts w:cs="Arial"/>
        </w:rPr>
        <w:t xml:space="preserve">(F), </w:t>
      </w:r>
      <w:r w:rsidRPr="00FE758F">
        <w:rPr>
          <w:rFonts w:cs="Arial"/>
          <w:i/>
          <w:iCs/>
        </w:rPr>
        <w:t xml:space="preserve">C1qc </w:t>
      </w:r>
      <w:r w:rsidRPr="00FE758F">
        <w:rPr>
          <w:rFonts w:cs="Arial"/>
        </w:rPr>
        <w:t xml:space="preserve">(G), </w:t>
      </w:r>
      <w:r w:rsidRPr="00FE758F">
        <w:rPr>
          <w:rFonts w:cs="Arial"/>
          <w:i/>
          <w:iCs/>
        </w:rPr>
        <w:t xml:space="preserve">Hexb </w:t>
      </w:r>
      <w:r w:rsidRPr="00FE758F">
        <w:rPr>
          <w:rFonts w:cs="Arial"/>
        </w:rPr>
        <w:t xml:space="preserve">(H), </w:t>
      </w:r>
      <w:r w:rsidRPr="00FE758F">
        <w:rPr>
          <w:rFonts w:cs="Arial"/>
          <w:i/>
          <w:iCs/>
        </w:rPr>
        <w:t xml:space="preserve">P2ry12 </w:t>
      </w:r>
      <w:r w:rsidRPr="00FE758F">
        <w:rPr>
          <w:rFonts w:cs="Arial"/>
        </w:rPr>
        <w:t xml:space="preserve">(I), </w:t>
      </w:r>
      <w:r w:rsidRPr="00FE758F">
        <w:rPr>
          <w:rFonts w:cs="Arial"/>
          <w:i/>
          <w:iCs/>
        </w:rPr>
        <w:t xml:space="preserve">Tmem119 </w:t>
      </w:r>
      <w:r w:rsidRPr="00FE758F">
        <w:rPr>
          <w:rFonts w:cs="Arial"/>
        </w:rPr>
        <w:t>(J).</w:t>
      </w:r>
      <w:bookmarkEnd w:id="5"/>
    </w:p>
    <w:p w14:paraId="2389399B" w14:textId="77777777" w:rsidR="00C21D1C" w:rsidRPr="00FE758F" w:rsidRDefault="00C21D1C" w:rsidP="00C21D1C">
      <w:pPr>
        <w:pStyle w:val="014FigureCaption"/>
        <w:jc w:val="both"/>
        <w:rPr>
          <w:rFonts w:cs="Arial"/>
        </w:rPr>
      </w:pPr>
      <w:bookmarkStart w:id="6" w:name="_Toc146289247"/>
      <w:r w:rsidRPr="00FE758F">
        <w:rPr>
          <w:rFonts w:cs="Arial"/>
        </w:rPr>
        <w:t xml:space="preserve">Figure </w:t>
      </w:r>
      <w:r>
        <w:rPr>
          <w:rFonts w:cs="Arial"/>
        </w:rPr>
        <w:t>S7</w:t>
      </w:r>
      <w:r w:rsidRPr="00FE758F">
        <w:rPr>
          <w:rFonts w:cs="Arial"/>
        </w:rPr>
        <w:t xml:space="preserve">: Annotation of the myeloid antigen-presenting cell cluster. A) Robust clustering revealed 16 clusters. The effectiveness of this clustering strategy is shown by the silhouette score of each cell (B) and average co-clustering of cells during iterative subsampling (C). Useful marker genes in cluster annotation were </w:t>
      </w:r>
      <w:r w:rsidRPr="00FE758F">
        <w:rPr>
          <w:rFonts w:cs="Arial"/>
          <w:i/>
          <w:iCs/>
        </w:rPr>
        <w:t xml:space="preserve">Mrc1 </w:t>
      </w:r>
      <w:r w:rsidRPr="00FE758F">
        <w:rPr>
          <w:rFonts w:cs="Arial"/>
        </w:rPr>
        <w:t xml:space="preserve">(D), </w:t>
      </w:r>
      <w:r w:rsidRPr="00FE758F">
        <w:rPr>
          <w:rFonts w:cs="Arial"/>
          <w:i/>
          <w:iCs/>
        </w:rPr>
        <w:t xml:space="preserve">Cd163 </w:t>
      </w:r>
      <w:r w:rsidRPr="00FE758F">
        <w:rPr>
          <w:rFonts w:cs="Arial"/>
        </w:rPr>
        <w:t xml:space="preserve">(E), </w:t>
      </w:r>
      <w:r w:rsidRPr="00FE758F">
        <w:rPr>
          <w:rFonts w:cs="Arial"/>
          <w:i/>
          <w:iCs/>
        </w:rPr>
        <w:t xml:space="preserve">Ms4a7 </w:t>
      </w:r>
      <w:r w:rsidRPr="00FE758F">
        <w:rPr>
          <w:rFonts w:cs="Arial"/>
        </w:rPr>
        <w:t xml:space="preserve">(F), </w:t>
      </w:r>
      <w:r w:rsidRPr="00FE758F">
        <w:rPr>
          <w:rFonts w:cs="Arial"/>
          <w:i/>
          <w:iCs/>
        </w:rPr>
        <w:t xml:space="preserve">Itgax </w:t>
      </w:r>
      <w:r w:rsidRPr="00FE758F">
        <w:rPr>
          <w:rFonts w:cs="Arial"/>
        </w:rPr>
        <w:t xml:space="preserve">(G), </w:t>
      </w:r>
      <w:r w:rsidRPr="00FE758F">
        <w:rPr>
          <w:rFonts w:cs="Arial"/>
          <w:i/>
          <w:iCs/>
        </w:rPr>
        <w:t>Cd83</w:t>
      </w:r>
      <w:r w:rsidRPr="00FE758F">
        <w:rPr>
          <w:rFonts w:cs="Arial"/>
        </w:rPr>
        <w:t xml:space="preserve"> (H), </w:t>
      </w:r>
      <w:r w:rsidRPr="00FE758F">
        <w:rPr>
          <w:rFonts w:cs="Arial"/>
          <w:i/>
          <w:iCs/>
        </w:rPr>
        <w:t xml:space="preserve">Cd86 </w:t>
      </w:r>
      <w:r w:rsidRPr="00FE758F">
        <w:rPr>
          <w:rFonts w:cs="Arial"/>
        </w:rPr>
        <w:t xml:space="preserve">(I), </w:t>
      </w:r>
      <w:r w:rsidRPr="00FE758F">
        <w:rPr>
          <w:rFonts w:cs="Arial"/>
          <w:i/>
          <w:iCs/>
        </w:rPr>
        <w:t xml:space="preserve">Ccr2 </w:t>
      </w:r>
      <w:r w:rsidRPr="00FE758F">
        <w:rPr>
          <w:rFonts w:cs="Arial"/>
        </w:rPr>
        <w:t xml:space="preserve">(J), </w:t>
      </w:r>
      <w:r w:rsidRPr="00FE758F">
        <w:rPr>
          <w:rFonts w:cs="Arial"/>
          <w:i/>
          <w:iCs/>
        </w:rPr>
        <w:t xml:space="preserve">Ly6c2 </w:t>
      </w:r>
      <w:r w:rsidRPr="00FE758F">
        <w:rPr>
          <w:rFonts w:cs="Arial"/>
        </w:rPr>
        <w:t xml:space="preserve">(K), </w:t>
      </w:r>
      <w:r w:rsidRPr="00FE758F">
        <w:rPr>
          <w:rFonts w:cs="Arial"/>
          <w:i/>
          <w:iCs/>
        </w:rPr>
        <w:t xml:space="preserve">Arg1 </w:t>
      </w:r>
      <w:r w:rsidRPr="00FE758F">
        <w:rPr>
          <w:rFonts w:cs="Arial"/>
        </w:rPr>
        <w:t xml:space="preserve">(L), </w:t>
      </w:r>
      <w:r w:rsidRPr="00FE758F">
        <w:rPr>
          <w:rFonts w:cs="Arial"/>
          <w:i/>
          <w:iCs/>
        </w:rPr>
        <w:t xml:space="preserve">Igkc </w:t>
      </w:r>
      <w:r w:rsidRPr="00FE758F">
        <w:rPr>
          <w:rFonts w:cs="Arial"/>
        </w:rPr>
        <w:t xml:space="preserve">(M), </w:t>
      </w:r>
      <w:r w:rsidRPr="00FE758F">
        <w:rPr>
          <w:rFonts w:cs="Arial"/>
          <w:i/>
          <w:iCs/>
        </w:rPr>
        <w:t xml:space="preserve">Vpreb3 </w:t>
      </w:r>
      <w:r w:rsidRPr="00FE758F">
        <w:rPr>
          <w:rFonts w:cs="Arial"/>
        </w:rPr>
        <w:t xml:space="preserve">(N), and </w:t>
      </w:r>
      <w:r w:rsidRPr="00FE758F">
        <w:rPr>
          <w:rFonts w:cs="Arial"/>
          <w:i/>
          <w:iCs/>
        </w:rPr>
        <w:t xml:space="preserve">Hba-a1 </w:t>
      </w:r>
      <w:r w:rsidRPr="00FE758F">
        <w:rPr>
          <w:rFonts w:cs="Arial"/>
        </w:rPr>
        <w:t>(O). P) Final cluster identities were monocytes, macrophages, dendritic cells, plasma cells, and erythrocytes.</w:t>
      </w:r>
      <w:bookmarkEnd w:id="6"/>
      <w:r w:rsidRPr="00FE758F">
        <w:rPr>
          <w:rFonts w:cs="Arial"/>
        </w:rPr>
        <w:t xml:space="preserve"> </w:t>
      </w:r>
    </w:p>
    <w:p w14:paraId="6273BFA1" w14:textId="77777777" w:rsidR="00C21D1C" w:rsidRPr="00FE758F" w:rsidRDefault="00C21D1C" w:rsidP="00C21D1C">
      <w:pPr>
        <w:pStyle w:val="014FigureCaption"/>
        <w:jc w:val="both"/>
        <w:rPr>
          <w:rFonts w:cs="Arial"/>
        </w:rPr>
      </w:pPr>
      <w:bookmarkStart w:id="7" w:name="_Toc146289248"/>
      <w:r w:rsidRPr="00FE758F">
        <w:rPr>
          <w:rFonts w:cs="Arial"/>
        </w:rPr>
        <w:t xml:space="preserve">Figure </w:t>
      </w:r>
      <w:r>
        <w:rPr>
          <w:rFonts w:cs="Arial"/>
        </w:rPr>
        <w:t>S8</w:t>
      </w:r>
      <w:r w:rsidRPr="00FE758F">
        <w:rPr>
          <w:rFonts w:cs="Arial"/>
        </w:rPr>
        <w:t xml:space="preserve">: Annotation of the neutrophil cluster. A) Robust clustering revealed 10 clusters. The effectiveness of this clustering strategy is shown by the silhouette score of each cell (B) and average co-clustering of cells during iterative subsampling (C). Useful marker genes in cluster identification were </w:t>
      </w:r>
      <w:r w:rsidRPr="00FE758F">
        <w:rPr>
          <w:rFonts w:cs="Arial"/>
          <w:i/>
          <w:iCs/>
        </w:rPr>
        <w:t xml:space="preserve">Mmp8 </w:t>
      </w:r>
      <w:r w:rsidRPr="00FE758F">
        <w:rPr>
          <w:rFonts w:cs="Arial"/>
        </w:rPr>
        <w:t xml:space="preserve">(D), </w:t>
      </w:r>
      <w:r w:rsidRPr="00FE758F">
        <w:rPr>
          <w:rFonts w:cs="Arial"/>
          <w:i/>
          <w:iCs/>
        </w:rPr>
        <w:t xml:space="preserve">Ngp </w:t>
      </w:r>
      <w:r w:rsidRPr="00FE758F">
        <w:rPr>
          <w:rFonts w:cs="Arial"/>
        </w:rPr>
        <w:t xml:space="preserve">(E), </w:t>
      </w:r>
      <w:r w:rsidRPr="00FE758F">
        <w:rPr>
          <w:rFonts w:cs="Arial"/>
          <w:i/>
          <w:iCs/>
        </w:rPr>
        <w:t>S100a8</w:t>
      </w:r>
      <w:r w:rsidRPr="00FE758F">
        <w:rPr>
          <w:rFonts w:cs="Arial"/>
        </w:rPr>
        <w:t xml:space="preserve"> (F), </w:t>
      </w:r>
      <w:r w:rsidRPr="00FE758F">
        <w:rPr>
          <w:rFonts w:cs="Arial"/>
          <w:i/>
          <w:iCs/>
        </w:rPr>
        <w:t>S100a9</w:t>
      </w:r>
      <w:r w:rsidRPr="00FE758F">
        <w:rPr>
          <w:rFonts w:cs="Arial"/>
        </w:rPr>
        <w:t xml:space="preserve"> (G), and </w:t>
      </w:r>
      <w:r w:rsidRPr="00FE758F">
        <w:rPr>
          <w:rFonts w:cs="Arial"/>
          <w:i/>
          <w:iCs/>
        </w:rPr>
        <w:t>P2ry12</w:t>
      </w:r>
      <w:r w:rsidRPr="00FE758F">
        <w:rPr>
          <w:rFonts w:cs="Arial"/>
        </w:rPr>
        <w:t xml:space="preserve"> (H). In total, this dataset contained neutrophils and a small cluster of doublets, marked by the expression of microgial and neutrophil genes, which were removed prior to further analyses.</w:t>
      </w:r>
      <w:bookmarkEnd w:id="7"/>
      <w:r w:rsidRPr="00FE758F">
        <w:rPr>
          <w:rFonts w:cs="Arial"/>
        </w:rPr>
        <w:t xml:space="preserve"> </w:t>
      </w:r>
    </w:p>
    <w:p w14:paraId="0D8B78E8" w14:textId="77777777" w:rsidR="00C21D1C" w:rsidRPr="0010445F" w:rsidRDefault="00C21D1C" w:rsidP="00C21D1C">
      <w:pPr>
        <w:pStyle w:val="014FigureCaption"/>
        <w:jc w:val="both"/>
        <w:rPr>
          <w:rFonts w:cs="Arial"/>
        </w:rPr>
      </w:pPr>
      <w:bookmarkStart w:id="8" w:name="_Toc146289249"/>
      <w:r w:rsidRPr="00FE758F">
        <w:rPr>
          <w:rFonts w:cs="Arial"/>
        </w:rPr>
        <w:t xml:space="preserve">Figure </w:t>
      </w:r>
      <w:r>
        <w:rPr>
          <w:rFonts w:cs="Arial"/>
        </w:rPr>
        <w:t>S9</w:t>
      </w:r>
      <w:r w:rsidRPr="00FE758F">
        <w:rPr>
          <w:rFonts w:cs="Arial"/>
        </w:rPr>
        <w:t xml:space="preserve">: Annotation of the T- and natural killer cell cluster. A) Robust clustering revealed 12 clusters. The effectiveness of this clustering strategy is shown by the silhouette score of each cell (B) and average co-clustering of cells during iterative subsampling (C). Useful marker genes in cluster annotation were </w:t>
      </w:r>
      <w:r w:rsidRPr="00FE758F">
        <w:rPr>
          <w:rFonts w:cs="Arial"/>
          <w:i/>
          <w:iCs/>
        </w:rPr>
        <w:t xml:space="preserve">Cd3e </w:t>
      </w:r>
      <w:r w:rsidRPr="00FE758F">
        <w:rPr>
          <w:rFonts w:cs="Arial"/>
        </w:rPr>
        <w:t xml:space="preserve">(D), </w:t>
      </w:r>
      <w:r w:rsidRPr="00FE758F">
        <w:rPr>
          <w:rFonts w:cs="Arial"/>
          <w:i/>
          <w:iCs/>
        </w:rPr>
        <w:t xml:space="preserve">Cd8b1 </w:t>
      </w:r>
      <w:r w:rsidRPr="00FE758F">
        <w:rPr>
          <w:rFonts w:cs="Arial"/>
        </w:rPr>
        <w:t xml:space="preserve">(E), </w:t>
      </w:r>
      <w:r w:rsidRPr="00FE758F">
        <w:rPr>
          <w:rFonts w:cs="Arial"/>
          <w:i/>
          <w:iCs/>
        </w:rPr>
        <w:t xml:space="preserve">Gzma </w:t>
      </w:r>
      <w:r w:rsidRPr="00FE758F">
        <w:rPr>
          <w:rFonts w:cs="Arial"/>
        </w:rPr>
        <w:t xml:space="preserve">(F), </w:t>
      </w:r>
      <w:r w:rsidRPr="00FE758F">
        <w:rPr>
          <w:rFonts w:cs="Arial"/>
          <w:i/>
          <w:iCs/>
        </w:rPr>
        <w:t xml:space="preserve">Klrb1c </w:t>
      </w:r>
      <w:r w:rsidRPr="00FE758F">
        <w:rPr>
          <w:rFonts w:cs="Arial"/>
        </w:rPr>
        <w:t xml:space="preserve">(G), </w:t>
      </w:r>
      <w:r w:rsidRPr="00FE758F">
        <w:rPr>
          <w:rFonts w:cs="Arial"/>
          <w:i/>
          <w:iCs/>
        </w:rPr>
        <w:t xml:space="preserve">Trdc </w:t>
      </w:r>
      <w:r w:rsidRPr="00FE758F">
        <w:rPr>
          <w:rFonts w:cs="Arial"/>
        </w:rPr>
        <w:t xml:space="preserve">(H), </w:t>
      </w:r>
      <w:r w:rsidRPr="00FE758F">
        <w:rPr>
          <w:rFonts w:cs="Arial"/>
          <w:i/>
          <w:iCs/>
        </w:rPr>
        <w:t xml:space="preserve">Trgc1 </w:t>
      </w:r>
      <w:r w:rsidRPr="00FE758F">
        <w:rPr>
          <w:rFonts w:cs="Arial"/>
        </w:rPr>
        <w:t xml:space="preserve">(I), </w:t>
      </w:r>
      <w:r w:rsidRPr="00FE758F">
        <w:rPr>
          <w:rFonts w:cs="Arial"/>
          <w:i/>
          <w:iCs/>
        </w:rPr>
        <w:t xml:space="preserve">Marco </w:t>
      </w:r>
      <w:r w:rsidRPr="00FE758F">
        <w:rPr>
          <w:rFonts w:cs="Arial"/>
        </w:rPr>
        <w:t xml:space="preserve">(J), </w:t>
      </w:r>
      <w:r w:rsidRPr="00FE758F">
        <w:rPr>
          <w:rFonts w:cs="Arial"/>
          <w:i/>
          <w:iCs/>
        </w:rPr>
        <w:t xml:space="preserve">Hba-a1 </w:t>
      </w:r>
      <w:r w:rsidRPr="00FE758F">
        <w:rPr>
          <w:rFonts w:cs="Arial"/>
        </w:rPr>
        <w:t xml:space="preserve">(K), </w:t>
      </w:r>
      <w:r w:rsidRPr="00FE758F">
        <w:rPr>
          <w:rFonts w:cs="Arial"/>
          <w:i/>
          <w:iCs/>
        </w:rPr>
        <w:t xml:space="preserve">Cebpa </w:t>
      </w:r>
      <w:r w:rsidRPr="00FE758F">
        <w:rPr>
          <w:rFonts w:cs="Arial"/>
        </w:rPr>
        <w:t xml:space="preserve">(L), </w:t>
      </w:r>
      <w:r w:rsidRPr="00FE758F">
        <w:rPr>
          <w:rFonts w:cs="Arial"/>
          <w:i/>
          <w:iCs/>
        </w:rPr>
        <w:t xml:space="preserve">Mcpt4 </w:t>
      </w:r>
      <w:r w:rsidRPr="00FE758F">
        <w:rPr>
          <w:rFonts w:cs="Arial"/>
        </w:rPr>
        <w:t xml:space="preserve">(M), </w:t>
      </w:r>
      <w:r w:rsidRPr="00FE758F">
        <w:rPr>
          <w:rFonts w:cs="Arial"/>
          <w:i/>
          <w:iCs/>
        </w:rPr>
        <w:t xml:space="preserve">Plac8 </w:t>
      </w:r>
      <w:r w:rsidRPr="00FE758F">
        <w:rPr>
          <w:rFonts w:cs="Arial"/>
        </w:rPr>
        <w:t xml:space="preserve">(N), and </w:t>
      </w:r>
      <w:r w:rsidRPr="00FE758F">
        <w:rPr>
          <w:rFonts w:cs="Arial"/>
          <w:i/>
          <w:iCs/>
        </w:rPr>
        <w:t xml:space="preserve">Calca </w:t>
      </w:r>
      <w:r w:rsidRPr="00FE758F">
        <w:rPr>
          <w:rFonts w:cs="Arial"/>
        </w:rPr>
        <w:t>(O). P) Final identities were αβ T-cells, natural killer cells, stem cells, γδ T-cells, basophils, macrophages, mast cells, and erythrocytes.</w:t>
      </w:r>
      <w:bookmarkEnd w:id="8"/>
      <w:r w:rsidRPr="00FE758F">
        <w:rPr>
          <w:rFonts w:cs="Arial"/>
        </w:rPr>
        <w:t xml:space="preserve"> </w:t>
      </w:r>
    </w:p>
    <w:p w14:paraId="3AAA0199" w14:textId="77777777" w:rsidR="00C21D1C" w:rsidRPr="00FE758F" w:rsidRDefault="00C21D1C" w:rsidP="00C21D1C">
      <w:pPr>
        <w:pStyle w:val="014FigureCaption"/>
        <w:jc w:val="both"/>
        <w:rPr>
          <w:rFonts w:cs="Arial"/>
        </w:rPr>
      </w:pPr>
      <w:bookmarkStart w:id="9" w:name="_Toc146289252"/>
      <w:r>
        <w:rPr>
          <w:rFonts w:cs="Arial"/>
        </w:rPr>
        <w:t>Figure S10</w:t>
      </w:r>
      <w:r w:rsidRPr="00FE758F">
        <w:rPr>
          <w:rFonts w:cs="Arial"/>
        </w:rPr>
        <w:t xml:space="preserve">: Population frequencies of non-immune cells from </w:t>
      </w:r>
      <w:r w:rsidRPr="00C92BF5">
        <w:rPr>
          <w:rFonts w:cs="Arial"/>
        </w:rPr>
        <w:t>Figure 2,</w:t>
      </w:r>
      <w:r w:rsidRPr="00FE758F">
        <w:rPr>
          <w:rFonts w:cs="Arial"/>
        </w:rPr>
        <w:t xml:space="preserve"> with FDR-adjusted </w:t>
      </w:r>
      <w:r w:rsidRPr="00FE758F">
        <w:rPr>
          <w:rFonts w:cs="Arial"/>
          <w:i/>
          <w:iCs/>
        </w:rPr>
        <w:t>p</w:t>
      </w:r>
      <w:r w:rsidRPr="00FE758F">
        <w:rPr>
          <w:rFonts w:cs="Arial"/>
        </w:rPr>
        <w:t>-values shown for each.</w:t>
      </w:r>
      <w:bookmarkEnd w:id="9"/>
      <w:r w:rsidRPr="00FE758F">
        <w:rPr>
          <w:rFonts w:cs="Arial"/>
        </w:rPr>
        <w:t xml:space="preserve"> </w:t>
      </w:r>
    </w:p>
    <w:p w14:paraId="270C0F98" w14:textId="77777777" w:rsidR="00C21D1C" w:rsidRPr="00FE758F" w:rsidRDefault="00C21D1C" w:rsidP="00C21D1C">
      <w:pPr>
        <w:pStyle w:val="014FigureCaption"/>
        <w:jc w:val="both"/>
        <w:rPr>
          <w:rFonts w:cs="Arial"/>
        </w:rPr>
      </w:pPr>
      <w:bookmarkStart w:id="10" w:name="_Toc146289253"/>
      <w:r w:rsidRPr="00FE758F">
        <w:rPr>
          <w:rFonts w:cs="Arial"/>
        </w:rPr>
        <w:t xml:space="preserve">Figure </w:t>
      </w:r>
      <w:r>
        <w:rPr>
          <w:rFonts w:cs="Arial"/>
        </w:rPr>
        <w:t>S11</w:t>
      </w:r>
      <w:r w:rsidRPr="00FE758F">
        <w:rPr>
          <w:rFonts w:cs="Arial"/>
        </w:rPr>
        <w:t>: Intercellular immune signaling is affected by peripheral endotoxin. A) Bar chart showing the total number of cellular interactions inferred by CellChat. B) Bar chart showing the relative weight of all cellular interactions by treatment group inferred by CellChat. C) Bar chart showing the number of interactions within each signaling class included in the CellChatDB database, scaled to range from 0 to 1. D) Heatmap showing the relative strength of incoming signals (i.e., receptor expression) within each CellChat signaling class, separated by cell type on the x-axis within each treatment. Bars on the top and right show the aggregated relative strength of receivers and signaling classes, respectively. E) Heatmap showing the relative strength of outgoing signals (i.e., ligand expression) within each CellChat signaling class, separated by cell type on the x-axis within each treatment. Bars on the top and right show the aggregated relative strength of senders and signaling class, respectively.</w:t>
      </w:r>
      <w:bookmarkEnd w:id="10"/>
      <w:r w:rsidRPr="00FE758F">
        <w:rPr>
          <w:rFonts w:cs="Arial"/>
        </w:rPr>
        <w:t xml:space="preserve"> </w:t>
      </w:r>
    </w:p>
    <w:p w14:paraId="7AECE922" w14:textId="14BEF8DD" w:rsidR="00755780" w:rsidRDefault="00C21D1C" w:rsidP="00C21D1C">
      <w:bookmarkStart w:id="11" w:name="_Toc146289254"/>
      <w:r w:rsidRPr="00FE758F">
        <w:rPr>
          <w:rFonts w:cs="Arial"/>
        </w:rPr>
        <w:lastRenderedPageBreak/>
        <w:t xml:space="preserve">Figure </w:t>
      </w:r>
      <w:r>
        <w:rPr>
          <w:rFonts w:cs="Arial"/>
        </w:rPr>
        <w:t>S12</w:t>
      </w:r>
      <w:r w:rsidRPr="00FE758F">
        <w:rPr>
          <w:rFonts w:cs="Arial"/>
        </w:rPr>
        <w:t xml:space="preserve">: Peripheral LPS </w:t>
      </w:r>
      <w:r>
        <w:rPr>
          <w:rFonts w:cs="Arial"/>
        </w:rPr>
        <w:t xml:space="preserve">exposure </w:t>
      </w:r>
      <w:r w:rsidRPr="00FE758F">
        <w:rPr>
          <w:rFonts w:cs="Arial"/>
        </w:rPr>
        <w:t>disrupts microglial communication. The top 30 ligand-receptor pairs between microglia inferred from MultiNicheNet are shown on the right y-axis. The heatmap is colored by the z-scored pseudobulked expression of the ligand-receptor pairs, and each column is a sample.</w:t>
      </w:r>
      <w:bookmarkEnd w:id="11"/>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D1C"/>
    <w:rsid w:val="00755780"/>
    <w:rsid w:val="00C21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E5893"/>
  <w15:chartTrackingRefBased/>
  <w15:docId w15:val="{2FC43605-55EC-45B2-88FC-D76909D51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D1C"/>
    <w:pPr>
      <w:spacing w:after="0" w:line="240"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4FigureCaption">
    <w:name w:val="014 Figure Caption"/>
    <w:basedOn w:val="Normal"/>
    <w:next w:val="Normal"/>
    <w:qFormat/>
    <w:rsid w:val="00C21D1C"/>
    <w:pPr>
      <w:spacing w:after="240"/>
      <w:ind w:left="1080" w:hanging="1080"/>
    </w:pPr>
    <w:rPr>
      <w:rFonts w:ascii="Arial" w:eastAsia="Times New Roman" w:hAnsi="Arial"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974</Words>
  <Characters>5553</Characters>
  <Application>Microsoft Office Word</Application>
  <DocSecurity>0</DocSecurity>
  <Lines>46</Lines>
  <Paragraphs>13</Paragraphs>
  <ScaleCrop>false</ScaleCrop>
  <Company>Springer Nature</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2023-10-17T06:08:00Z</dcterms:created>
  <dcterms:modified xsi:type="dcterms:W3CDTF">2023-10-17T06:09:00Z</dcterms:modified>
</cp:coreProperties>
</file>