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68EE9A" w14:textId="77777777" w:rsidR="00094D20" w:rsidRPr="00855D86" w:rsidRDefault="00094D20" w:rsidP="00094D20">
      <w:pPr>
        <w:pStyle w:val="EndNoteBibliography"/>
        <w:spacing w:line="480" w:lineRule="auto"/>
        <w:rPr>
          <w:b/>
          <w:bCs/>
        </w:rPr>
      </w:pPr>
      <w:r w:rsidRPr="00855D86">
        <w:rPr>
          <w:b/>
          <w:bCs/>
        </w:rPr>
        <w:t>Additional Information</w:t>
      </w:r>
    </w:p>
    <w:p w14:paraId="41966D00" w14:textId="77777777" w:rsidR="00094D20" w:rsidRPr="00BC40C5" w:rsidRDefault="00094D20" w:rsidP="00094D20">
      <w:pPr>
        <w:spacing w:line="480" w:lineRule="auto"/>
        <w:rPr>
          <w:b/>
          <w:bCs/>
        </w:rPr>
      </w:pPr>
      <w:r w:rsidRPr="00BC40C5">
        <w:rPr>
          <w:b/>
          <w:bCs/>
        </w:rPr>
        <w:t>Forest carbon accounting in brief</w:t>
      </w:r>
    </w:p>
    <w:p w14:paraId="42E077C9" w14:textId="77777777" w:rsidR="00094D20" w:rsidRDefault="00094D20" w:rsidP="00094D20">
      <w:pPr>
        <w:spacing w:line="480" w:lineRule="auto"/>
        <w:ind w:firstLine="720"/>
      </w:pPr>
      <w:r>
        <w:t xml:space="preserve">Forest carbon (C) accounting is the practice of quantifying greenhouse gas (GHG) stocks and fluxes from forests through the measurement and reporting of GHG emissions, removals and emissions reductions within the forestry sector </w:t>
      </w:r>
      <w:r>
        <w:rPr>
          <w:noProof/>
        </w:rPr>
        <w:t>(12)</w:t>
      </w:r>
      <w:r>
        <w:t>. Conceptually, GHG accounting (of which forest C accounting is one component) began at the national</w:t>
      </w:r>
      <w:r>
        <w:rPr>
          <w:rFonts w:eastAsia="Calibri"/>
        </w:rPr>
        <w:t xml:space="preserve"> </w:t>
      </w:r>
      <w:r>
        <w:t xml:space="preserve">scale after the creation of the United Nations Framework Convention on Climate Change (UNFCCC) in 1992 </w:t>
      </w:r>
      <w:r>
        <w:rPr>
          <w:noProof/>
        </w:rPr>
        <w:t>(32)</w:t>
      </w:r>
      <w:r>
        <w:t xml:space="preserve">. The UNFCCC required most industrialized countries to develop national inventories of GHG emissions. Subsequently, the Kyoto Protocol of 1998 introduced </w:t>
      </w:r>
      <w:r>
        <w:rPr>
          <w:rFonts w:eastAsia="Calibri"/>
        </w:rPr>
        <w:t>subnational</w:t>
      </w:r>
      <w:r>
        <w:t xml:space="preserve"> or project-level GHG accounting </w:t>
      </w:r>
      <w:r>
        <w:rPr>
          <w:noProof/>
        </w:rPr>
        <w:t>(33)</w:t>
      </w:r>
      <w:r>
        <w:t xml:space="preserve">, mainly through the establishment of the Clean Development Mechanism (CDM), which allowed industrialized countries to meet some of their GHG </w:t>
      </w:r>
      <w:r>
        <w:rPr>
          <w:rFonts w:eastAsia="Calibri"/>
        </w:rPr>
        <w:t>reduction</w:t>
      </w:r>
      <w:r>
        <w:t xml:space="preserve"> targets by funding GHG mitigation/offset projects in </w:t>
      </w:r>
      <w:r>
        <w:rPr>
          <w:rFonts w:eastAsia="Calibri"/>
        </w:rPr>
        <w:t>nonindustrialized</w:t>
      </w:r>
      <w:r>
        <w:t xml:space="preserve"> countries.</w:t>
      </w:r>
    </w:p>
    <w:p w14:paraId="38602B3E" w14:textId="77777777" w:rsidR="00094D20" w:rsidRDefault="00094D20" w:rsidP="00094D20">
      <w:pPr>
        <w:spacing w:line="480" w:lineRule="auto"/>
        <w:ind w:firstLine="720"/>
      </w:pPr>
      <w:r>
        <w:t>To support the creation of GHG inventories at different scales (national or project</w:t>
      </w:r>
      <w:r>
        <w:rPr>
          <w:rFonts w:eastAsia="Calibri"/>
        </w:rPr>
        <w:t xml:space="preserve"> </w:t>
      </w:r>
      <w:r>
        <w:t xml:space="preserve">level), the Intergovernmental Panel on Climate Change (IPCC) created a series of guidelines, culminating in the IPCC Guidelines for National Greenhouse Gas Inventories </w:t>
      </w:r>
      <w:r>
        <w:rPr>
          <w:noProof/>
        </w:rPr>
        <w:t>(8)</w:t>
      </w:r>
      <w:r>
        <w:t xml:space="preserve">. These IPCC guidelines (2006) are the most prominent and widely adapted set of methodologies for forest C </w:t>
      </w:r>
      <w:r>
        <w:rPr>
          <w:rFonts w:eastAsia="Calibri"/>
        </w:rPr>
        <w:t>accounting</w:t>
      </w:r>
      <w:r>
        <w:t xml:space="preserve"> and are adaptable to UNFCCC member states’ technical capacity based on a </w:t>
      </w:r>
      <w:r>
        <w:rPr>
          <w:rFonts w:eastAsia="Calibri"/>
        </w:rPr>
        <w:t>multitiered</w:t>
      </w:r>
      <w:r>
        <w:t xml:space="preserve"> approach to GHG accounting. Consequently, industrialized countries may choose to employ higher-</w:t>
      </w:r>
      <w:r>
        <w:rPr>
          <w:rFonts w:eastAsia="Calibri"/>
        </w:rPr>
        <w:t>order/complex</w:t>
      </w:r>
      <w:r>
        <w:t xml:space="preserve"> methodologies and tools to suppor their national GHG inventories and to estimate forest carbon at smaller scales. Some examples of higher-</w:t>
      </w:r>
      <w:r>
        <w:rPr>
          <w:rFonts w:eastAsia="Calibri"/>
        </w:rPr>
        <w:t xml:space="preserve">order tools/models </w:t>
      </w:r>
      <w:r>
        <w:t xml:space="preserve">used in forest carbon accounting </w:t>
      </w:r>
      <w:r>
        <w:rPr>
          <w:rFonts w:eastAsia="Calibri"/>
        </w:rPr>
        <w:t>that</w:t>
      </w:r>
      <w:r>
        <w:t xml:space="preserve"> may be applied at national and </w:t>
      </w:r>
      <w:r>
        <w:rPr>
          <w:rFonts w:eastAsia="Calibri"/>
        </w:rPr>
        <w:t>subnational/project</w:t>
      </w:r>
      <w:r>
        <w:t xml:space="preserve"> scales include 1) the Carbon Budget Model of the Canadian Forest Sector (CBM-CFS3 </w:t>
      </w:r>
      <w:r>
        <w:rPr>
          <w:noProof/>
        </w:rPr>
        <w:t>(34)</w:t>
      </w:r>
      <w:r>
        <w:t xml:space="preserve">; 2) FORCARB2 </w:t>
      </w:r>
      <w:r>
        <w:rPr>
          <w:noProof/>
        </w:rPr>
        <w:t>(35)</w:t>
      </w:r>
      <w:r>
        <w:t xml:space="preserve">, a </w:t>
      </w:r>
      <w:r>
        <w:rPr>
          <w:rFonts w:eastAsia="Calibri"/>
        </w:rPr>
        <w:t>modeling</w:t>
      </w:r>
      <w:r>
        <w:t xml:space="preserve"> tool </w:t>
      </w:r>
      <w:r>
        <w:rPr>
          <w:rFonts w:eastAsia="Calibri"/>
        </w:rPr>
        <w:t>that</w:t>
      </w:r>
      <w:r>
        <w:t xml:space="preserve"> is informed by the United States Department of Agriculture’s (USDA) </w:t>
      </w:r>
      <w:r>
        <w:lastRenderedPageBreak/>
        <w:t xml:space="preserve">Forest Inventory Analysis (FIA); and 3) the European Forest Information Scenario Model (EFI-SCEN) </w:t>
      </w:r>
      <w:r>
        <w:rPr>
          <w:noProof/>
        </w:rPr>
        <w:t>(36)</w:t>
      </w:r>
      <w:r>
        <w:t>.</w:t>
      </w:r>
    </w:p>
    <w:p w14:paraId="5C67BF77" w14:textId="77777777" w:rsidR="00094D20" w:rsidRPr="00B00E2E" w:rsidRDefault="00094D20" w:rsidP="00094D20">
      <w:pPr>
        <w:spacing w:line="480" w:lineRule="auto"/>
        <w:ind w:firstLine="720"/>
      </w:pPr>
      <w:r>
        <w:t xml:space="preserve">It should also be noted that there are alternative forest C accounting guidance documents or protocols, including those developed by the World Resources Institutes </w:t>
      </w:r>
      <w:r>
        <w:rPr>
          <w:noProof/>
        </w:rPr>
        <w:t>(37)</w:t>
      </w:r>
      <w:r>
        <w:t xml:space="preserve"> and Winrock International </w:t>
      </w:r>
      <w:r>
        <w:rPr>
          <w:noProof/>
        </w:rPr>
        <w:t>(38)</w:t>
      </w:r>
      <w:r>
        <w:t>. However, these guidelines are generally limited in scope such that they: 1) focus primarily on forest C accounting for corporate entities, communities, and projects; 2) do not include their own models and equations for estimating C stocks</w:t>
      </w:r>
      <w:r>
        <w:rPr>
          <w:rFonts w:eastAsia="Calibri"/>
        </w:rPr>
        <w:t>;</w:t>
      </w:r>
      <w:r>
        <w:t xml:space="preserve"> and 3) refer to the IPCC guidelines for additional support. For example, the World Resource Institute’s guidelines (Greenhalgh et al., 2006) refer users to the C accounting protocols in the IPCC’s</w:t>
      </w:r>
      <w:r>
        <w:rPr>
          <w:rFonts w:eastAsia="Calibri"/>
        </w:rPr>
        <w:t xml:space="preserve"> </w:t>
      </w:r>
      <w:r>
        <w:t xml:space="preserve">“Good Practice Guidance for Land Use, Land-Use Change and Forestry (LULUCF)” </w:t>
      </w:r>
      <w:r>
        <w:rPr>
          <w:noProof/>
        </w:rPr>
        <w:t>(39)</w:t>
      </w:r>
      <w:r>
        <w:t>. In sum, the IPCC Guidelines—the focus of our current review, which include the 2003 protocols (IPCC, 2003), their successor the 2006 IPCC Guidelines (IPCC, 2006), and the most recent 2019 refinements (IPCC, 2019)—remain among the world’s most commonly employed suite of forest C accounting protocols worldwide.)</w:t>
      </w:r>
    </w:p>
    <w:p w14:paraId="13291F2F" w14:textId="77777777" w:rsidR="00094D20" w:rsidRDefault="00094D20" w:rsidP="00094D20">
      <w:pPr>
        <w:spacing w:line="480" w:lineRule="auto"/>
      </w:pPr>
    </w:p>
    <w:p w14:paraId="2B9E1795" w14:textId="77777777" w:rsidR="00094D20" w:rsidRPr="00F92C84" w:rsidRDefault="00094D20" w:rsidP="00094D20">
      <w:pPr>
        <w:spacing w:line="480" w:lineRule="auto"/>
        <w:rPr>
          <w:b/>
          <w:bCs/>
        </w:rPr>
      </w:pPr>
      <w:r>
        <w:rPr>
          <w:b/>
          <w:bCs/>
        </w:rPr>
        <w:t>Key forest carbon estimation parameters and the role of wood carbon fractions</w:t>
      </w:r>
    </w:p>
    <w:p w14:paraId="6AFB69DF" w14:textId="77777777" w:rsidR="00094D20" w:rsidRDefault="00094D20" w:rsidP="00094D20">
      <w:pPr>
        <w:spacing w:line="480" w:lineRule="auto"/>
        <w:ind w:firstLine="720"/>
      </w:pPr>
      <w:r>
        <w:t xml:space="preserve">Details on the model parameters recommended by the IPCC estimation guidelines across different estimation tiers are described in Volume 4 (Agriculture, Forestry and Other Land Use), Chapter 4 (Forest Land), of the 2006 IPCC Guidelines for National Greenhouse Gas Inventories (IPCC, 2006). Here, the IPCC presents specific recommendations on key parameters necessary for estimating aboveground biomass and C in trees and forests. These key parameters (among others) include ratios of belowground to aboveground biomass (“Table 4.4”), default biomass conversion and expansion factors (“Table 4.5”), and default estimates of aboveground biomass </w:t>
      </w:r>
      <w:r>
        <w:lastRenderedPageBreak/>
        <w:t xml:space="preserve">for different forest types across the globe (“Table 4.7”). Also included, and the focus of our present review, are wood C conversion factors (also referred to as “wood carbon fractions”) that are employed to convert forest aboveground biomass into elemental C mass. Wood CFs are explicitly recommended in “Table 4.3” of the IPCC Guidelines for National Greenhouse Gas Inventories </w:t>
      </w:r>
      <w:r>
        <w:rPr>
          <w:noProof/>
        </w:rPr>
        <w:t>(8)</w:t>
      </w:r>
      <w:r>
        <w:t>.</w:t>
      </w:r>
    </w:p>
    <w:p w14:paraId="4A19796F" w14:textId="77777777" w:rsidR="00094D20" w:rsidRDefault="00094D20" w:rsidP="00094D20">
      <w:pPr>
        <w:spacing w:line="480" w:lineRule="auto"/>
        <w:ind w:firstLine="720"/>
        <w:rPr>
          <w:b/>
          <w:bCs/>
        </w:rPr>
      </w:pPr>
      <w:r>
        <w:t xml:space="preserve">While the recommended wood CFs of “Table 4.3” are subject to scientific limitations (as we described in Theme 1), these estimates do represent improvements over the generic wood CF of 0.50 (i.e., 50% of dry mass is </w:t>
      </w:r>
      <w:r>
        <w:rPr>
          <w:rFonts w:eastAsia="Calibri"/>
        </w:rPr>
        <w:t>composed</w:t>
      </w:r>
      <w:r>
        <w:t xml:space="preserve"> of elemental C) that has traditionally been employed in forest C estimation, including within earlier recommendations from the IPCC and other forest C accounting protocols </w:t>
      </w:r>
      <w:r>
        <w:rPr>
          <w:noProof/>
        </w:rPr>
        <w:t>(38)</w:t>
      </w:r>
      <w:r>
        <w:t xml:space="preserve">. However, despite the IPCC (2006) recommendations, many national inventories and individual studies that estimate global forest C stocks and fluxes still utilize the generic 50% wood CF when converting forest aboveground biomass to forest C stocks </w:t>
      </w:r>
      <w:r>
        <w:rPr>
          <w:noProof/>
        </w:rPr>
        <w:t>(2, 5, 22)</w:t>
      </w:r>
      <w:r>
        <w:rPr>
          <w:rFonts w:eastAsia="Calibri"/>
          <w:noProof/>
        </w:rPr>
        <w:t>,</w:t>
      </w:r>
      <w:r>
        <w:t xml:space="preserve"> even though this likely leads to </w:t>
      </w:r>
      <w:r>
        <w:rPr>
          <w:rFonts w:eastAsia="Calibri"/>
        </w:rPr>
        <w:t>nontrivial</w:t>
      </w:r>
      <w:r>
        <w:t xml:space="preserve"> errors in forest C stock estimates. For example, Martin et al. (2018) argued that a previous study </w:t>
      </w:r>
      <w:r>
        <w:rPr>
          <w:noProof/>
        </w:rPr>
        <w:t>(22)</w:t>
      </w:r>
      <w:r>
        <w:t xml:space="preserve"> likely overestimated tropical forest carbon stocks by ~8.9% (~20 Pg of carbon) due to the use of the generic 50% wood CF. Additionally, a meta-analysis on deadwood CFs </w:t>
      </w:r>
      <w:r>
        <w:rPr>
          <w:noProof/>
        </w:rPr>
        <w:t>(19)</w:t>
      </w:r>
      <w:r>
        <w:t xml:space="preserve"> showed that a generic 50% wood CF likely overestimates the total deadwood C stocks in tropical forests by as much as ~3 Pg of C, a quantity that is almost equivalent to the entire deadwood carbon pool in the temperate forest biome </w:t>
      </w:r>
      <w:r>
        <w:rPr>
          <w:noProof/>
        </w:rPr>
        <w:t>(2)</w:t>
      </w:r>
      <w:r w:rsidRPr="00B00E2E">
        <w:t>.</w:t>
      </w:r>
    </w:p>
    <w:p w14:paraId="4E54870B" w14:textId="77777777" w:rsidR="00094D20" w:rsidRDefault="00094D20" w:rsidP="00094D20">
      <w:pPr>
        <w:spacing w:line="480" w:lineRule="auto"/>
        <w:rPr>
          <w:b/>
          <w:bCs/>
        </w:rPr>
      </w:pPr>
    </w:p>
    <w:p w14:paraId="1BCD842B" w14:textId="77777777" w:rsidR="00094D20" w:rsidRPr="00D07289" w:rsidRDefault="00094D20" w:rsidP="00094D20">
      <w:pPr>
        <w:spacing w:line="480" w:lineRule="auto"/>
        <w:rPr>
          <w:b/>
          <w:bCs/>
        </w:rPr>
      </w:pPr>
      <w:r>
        <w:rPr>
          <w:b/>
          <w:bCs/>
        </w:rPr>
        <w:t>Updated forest carbon estimation guidelines and wood carbon fractions</w:t>
      </w:r>
    </w:p>
    <w:p w14:paraId="365430ED" w14:textId="77777777" w:rsidR="00094D20" w:rsidRDefault="00094D20" w:rsidP="00094D20">
      <w:pPr>
        <w:spacing w:line="480" w:lineRule="auto"/>
        <w:ind w:firstLine="720"/>
      </w:pPr>
      <w:r>
        <w:t xml:space="preserve">In 2019, the IPCC published a refinement to the 2006 IPCC Guidelines for National Greenhouse Gas Inventories, which sought to provide: 1) updated methodologies for estimating </w:t>
      </w:r>
      <w:r>
        <w:lastRenderedPageBreak/>
        <w:t xml:space="preserve">sources and sinks of GHGs where gaps previously existed; 2) updated emissions factors where significant differences existed from the default factors recommended in 2006; and 3) additional or alternative information </w:t>
      </w:r>
      <w:r>
        <w:rPr>
          <w:rFonts w:eastAsia="Calibri"/>
        </w:rPr>
        <w:t>that</w:t>
      </w:r>
      <w:r>
        <w:t xml:space="preserve"> sought to clarify existing guidance in the 2006 document </w:t>
      </w:r>
      <w:r>
        <w:rPr>
          <w:noProof/>
        </w:rPr>
        <w:t>(7)</w:t>
      </w:r>
      <w:r>
        <w:t xml:space="preserve">. The refinement was not intended to be a fundamental revision of the 2006 Guidelines, since the IPCC’s Bureau of the Task Force on National Greenhouse Gas Inventories (TFB) determined in 2014—based on expert opinions—that the methodologies of the 2006 Guidelines were “technically sound” </w:t>
      </w:r>
      <w:r>
        <w:rPr>
          <w:noProof/>
        </w:rPr>
        <w:t>(40)</w:t>
      </w:r>
      <w:r>
        <w:t xml:space="preserve">. At a scoping meeting of the TFI in 2016, an outline of the 2019 Refinement to the 2006 IPCC Guidelines for National Greenhouse Gas Inventories was prepared </w:t>
      </w:r>
      <w:r>
        <w:rPr>
          <w:noProof/>
        </w:rPr>
        <w:t>(40)</w:t>
      </w:r>
      <w:r>
        <w:t xml:space="preserve"> and subsequently approved at the 44</w:t>
      </w:r>
      <w:r w:rsidRPr="00F92C84">
        <w:rPr>
          <w:vertAlign w:val="superscript"/>
        </w:rPr>
        <w:t>th</w:t>
      </w:r>
      <w:r>
        <w:t xml:space="preserve"> session of the IPCC </w:t>
      </w:r>
      <w:r>
        <w:rPr>
          <w:noProof/>
        </w:rPr>
        <w:t>(41)</w:t>
      </w:r>
      <w:r>
        <w:t>.</w:t>
      </w:r>
    </w:p>
    <w:p w14:paraId="56E5BCA1" w14:textId="77777777" w:rsidR="00094D20" w:rsidRDefault="00094D20" w:rsidP="00094D20">
      <w:pPr>
        <w:spacing w:line="480" w:lineRule="auto"/>
        <w:ind w:firstLine="720"/>
      </w:pPr>
      <w:r>
        <w:t>As it relates to forest C estimation specifically (i.e., Chapter 4 of IPCC 2019), refinements were made to sections and parameters involving: 1) methods for estimating GHG emissions and removals due to changes in soil C; and 2) GHG inventory reporting requirements</w:t>
      </w:r>
      <w:r>
        <w:rPr>
          <w:rFonts w:eastAsia="Calibri"/>
        </w:rPr>
        <w:t>,</w:t>
      </w:r>
      <w:r>
        <w:t xml:space="preserve"> including completeness, time series, data quality assurance and control, reporting, and documentation. Additionally, several forest C estimation parameter tables were updated based on the latest science, including those focused on 1) the ratio of belowground to aboveground biomass (i.e., “Table 4.4”); 2) estimates of aboveground biomass and biomass growth in natural and plantation forests (i.e., “Tables 4.7-4.10”, and “Table 4.12”); and 3) the reported growth rate of merchantable volume (i.e., “Table 4.11”).</w:t>
      </w:r>
    </w:p>
    <w:p w14:paraId="12F9095E" w14:textId="77777777" w:rsidR="002F0F5E" w:rsidRDefault="00094D20"/>
    <w:sectPr w:rsidR="002F0F5E" w:rsidSect="00043E63">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D20"/>
    <w:rsid w:val="00094D20"/>
    <w:rsid w:val="0021090F"/>
    <w:rsid w:val="003A76DF"/>
    <w:rsid w:val="00C52827"/>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1CE15"/>
  <w15:chartTrackingRefBased/>
  <w15:docId w15:val="{5AFAB541-C19C-4846-AAD2-B901DA28E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D2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094D20"/>
    <w:pPr>
      <w:spacing w:line="360" w:lineRule="auto"/>
    </w:pPr>
  </w:style>
  <w:style w:type="character" w:customStyle="1" w:styleId="EndNoteBibliographyChar">
    <w:name w:val="EndNote Bibliography Char"/>
    <w:basedOn w:val="DefaultParagraphFont"/>
    <w:link w:val="EndNoteBibliography"/>
    <w:rsid w:val="00094D20"/>
    <w:rPr>
      <w:rFonts w:ascii="Times New Roman" w:hAnsi="Times New Roman" w:cs="Times New Roman"/>
      <w:sz w:val="24"/>
      <w:szCs w:val="24"/>
    </w:rPr>
  </w:style>
  <w:style w:type="character" w:styleId="LineNumber">
    <w:name w:val="line number"/>
    <w:basedOn w:val="DefaultParagraphFont"/>
    <w:uiPriority w:val="99"/>
    <w:semiHidden/>
    <w:unhideWhenUsed/>
    <w:rsid w:val="00094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1079</Words>
  <Characters>6151</Characters>
  <Application>Microsoft Office Word</Application>
  <DocSecurity>0</DocSecurity>
  <Lines>51</Lines>
  <Paragraphs>14</Paragraphs>
  <ScaleCrop>false</ScaleCrop>
  <Company>Springer Nature</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2023-10-17T18:21:00Z</dcterms:created>
  <dcterms:modified xsi:type="dcterms:W3CDTF">2023-10-17T18:22:00Z</dcterms:modified>
</cp:coreProperties>
</file>