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D4D4D" w14:textId="77777777" w:rsidR="00A354AF" w:rsidRDefault="00A354AF" w:rsidP="00A354AF">
      <w:pPr>
        <w:spacing w:after="120" w:line="480" w:lineRule="auto"/>
        <w:ind w:left="220" w:firstLine="700"/>
        <w:jc w:val="center"/>
        <w:rPr>
          <w:b/>
          <w:sz w:val="28"/>
          <w:szCs w:val="28"/>
        </w:rPr>
      </w:pPr>
      <w:r>
        <w:rPr>
          <w:b/>
          <w:sz w:val="28"/>
          <w:szCs w:val="28"/>
        </w:rPr>
        <w:t>SUPPLEMENTARY INFORMATION</w:t>
      </w:r>
    </w:p>
    <w:p w14:paraId="62DB67D3" w14:textId="77777777" w:rsidR="00EF0E77" w:rsidRPr="000135E0" w:rsidRDefault="00EF0E77" w:rsidP="00EF0E77">
      <w:pPr>
        <w:keepNext/>
        <w:pBdr>
          <w:top w:val="nil"/>
          <w:left w:val="nil"/>
          <w:bottom w:val="nil"/>
          <w:right w:val="nil"/>
          <w:between w:val="nil"/>
        </w:pBdr>
        <w:spacing w:before="120" w:after="120"/>
        <w:jc w:val="center"/>
        <w:rPr>
          <w:b/>
          <w:color w:val="000000"/>
          <w:sz w:val="28"/>
          <w:szCs w:val="28"/>
        </w:rPr>
      </w:pPr>
      <w:r w:rsidRPr="000135E0">
        <w:rPr>
          <w:b/>
          <w:color w:val="000000"/>
          <w:sz w:val="28"/>
          <w:szCs w:val="28"/>
        </w:rPr>
        <w:t xml:space="preserve">Catching Astrocyte Ensembles: Astrocytic Ensembles Control </w:t>
      </w:r>
    </w:p>
    <w:p w14:paraId="162AF63A" w14:textId="77777777" w:rsidR="00EF0E77" w:rsidRPr="009D6F02" w:rsidRDefault="00EF0E77" w:rsidP="00EF0E77">
      <w:pPr>
        <w:keepNext/>
        <w:pBdr>
          <w:top w:val="nil"/>
          <w:left w:val="nil"/>
          <w:bottom w:val="nil"/>
          <w:right w:val="nil"/>
          <w:between w:val="nil"/>
        </w:pBdr>
        <w:spacing w:before="120" w:after="120"/>
        <w:jc w:val="center"/>
        <w:rPr>
          <w:b/>
          <w:color w:val="000000"/>
          <w:sz w:val="28"/>
          <w:szCs w:val="28"/>
        </w:rPr>
      </w:pPr>
      <w:r w:rsidRPr="009D6F02">
        <w:rPr>
          <w:b/>
          <w:color w:val="000000"/>
          <w:sz w:val="28"/>
          <w:szCs w:val="28"/>
        </w:rPr>
        <w:t>Cue-motivated Behavior</w:t>
      </w:r>
    </w:p>
    <w:p w14:paraId="0934CA1E" w14:textId="77777777" w:rsidR="00EF0E77" w:rsidRPr="009D6F02" w:rsidRDefault="00EF0E77" w:rsidP="00EF0E77">
      <w:pPr>
        <w:pBdr>
          <w:top w:val="nil"/>
          <w:left w:val="nil"/>
          <w:bottom w:val="nil"/>
          <w:right w:val="nil"/>
          <w:between w:val="nil"/>
        </w:pBdr>
        <w:spacing w:line="276" w:lineRule="auto"/>
        <w:jc w:val="center"/>
        <w:rPr>
          <w:sz w:val="24"/>
          <w:szCs w:val="24"/>
        </w:rPr>
      </w:pPr>
    </w:p>
    <w:p w14:paraId="493A9978" w14:textId="77777777" w:rsidR="009D6F02" w:rsidRDefault="009D6F02" w:rsidP="00EF0E77">
      <w:pPr>
        <w:pBdr>
          <w:top w:val="nil"/>
          <w:left w:val="nil"/>
          <w:bottom w:val="nil"/>
          <w:right w:val="nil"/>
          <w:between w:val="nil"/>
        </w:pBdr>
        <w:spacing w:line="276" w:lineRule="auto"/>
        <w:jc w:val="center"/>
        <w:rPr>
          <w:sz w:val="24"/>
          <w:szCs w:val="24"/>
        </w:rPr>
      </w:pPr>
    </w:p>
    <w:p w14:paraId="681E6FC0" w14:textId="77777777" w:rsidR="009D6F02" w:rsidRDefault="009D6F02" w:rsidP="00EF0E77">
      <w:pPr>
        <w:pBdr>
          <w:top w:val="nil"/>
          <w:left w:val="nil"/>
          <w:bottom w:val="nil"/>
          <w:right w:val="nil"/>
          <w:between w:val="nil"/>
        </w:pBdr>
        <w:spacing w:line="276" w:lineRule="auto"/>
        <w:jc w:val="center"/>
        <w:rPr>
          <w:sz w:val="24"/>
          <w:szCs w:val="24"/>
        </w:rPr>
      </w:pPr>
    </w:p>
    <w:p w14:paraId="72B20CD0" w14:textId="77777777" w:rsidR="009D6F02" w:rsidRDefault="009D6F02" w:rsidP="00EF0E77">
      <w:pPr>
        <w:pBdr>
          <w:top w:val="nil"/>
          <w:left w:val="nil"/>
          <w:bottom w:val="nil"/>
          <w:right w:val="nil"/>
          <w:between w:val="nil"/>
        </w:pBdr>
        <w:spacing w:line="276" w:lineRule="auto"/>
        <w:jc w:val="center"/>
        <w:rPr>
          <w:sz w:val="24"/>
          <w:szCs w:val="24"/>
        </w:rPr>
      </w:pPr>
    </w:p>
    <w:p w14:paraId="33A26F44" w14:textId="77777777" w:rsidR="009D6F02" w:rsidRDefault="009D6F02" w:rsidP="00EF0E77">
      <w:pPr>
        <w:pBdr>
          <w:top w:val="nil"/>
          <w:left w:val="nil"/>
          <w:bottom w:val="nil"/>
          <w:right w:val="nil"/>
          <w:between w:val="nil"/>
        </w:pBdr>
        <w:spacing w:line="276" w:lineRule="auto"/>
        <w:jc w:val="center"/>
        <w:rPr>
          <w:sz w:val="24"/>
          <w:szCs w:val="24"/>
        </w:rPr>
      </w:pPr>
    </w:p>
    <w:p w14:paraId="79934629" w14:textId="77777777" w:rsidR="009D6F02" w:rsidRDefault="009D6F02" w:rsidP="00EF0E77">
      <w:pPr>
        <w:pBdr>
          <w:top w:val="nil"/>
          <w:left w:val="nil"/>
          <w:bottom w:val="nil"/>
          <w:right w:val="nil"/>
          <w:between w:val="nil"/>
        </w:pBdr>
        <w:spacing w:line="276" w:lineRule="auto"/>
        <w:jc w:val="center"/>
        <w:rPr>
          <w:sz w:val="24"/>
          <w:szCs w:val="24"/>
        </w:rPr>
      </w:pPr>
    </w:p>
    <w:p w14:paraId="21F79785" w14:textId="77777777" w:rsidR="009D6F02" w:rsidRDefault="009D6F02" w:rsidP="00EF0E77">
      <w:pPr>
        <w:pBdr>
          <w:top w:val="nil"/>
          <w:left w:val="nil"/>
          <w:bottom w:val="nil"/>
          <w:right w:val="nil"/>
          <w:between w:val="nil"/>
        </w:pBdr>
        <w:spacing w:line="276" w:lineRule="auto"/>
        <w:jc w:val="center"/>
        <w:rPr>
          <w:sz w:val="24"/>
          <w:szCs w:val="24"/>
        </w:rPr>
      </w:pPr>
    </w:p>
    <w:p w14:paraId="327C9046" w14:textId="77777777" w:rsidR="009D6F02" w:rsidRDefault="009D6F02" w:rsidP="00EF0E77">
      <w:pPr>
        <w:pBdr>
          <w:top w:val="nil"/>
          <w:left w:val="nil"/>
          <w:bottom w:val="nil"/>
          <w:right w:val="nil"/>
          <w:between w:val="nil"/>
        </w:pBdr>
        <w:spacing w:line="276" w:lineRule="auto"/>
        <w:jc w:val="center"/>
        <w:rPr>
          <w:sz w:val="24"/>
          <w:szCs w:val="24"/>
        </w:rPr>
      </w:pPr>
    </w:p>
    <w:p w14:paraId="6FB7A7CA" w14:textId="77777777" w:rsidR="009D6F02" w:rsidRDefault="009D6F02" w:rsidP="00EF0E77">
      <w:pPr>
        <w:pBdr>
          <w:top w:val="nil"/>
          <w:left w:val="nil"/>
          <w:bottom w:val="nil"/>
          <w:right w:val="nil"/>
          <w:between w:val="nil"/>
        </w:pBdr>
        <w:spacing w:line="276" w:lineRule="auto"/>
        <w:jc w:val="center"/>
        <w:rPr>
          <w:sz w:val="24"/>
          <w:szCs w:val="24"/>
        </w:rPr>
      </w:pPr>
    </w:p>
    <w:p w14:paraId="73ACF2D5" w14:textId="77777777" w:rsidR="009D6F02" w:rsidRDefault="009D6F02" w:rsidP="00EF0E77">
      <w:pPr>
        <w:pBdr>
          <w:top w:val="nil"/>
          <w:left w:val="nil"/>
          <w:bottom w:val="nil"/>
          <w:right w:val="nil"/>
          <w:between w:val="nil"/>
        </w:pBdr>
        <w:spacing w:line="276" w:lineRule="auto"/>
        <w:jc w:val="center"/>
        <w:rPr>
          <w:sz w:val="24"/>
          <w:szCs w:val="24"/>
        </w:rPr>
      </w:pPr>
    </w:p>
    <w:p w14:paraId="4CECB85C" w14:textId="77777777" w:rsidR="009D6F02" w:rsidRDefault="009D6F02" w:rsidP="00EF0E77">
      <w:pPr>
        <w:pBdr>
          <w:top w:val="nil"/>
          <w:left w:val="nil"/>
          <w:bottom w:val="nil"/>
          <w:right w:val="nil"/>
          <w:between w:val="nil"/>
        </w:pBdr>
        <w:spacing w:line="276" w:lineRule="auto"/>
        <w:jc w:val="center"/>
        <w:rPr>
          <w:sz w:val="24"/>
          <w:szCs w:val="24"/>
        </w:rPr>
      </w:pPr>
    </w:p>
    <w:p w14:paraId="30697950" w14:textId="77777777" w:rsidR="009D6F02" w:rsidRDefault="009D6F02" w:rsidP="00EF0E77">
      <w:pPr>
        <w:pBdr>
          <w:top w:val="nil"/>
          <w:left w:val="nil"/>
          <w:bottom w:val="nil"/>
          <w:right w:val="nil"/>
          <w:between w:val="nil"/>
        </w:pBdr>
        <w:spacing w:line="276" w:lineRule="auto"/>
        <w:jc w:val="center"/>
        <w:rPr>
          <w:sz w:val="24"/>
          <w:szCs w:val="24"/>
        </w:rPr>
      </w:pPr>
    </w:p>
    <w:p w14:paraId="595FCE5F" w14:textId="77777777" w:rsidR="00EF0E77" w:rsidRDefault="00EF0E77" w:rsidP="00EF0E77">
      <w:pPr>
        <w:pBdr>
          <w:top w:val="nil"/>
          <w:left w:val="nil"/>
          <w:bottom w:val="nil"/>
          <w:right w:val="nil"/>
          <w:between w:val="nil"/>
        </w:pBdr>
        <w:spacing w:line="276" w:lineRule="auto"/>
        <w:rPr>
          <w:color w:val="000000"/>
          <w:sz w:val="24"/>
          <w:szCs w:val="24"/>
        </w:rPr>
      </w:pPr>
    </w:p>
    <w:p w14:paraId="4B7D0A52" w14:textId="77777777" w:rsidR="00EF0E77" w:rsidRDefault="00EF0E77" w:rsidP="009D6F02">
      <w:pPr>
        <w:spacing w:after="120" w:line="480" w:lineRule="auto"/>
        <w:ind w:left="220"/>
        <w:rPr>
          <w:b/>
          <w:sz w:val="24"/>
          <w:szCs w:val="24"/>
        </w:rPr>
      </w:pPr>
      <w:r>
        <w:rPr>
          <w:b/>
          <w:sz w:val="24"/>
          <w:szCs w:val="24"/>
        </w:rPr>
        <w:t>Includes supplementary figures 1-7 and Table 1: Statistic and Reproducibility.</w:t>
      </w:r>
    </w:p>
    <w:p w14:paraId="1701D6A4" w14:textId="77777777" w:rsidR="009D6F02" w:rsidRDefault="009D6F02">
      <w:pPr>
        <w:rPr>
          <w:b/>
          <w:color w:val="000000"/>
          <w:sz w:val="28"/>
          <w:szCs w:val="28"/>
        </w:rPr>
      </w:pPr>
      <w:r>
        <w:rPr>
          <w:b/>
          <w:color w:val="000000"/>
          <w:sz w:val="28"/>
          <w:szCs w:val="28"/>
        </w:rPr>
        <w:br w:type="page"/>
      </w:r>
    </w:p>
    <w:p w14:paraId="3C9405CE" w14:textId="77777777" w:rsidR="009D6F02" w:rsidRDefault="009D6F02" w:rsidP="009D6F02">
      <w:pPr>
        <w:spacing w:after="120" w:line="480" w:lineRule="auto"/>
        <w:ind w:left="220"/>
        <w:rPr>
          <w:b/>
          <w:color w:val="000000"/>
          <w:sz w:val="28"/>
          <w:szCs w:val="28"/>
        </w:rPr>
      </w:pPr>
    </w:p>
    <w:p w14:paraId="15AF7A78" w14:textId="77777777" w:rsidR="001725B7" w:rsidRDefault="001725B7" w:rsidP="001725B7">
      <w:pPr>
        <w:keepNext/>
        <w:pBdr>
          <w:top w:val="nil"/>
          <w:left w:val="nil"/>
          <w:bottom w:val="nil"/>
          <w:right w:val="nil"/>
          <w:between w:val="nil"/>
        </w:pBdr>
        <w:spacing w:before="240" w:after="60" w:line="276" w:lineRule="auto"/>
        <w:jc w:val="both"/>
        <w:rPr>
          <w:color w:val="000000"/>
          <w:sz w:val="24"/>
          <w:szCs w:val="24"/>
        </w:rPr>
      </w:pPr>
      <w:r>
        <w:rPr>
          <w:b/>
          <w:color w:val="000000"/>
          <w:sz w:val="24"/>
          <w:szCs w:val="24"/>
        </w:rPr>
        <w:t xml:space="preserve">Fig. S1. </w:t>
      </w:r>
      <w:proofErr w:type="spellStart"/>
      <w:r>
        <w:rPr>
          <w:b/>
          <w:color w:val="000000"/>
          <w:sz w:val="24"/>
          <w:szCs w:val="24"/>
        </w:rPr>
        <w:t>mEPSC</w:t>
      </w:r>
      <w:proofErr w:type="spellEnd"/>
      <w:r>
        <w:rPr>
          <w:b/>
          <w:color w:val="000000"/>
          <w:sz w:val="24"/>
          <w:szCs w:val="24"/>
        </w:rPr>
        <w:t xml:space="preserve"> transmission related to </w:t>
      </w:r>
      <w:proofErr w:type="spellStart"/>
      <w:r>
        <w:rPr>
          <w:b/>
          <w:color w:val="000000"/>
          <w:sz w:val="24"/>
          <w:szCs w:val="24"/>
        </w:rPr>
        <w:t>AstroLight</w:t>
      </w:r>
      <w:proofErr w:type="spellEnd"/>
      <w:r>
        <w:rPr>
          <w:b/>
          <w:color w:val="000000"/>
          <w:sz w:val="24"/>
          <w:szCs w:val="24"/>
        </w:rPr>
        <w:t xml:space="preserve">-derived ChR2 </w:t>
      </w:r>
      <w:proofErr w:type="spellStart"/>
      <w:r>
        <w:rPr>
          <w:b/>
          <w:color w:val="000000"/>
          <w:sz w:val="24"/>
          <w:szCs w:val="24"/>
        </w:rPr>
        <w:t>optostimulation</w:t>
      </w:r>
      <w:proofErr w:type="spellEnd"/>
      <w:r>
        <w:rPr>
          <w:b/>
          <w:color w:val="000000"/>
          <w:sz w:val="24"/>
          <w:szCs w:val="24"/>
        </w:rPr>
        <w:t xml:space="preserve">. </w:t>
      </w:r>
    </w:p>
    <w:p w14:paraId="07F9FDC7" w14:textId="77777777" w:rsidR="001725B7" w:rsidRDefault="001725B7" w:rsidP="001725B7">
      <w:pPr>
        <w:keepNext/>
        <w:pBdr>
          <w:top w:val="nil"/>
          <w:left w:val="nil"/>
          <w:bottom w:val="nil"/>
          <w:right w:val="nil"/>
          <w:between w:val="nil"/>
        </w:pBdr>
        <w:spacing w:before="240" w:after="60" w:line="276" w:lineRule="auto"/>
        <w:jc w:val="center"/>
      </w:pPr>
      <w:r>
        <w:rPr>
          <w:noProof/>
        </w:rPr>
        <w:drawing>
          <wp:inline distT="0" distB="0" distL="0" distR="0" wp14:anchorId="32E915AD" wp14:editId="32F16E0F">
            <wp:extent cx="5608220" cy="2885896"/>
            <wp:effectExtent l="0" t="0" r="0" b="0"/>
            <wp:docPr id="20725361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5608220" cy="2885896"/>
                    </a:xfrm>
                    <a:prstGeom prst="rect">
                      <a:avLst/>
                    </a:prstGeom>
                    <a:ln/>
                  </pic:spPr>
                </pic:pic>
              </a:graphicData>
            </a:graphic>
          </wp:inline>
        </w:drawing>
      </w:r>
    </w:p>
    <w:p w14:paraId="1C8966E7" w14:textId="77777777" w:rsidR="001725B7" w:rsidRPr="004033BA" w:rsidRDefault="001725B7" w:rsidP="001725B7">
      <w:pPr>
        <w:keepNext/>
        <w:pBdr>
          <w:top w:val="nil"/>
          <w:left w:val="nil"/>
          <w:bottom w:val="nil"/>
          <w:right w:val="nil"/>
          <w:between w:val="nil"/>
        </w:pBdr>
        <w:spacing w:before="240" w:after="60" w:line="276" w:lineRule="auto"/>
        <w:jc w:val="both"/>
        <w:rPr>
          <w:color w:val="000000"/>
          <w:sz w:val="24"/>
          <w:szCs w:val="24"/>
        </w:rPr>
      </w:pPr>
      <w:r w:rsidRPr="004033BA">
        <w:rPr>
          <w:color w:val="000000"/>
          <w:sz w:val="24"/>
          <w:szCs w:val="24"/>
        </w:rPr>
        <w:t>(</w:t>
      </w:r>
      <w:r w:rsidRPr="004033BA">
        <w:rPr>
          <w:b/>
          <w:color w:val="000000"/>
          <w:sz w:val="24"/>
          <w:szCs w:val="24"/>
        </w:rPr>
        <w:t>A</w:t>
      </w:r>
      <w:r w:rsidRPr="004033BA">
        <w:rPr>
          <w:color w:val="000000"/>
          <w:sz w:val="24"/>
          <w:szCs w:val="24"/>
        </w:rPr>
        <w:t xml:space="preserve">) Representative images of a patch-clamp field showing </w:t>
      </w:r>
      <w:proofErr w:type="spellStart"/>
      <w:r w:rsidRPr="004033BA">
        <w:rPr>
          <w:color w:val="000000"/>
          <w:sz w:val="24"/>
          <w:szCs w:val="24"/>
        </w:rPr>
        <w:t>AstroLight-tdTom</w:t>
      </w:r>
      <w:proofErr w:type="spellEnd"/>
      <w:r w:rsidRPr="004033BA">
        <w:rPr>
          <w:color w:val="000000"/>
          <w:sz w:val="24"/>
          <w:szCs w:val="24"/>
        </w:rPr>
        <w:t xml:space="preserve"> epifluorescence signal (red), signal of astrocytes expressing ChR2-YFP (green), and merges with and without the </w:t>
      </w:r>
      <w:proofErr w:type="spellStart"/>
      <w:r w:rsidRPr="004033BA">
        <w:rPr>
          <w:color w:val="000000"/>
          <w:sz w:val="24"/>
          <w:szCs w:val="24"/>
        </w:rPr>
        <w:t>NAc</w:t>
      </w:r>
      <w:proofErr w:type="spellEnd"/>
      <w:r w:rsidRPr="004033BA">
        <w:rPr>
          <w:color w:val="000000"/>
          <w:sz w:val="24"/>
          <w:szCs w:val="24"/>
        </w:rPr>
        <w:t xml:space="preserve"> tissue in bright field. (</w:t>
      </w:r>
      <w:r w:rsidRPr="004033BA">
        <w:rPr>
          <w:b/>
          <w:color w:val="000000"/>
          <w:sz w:val="24"/>
          <w:szCs w:val="24"/>
        </w:rPr>
        <w:t>B</w:t>
      </w:r>
      <w:r w:rsidRPr="004033BA">
        <w:rPr>
          <w:color w:val="000000"/>
          <w:sz w:val="24"/>
          <w:szCs w:val="24"/>
        </w:rPr>
        <w:t xml:space="preserve">) Scheme showing </w:t>
      </w:r>
      <w:proofErr w:type="spellStart"/>
      <w:r w:rsidRPr="004033BA">
        <w:rPr>
          <w:color w:val="000000"/>
          <w:sz w:val="24"/>
          <w:szCs w:val="24"/>
        </w:rPr>
        <w:t>NAc</w:t>
      </w:r>
      <w:proofErr w:type="spellEnd"/>
      <w:r w:rsidRPr="004033BA">
        <w:rPr>
          <w:color w:val="000000"/>
          <w:sz w:val="24"/>
          <w:szCs w:val="24"/>
        </w:rPr>
        <w:t xml:space="preserve"> neuronal patch-clamp recordings in presence of astrocytes expressing </w:t>
      </w:r>
      <w:proofErr w:type="spellStart"/>
      <w:r w:rsidRPr="004033BA">
        <w:rPr>
          <w:color w:val="000000"/>
          <w:sz w:val="24"/>
          <w:szCs w:val="24"/>
        </w:rPr>
        <w:t>AstroLight</w:t>
      </w:r>
      <w:proofErr w:type="spellEnd"/>
      <w:r w:rsidRPr="004033BA">
        <w:rPr>
          <w:color w:val="000000"/>
          <w:sz w:val="24"/>
          <w:szCs w:val="24"/>
        </w:rPr>
        <w:t>-derived ChR2-YFP. (</w:t>
      </w:r>
      <w:r w:rsidRPr="004033BA">
        <w:rPr>
          <w:b/>
          <w:color w:val="000000"/>
          <w:sz w:val="24"/>
          <w:szCs w:val="24"/>
        </w:rPr>
        <w:t>C</w:t>
      </w:r>
      <w:r w:rsidRPr="004033BA">
        <w:rPr>
          <w:color w:val="000000"/>
          <w:sz w:val="24"/>
          <w:szCs w:val="24"/>
        </w:rPr>
        <w:t>) Quantification of miniature excitatory postsynaptic currents (</w:t>
      </w:r>
      <w:proofErr w:type="spellStart"/>
      <w:r w:rsidRPr="004033BA">
        <w:rPr>
          <w:color w:val="000000"/>
          <w:sz w:val="24"/>
          <w:szCs w:val="24"/>
        </w:rPr>
        <w:t>mEPSC</w:t>
      </w:r>
      <w:proofErr w:type="spellEnd"/>
      <w:r w:rsidRPr="004033BA">
        <w:rPr>
          <w:color w:val="000000"/>
          <w:sz w:val="24"/>
          <w:szCs w:val="24"/>
        </w:rPr>
        <w:t xml:space="preserve">) frequency (Hz) (left) before and after astrocyte-ChR2 </w:t>
      </w:r>
      <w:proofErr w:type="spellStart"/>
      <w:r w:rsidRPr="004033BA">
        <w:rPr>
          <w:color w:val="000000"/>
          <w:sz w:val="24"/>
          <w:szCs w:val="24"/>
        </w:rPr>
        <w:t>optostimulation</w:t>
      </w:r>
      <w:proofErr w:type="spellEnd"/>
      <w:r w:rsidRPr="004033BA">
        <w:rPr>
          <w:color w:val="000000"/>
          <w:sz w:val="24"/>
          <w:szCs w:val="24"/>
        </w:rPr>
        <w:t xml:space="preserve"> in Control (grey; before, 1.45 ± 0.15 Hz; after, 1.35 ± 0.15 Hz; p = 0.47; n = 17 cells, 4 mice) and ChR2-YFP (green; before, 1.38 ± 0.11 Hz; after, 1.8 ± 0.2 Hz; p = 0.01; n = 19 cells, 5 mice) conditions, and </w:t>
      </w:r>
      <w:proofErr w:type="spellStart"/>
      <w:r w:rsidRPr="004033BA">
        <w:rPr>
          <w:color w:val="000000"/>
          <w:sz w:val="24"/>
          <w:szCs w:val="24"/>
        </w:rPr>
        <w:t>mEPSC</w:t>
      </w:r>
      <w:proofErr w:type="spellEnd"/>
      <w:r w:rsidRPr="004033BA">
        <w:rPr>
          <w:color w:val="000000"/>
          <w:sz w:val="24"/>
          <w:szCs w:val="24"/>
        </w:rPr>
        <w:t xml:space="preserve"> amplitude (</w:t>
      </w:r>
      <w:proofErr w:type="spellStart"/>
      <w:r w:rsidRPr="004033BA">
        <w:rPr>
          <w:color w:val="000000"/>
          <w:sz w:val="24"/>
          <w:szCs w:val="24"/>
        </w:rPr>
        <w:t>pA</w:t>
      </w:r>
      <w:proofErr w:type="spellEnd"/>
      <w:r w:rsidRPr="004033BA">
        <w:rPr>
          <w:color w:val="000000"/>
          <w:sz w:val="24"/>
          <w:szCs w:val="24"/>
        </w:rPr>
        <w:t xml:space="preserve">) (right) before and after astrocyte-ChR2 </w:t>
      </w:r>
      <w:proofErr w:type="spellStart"/>
      <w:r w:rsidRPr="004033BA">
        <w:rPr>
          <w:color w:val="000000"/>
          <w:sz w:val="24"/>
          <w:szCs w:val="24"/>
        </w:rPr>
        <w:t>optostimulation</w:t>
      </w:r>
      <w:proofErr w:type="spellEnd"/>
      <w:r w:rsidRPr="004033BA">
        <w:rPr>
          <w:color w:val="000000"/>
          <w:sz w:val="24"/>
          <w:szCs w:val="24"/>
        </w:rPr>
        <w:t xml:space="preserve"> in Control (grey; before, 10.62 ± 0.56 </w:t>
      </w:r>
      <w:proofErr w:type="spellStart"/>
      <w:r w:rsidRPr="004033BA">
        <w:rPr>
          <w:color w:val="000000"/>
          <w:sz w:val="24"/>
          <w:szCs w:val="24"/>
        </w:rPr>
        <w:t>pA</w:t>
      </w:r>
      <w:proofErr w:type="spellEnd"/>
      <w:r w:rsidRPr="004033BA">
        <w:rPr>
          <w:color w:val="000000"/>
          <w:sz w:val="24"/>
          <w:szCs w:val="24"/>
        </w:rPr>
        <w:t xml:space="preserve">; after, 10.25 ± 0.51 </w:t>
      </w:r>
      <w:proofErr w:type="spellStart"/>
      <w:r w:rsidRPr="004033BA">
        <w:rPr>
          <w:color w:val="000000"/>
          <w:sz w:val="24"/>
          <w:szCs w:val="24"/>
        </w:rPr>
        <w:t>pA</w:t>
      </w:r>
      <w:proofErr w:type="spellEnd"/>
      <w:r w:rsidRPr="004033BA">
        <w:rPr>
          <w:color w:val="000000"/>
          <w:sz w:val="24"/>
          <w:szCs w:val="24"/>
        </w:rPr>
        <w:t xml:space="preserve">; p = 0.71; n = 17 cells, 4 mice) and ChR2-YFP (green; before, 10.2 ± 0.86 </w:t>
      </w:r>
      <w:proofErr w:type="spellStart"/>
      <w:r w:rsidRPr="004033BA">
        <w:rPr>
          <w:color w:val="000000"/>
          <w:sz w:val="24"/>
          <w:szCs w:val="24"/>
        </w:rPr>
        <w:t>pA</w:t>
      </w:r>
      <w:proofErr w:type="spellEnd"/>
      <w:r w:rsidRPr="004033BA">
        <w:rPr>
          <w:color w:val="000000"/>
          <w:sz w:val="24"/>
          <w:szCs w:val="24"/>
        </w:rPr>
        <w:t xml:space="preserve">; after, 10.28 ± 0.85 </w:t>
      </w:r>
      <w:proofErr w:type="spellStart"/>
      <w:r w:rsidRPr="004033BA">
        <w:rPr>
          <w:color w:val="000000"/>
          <w:sz w:val="24"/>
          <w:szCs w:val="24"/>
        </w:rPr>
        <w:t>pA</w:t>
      </w:r>
      <w:proofErr w:type="spellEnd"/>
      <w:r w:rsidRPr="004033BA">
        <w:rPr>
          <w:color w:val="000000"/>
          <w:sz w:val="24"/>
          <w:szCs w:val="24"/>
        </w:rPr>
        <w:t>; p = 0.88; n = 19 cells, 5 mice) conditions. Two-way ANOVA, Holm-</w:t>
      </w:r>
      <w:proofErr w:type="spellStart"/>
      <w:r w:rsidRPr="004033BA">
        <w:rPr>
          <w:color w:val="000000"/>
          <w:sz w:val="24"/>
          <w:szCs w:val="24"/>
        </w:rPr>
        <w:t>Sidak</w:t>
      </w:r>
      <w:proofErr w:type="spellEnd"/>
      <w:r w:rsidRPr="004033BA">
        <w:rPr>
          <w:color w:val="000000"/>
          <w:sz w:val="24"/>
          <w:szCs w:val="24"/>
        </w:rPr>
        <w:t xml:space="preserve"> test for multiple comparisons; *: p &lt; 0.05. All error bars express SEM.</w:t>
      </w:r>
    </w:p>
    <w:p w14:paraId="5E3D7AD1" w14:textId="77777777" w:rsidR="001725B7" w:rsidRDefault="001725B7" w:rsidP="001725B7">
      <w:pPr>
        <w:pBdr>
          <w:top w:val="nil"/>
          <w:left w:val="nil"/>
          <w:bottom w:val="nil"/>
          <w:right w:val="nil"/>
          <w:between w:val="nil"/>
        </w:pBdr>
        <w:spacing w:line="276" w:lineRule="auto"/>
        <w:jc w:val="both"/>
        <w:rPr>
          <w:color w:val="000000"/>
          <w:sz w:val="24"/>
          <w:szCs w:val="24"/>
        </w:rPr>
      </w:pPr>
    </w:p>
    <w:p w14:paraId="779D8807" w14:textId="77777777" w:rsidR="001725B7" w:rsidRDefault="001725B7" w:rsidP="001725B7">
      <w:pPr>
        <w:pBdr>
          <w:top w:val="nil"/>
          <w:left w:val="nil"/>
          <w:bottom w:val="nil"/>
          <w:right w:val="nil"/>
          <w:between w:val="nil"/>
        </w:pBdr>
        <w:spacing w:line="276" w:lineRule="auto"/>
        <w:jc w:val="both"/>
        <w:rPr>
          <w:color w:val="000000"/>
          <w:sz w:val="24"/>
          <w:szCs w:val="24"/>
        </w:rPr>
      </w:pPr>
    </w:p>
    <w:p w14:paraId="71786828" w14:textId="77777777" w:rsidR="001725B7" w:rsidRDefault="001725B7" w:rsidP="001725B7">
      <w:pPr>
        <w:keepNext/>
        <w:pBdr>
          <w:top w:val="nil"/>
          <w:left w:val="nil"/>
          <w:bottom w:val="nil"/>
          <w:right w:val="nil"/>
          <w:between w:val="nil"/>
        </w:pBdr>
        <w:spacing w:before="240" w:after="60" w:line="276" w:lineRule="auto"/>
        <w:jc w:val="both"/>
        <w:rPr>
          <w:b/>
          <w:color w:val="000000"/>
          <w:sz w:val="24"/>
          <w:szCs w:val="24"/>
        </w:rPr>
      </w:pPr>
    </w:p>
    <w:p w14:paraId="3340AADD" w14:textId="77777777" w:rsidR="001725B7" w:rsidRPr="004033BA" w:rsidRDefault="001725B7" w:rsidP="001725B7">
      <w:pPr>
        <w:keepNext/>
        <w:pBdr>
          <w:top w:val="nil"/>
          <w:left w:val="nil"/>
          <w:bottom w:val="nil"/>
          <w:right w:val="nil"/>
          <w:between w:val="nil"/>
        </w:pBdr>
        <w:spacing w:before="240" w:after="60" w:line="276" w:lineRule="auto"/>
        <w:jc w:val="both"/>
        <w:rPr>
          <w:b/>
          <w:color w:val="000000"/>
          <w:sz w:val="24"/>
          <w:szCs w:val="24"/>
        </w:rPr>
      </w:pPr>
      <w:r>
        <w:br w:type="page"/>
      </w:r>
      <w:r w:rsidRPr="004033BA">
        <w:rPr>
          <w:b/>
          <w:color w:val="000000"/>
          <w:sz w:val="24"/>
          <w:szCs w:val="24"/>
        </w:rPr>
        <w:lastRenderedPageBreak/>
        <w:t>Fig. S2. cytoGCaMPf6 AAV and fiber photometry cannula location.</w:t>
      </w:r>
    </w:p>
    <w:p w14:paraId="52E79C27" w14:textId="77777777" w:rsidR="001725B7" w:rsidRDefault="001725B7" w:rsidP="001725B7">
      <w:pPr>
        <w:keepNext/>
        <w:pBdr>
          <w:top w:val="nil"/>
          <w:left w:val="nil"/>
          <w:bottom w:val="nil"/>
          <w:right w:val="nil"/>
          <w:between w:val="nil"/>
        </w:pBdr>
        <w:spacing w:before="240" w:after="60" w:line="276" w:lineRule="auto"/>
        <w:jc w:val="both"/>
        <w:rPr>
          <w:b/>
          <w:color w:val="000000"/>
          <w:sz w:val="24"/>
          <w:szCs w:val="24"/>
        </w:rPr>
      </w:pPr>
    </w:p>
    <w:p w14:paraId="1A5E6308" w14:textId="77777777" w:rsidR="001725B7" w:rsidRDefault="001725B7" w:rsidP="001725B7">
      <w:pPr>
        <w:pBdr>
          <w:top w:val="nil"/>
          <w:left w:val="nil"/>
          <w:bottom w:val="nil"/>
          <w:right w:val="nil"/>
          <w:between w:val="nil"/>
        </w:pBdr>
        <w:spacing w:line="276" w:lineRule="auto"/>
        <w:ind w:left="-709"/>
      </w:pPr>
      <w:r>
        <w:rPr>
          <w:noProof/>
        </w:rPr>
        <w:drawing>
          <wp:inline distT="0" distB="0" distL="0" distR="0" wp14:anchorId="7317F19D" wp14:editId="789D0EC4">
            <wp:extent cx="4418668" cy="6219825"/>
            <wp:effectExtent l="0" t="0" r="0" b="0"/>
            <wp:docPr id="20725361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4418668" cy="6219825"/>
                    </a:xfrm>
                    <a:prstGeom prst="rect">
                      <a:avLst/>
                    </a:prstGeom>
                    <a:ln/>
                  </pic:spPr>
                </pic:pic>
              </a:graphicData>
            </a:graphic>
          </wp:inline>
        </w:drawing>
      </w:r>
      <w:r>
        <w:rPr>
          <w:noProof/>
        </w:rPr>
        <mc:AlternateContent>
          <mc:Choice Requires="wps">
            <w:drawing>
              <wp:inline distT="0" distB="0" distL="114300" distR="114300" wp14:anchorId="3C4C636C" wp14:editId="598F0791">
                <wp:extent cx="5630545" cy="1235811"/>
                <wp:effectExtent l="0" t="0" r="0" b="0"/>
                <wp:docPr id="2072536107" name="Rectángulo 2072536107"/>
                <wp:cNvGraphicFramePr/>
                <a:graphic xmlns:a="http://schemas.openxmlformats.org/drawingml/2006/main">
                  <a:graphicData uri="http://schemas.microsoft.com/office/word/2010/wordprocessingShape">
                    <wps:wsp>
                      <wps:cNvSpPr/>
                      <wps:spPr>
                        <a:xfrm>
                          <a:off x="2564065" y="3195432"/>
                          <a:ext cx="5563870" cy="1169136"/>
                        </a:xfrm>
                        <a:prstGeom prst="rect">
                          <a:avLst/>
                        </a:prstGeom>
                        <a:solidFill>
                          <a:schemeClr val="lt1"/>
                        </a:solidFill>
                        <a:ln>
                          <a:noFill/>
                        </a:ln>
                      </wps:spPr>
                      <wps:txbx>
                        <w:txbxContent>
                          <w:p w14:paraId="021D4DA4" w14:textId="77777777" w:rsidR="001725B7" w:rsidRPr="004033BA" w:rsidRDefault="001725B7" w:rsidP="001725B7">
                            <w:pPr>
                              <w:spacing w:line="276" w:lineRule="auto"/>
                              <w:jc w:val="both"/>
                              <w:rPr>
                                <w:color w:val="000000"/>
                                <w:sz w:val="24"/>
                                <w:szCs w:val="24"/>
                              </w:rPr>
                            </w:pPr>
                            <w:r w:rsidRPr="004033BA">
                              <w:rPr>
                                <w:color w:val="000000"/>
                                <w:sz w:val="24"/>
                                <w:szCs w:val="24"/>
                              </w:rPr>
                              <w:t>(</w:t>
                            </w:r>
                            <w:r w:rsidRPr="004033BA">
                              <w:rPr>
                                <w:b/>
                                <w:color w:val="000000"/>
                                <w:sz w:val="24"/>
                                <w:szCs w:val="24"/>
                              </w:rPr>
                              <w:t>A</w:t>
                            </w:r>
                            <w:r w:rsidRPr="004033BA">
                              <w:rPr>
                                <w:color w:val="000000"/>
                                <w:sz w:val="24"/>
                                <w:szCs w:val="24"/>
                              </w:rPr>
                              <w:t>) Scheme of the fiber photometry experimental approach, showing Ca</w:t>
                            </w:r>
                            <w:r w:rsidRPr="004033BA">
                              <w:rPr>
                                <w:color w:val="000000"/>
                                <w:sz w:val="24"/>
                                <w:szCs w:val="24"/>
                                <w:vertAlign w:val="superscript"/>
                              </w:rPr>
                              <w:t>2+</w:t>
                            </w:r>
                            <w:r w:rsidRPr="004033BA">
                              <w:rPr>
                                <w:color w:val="000000"/>
                                <w:sz w:val="24"/>
                                <w:szCs w:val="24"/>
                              </w:rPr>
                              <w:t xml:space="preserve"> signaling during training in the operant chamber. Stars indicate Ca</w:t>
                            </w:r>
                            <w:r w:rsidRPr="004033BA">
                              <w:rPr>
                                <w:color w:val="000000"/>
                                <w:sz w:val="24"/>
                                <w:szCs w:val="24"/>
                                <w:vertAlign w:val="superscript"/>
                              </w:rPr>
                              <w:t>2+</w:t>
                            </w:r>
                            <w:r w:rsidRPr="004033BA">
                              <w:rPr>
                                <w:color w:val="000000"/>
                                <w:sz w:val="24"/>
                                <w:szCs w:val="24"/>
                              </w:rPr>
                              <w:t xml:space="preserve"> activity related to reward consumption. (</w:t>
                            </w:r>
                            <w:r w:rsidRPr="004033BA">
                              <w:rPr>
                                <w:b/>
                                <w:color w:val="000000"/>
                                <w:sz w:val="24"/>
                                <w:szCs w:val="24"/>
                              </w:rPr>
                              <w:t>B</w:t>
                            </w:r>
                            <w:r w:rsidRPr="004033BA">
                              <w:rPr>
                                <w:color w:val="000000"/>
                                <w:sz w:val="24"/>
                                <w:szCs w:val="24"/>
                              </w:rPr>
                              <w:t>) Fluorescence (F/µm</w:t>
                            </w:r>
                            <w:r w:rsidRPr="004033BA">
                              <w:rPr>
                                <w:color w:val="000000"/>
                                <w:sz w:val="24"/>
                                <w:szCs w:val="24"/>
                                <w:vertAlign w:val="superscript"/>
                              </w:rPr>
                              <w:t>2</w:t>
                            </w:r>
                            <w:r w:rsidRPr="004033BA">
                              <w:rPr>
                                <w:color w:val="000000"/>
                                <w:sz w:val="24"/>
                                <w:szCs w:val="24"/>
                              </w:rPr>
                              <w:t>) quantified at the injection site (0.056 ± 0.006 F/µm</w:t>
                            </w:r>
                            <w:r w:rsidRPr="004033BA">
                              <w:rPr>
                                <w:color w:val="000000"/>
                                <w:sz w:val="24"/>
                                <w:szCs w:val="24"/>
                                <w:vertAlign w:val="superscript"/>
                              </w:rPr>
                              <w:t>2</w:t>
                            </w:r>
                            <w:r w:rsidRPr="004033BA">
                              <w:rPr>
                                <w:color w:val="000000"/>
                                <w:sz w:val="24"/>
                                <w:szCs w:val="24"/>
                              </w:rPr>
                              <w:t>; n = 15 mice). (</w:t>
                            </w:r>
                            <w:r w:rsidRPr="004033BA">
                              <w:rPr>
                                <w:b/>
                                <w:color w:val="000000"/>
                                <w:sz w:val="24"/>
                                <w:szCs w:val="24"/>
                              </w:rPr>
                              <w:t>C</w:t>
                            </w:r>
                            <w:r w:rsidRPr="004033BA">
                              <w:rPr>
                                <w:color w:val="000000"/>
                                <w:sz w:val="24"/>
                                <w:szCs w:val="24"/>
                              </w:rPr>
                              <w:t>) Representative epifluorescence images and NAc scheme showing fiber cannula position (red dot) in each individual mouse.</w:t>
                            </w:r>
                          </w:p>
                          <w:p w14:paraId="39384886" w14:textId="77777777" w:rsidR="001725B7" w:rsidRDefault="001725B7" w:rsidP="001725B7">
                            <w:pPr>
                              <w:ind w:left="425" w:firstLine="425"/>
                              <w:jc w:val="both"/>
                              <w:textDirection w:val="btLr"/>
                            </w:pPr>
                          </w:p>
                        </w:txbxContent>
                      </wps:txbx>
                      <wps:bodyPr spcFirstLastPara="1" wrap="square" lIns="91425" tIns="45700" rIns="91425" bIns="45700" anchor="t" anchorCtr="0">
                        <a:noAutofit/>
                      </wps:bodyPr>
                    </wps:wsp>
                  </a:graphicData>
                </a:graphic>
              </wp:inline>
            </w:drawing>
          </mc:Choice>
          <mc:Fallback>
            <w:pict>
              <v:rect w14:anchorId="73C0009F" id="Rectángulo 2072536107" o:spid="_x0000_s1026" style="width:443.35pt;height:9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" fillcolor="white [3201]" stroked="f">
                <v:textbox inset="2.53958mm,1.2694mm,2.53958mm,1.2694mm">
                  <w:txbxContent>
                    <w:p w:rsidR="001725B7" w:rsidRPr="004033BA" w:rsidRDefault="001725B7" w:rsidP="001725B7">
                      <w:pPr>
                        <w:spacing w:line="276" w:lineRule="auto"/>
                        <w:jc w:val="both"/>
                        <w:rPr>
                          <w:color w:val="000000"/>
                          <w:sz w:val="24"/>
                          <w:szCs w:val="24"/>
                        </w:rPr>
                      </w:pPr>
                      <w:r w:rsidRPr="004033BA">
                        <w:rPr>
                          <w:color w:val="000000"/>
                          <w:sz w:val="24"/>
                          <w:szCs w:val="24"/>
                        </w:rPr>
                        <w:t>(</w:t>
                      </w:r>
                      <w:r w:rsidRPr="004033BA">
                        <w:rPr>
                          <w:b/>
                          <w:color w:val="000000"/>
                          <w:sz w:val="24"/>
                          <w:szCs w:val="24"/>
                        </w:rPr>
                        <w:t>A</w:t>
                      </w:r>
                      <w:r w:rsidRPr="004033BA">
                        <w:rPr>
                          <w:color w:val="000000"/>
                          <w:sz w:val="24"/>
                          <w:szCs w:val="24"/>
                        </w:rPr>
                        <w:t>) Scheme of the fiber photometry experimental approach, showing Ca</w:t>
                      </w:r>
                      <w:r w:rsidRPr="004033BA">
                        <w:rPr>
                          <w:color w:val="000000"/>
                          <w:sz w:val="24"/>
                          <w:szCs w:val="24"/>
                          <w:vertAlign w:val="superscript"/>
                        </w:rPr>
                        <w:t>2+</w:t>
                      </w:r>
                      <w:r w:rsidRPr="004033BA">
                        <w:rPr>
                          <w:color w:val="000000"/>
                          <w:sz w:val="24"/>
                          <w:szCs w:val="24"/>
                        </w:rPr>
                        <w:t xml:space="preserve"> signaling during training in the operant chamber. Stars indicate Ca</w:t>
                      </w:r>
                      <w:r w:rsidRPr="004033BA">
                        <w:rPr>
                          <w:color w:val="000000"/>
                          <w:sz w:val="24"/>
                          <w:szCs w:val="24"/>
                          <w:vertAlign w:val="superscript"/>
                        </w:rPr>
                        <w:t>2+</w:t>
                      </w:r>
                      <w:r w:rsidRPr="004033BA">
                        <w:rPr>
                          <w:color w:val="000000"/>
                          <w:sz w:val="24"/>
                          <w:szCs w:val="24"/>
                        </w:rPr>
                        <w:t xml:space="preserve"> activity related to reward consumption. (</w:t>
                      </w:r>
                      <w:r w:rsidRPr="004033BA">
                        <w:rPr>
                          <w:b/>
                          <w:color w:val="000000"/>
                          <w:sz w:val="24"/>
                          <w:szCs w:val="24"/>
                        </w:rPr>
                        <w:t>B</w:t>
                      </w:r>
                      <w:r w:rsidRPr="004033BA">
                        <w:rPr>
                          <w:color w:val="000000"/>
                          <w:sz w:val="24"/>
                          <w:szCs w:val="24"/>
                        </w:rPr>
                        <w:t>) Fluorescence (F/µm</w:t>
                      </w:r>
                      <w:r w:rsidRPr="004033BA">
                        <w:rPr>
                          <w:color w:val="000000"/>
                          <w:sz w:val="24"/>
                          <w:szCs w:val="24"/>
                          <w:vertAlign w:val="superscript"/>
                        </w:rPr>
                        <w:t>2</w:t>
                      </w:r>
                      <w:r w:rsidRPr="004033BA">
                        <w:rPr>
                          <w:color w:val="000000"/>
                          <w:sz w:val="24"/>
                          <w:szCs w:val="24"/>
                        </w:rPr>
                        <w:t>) quantified at the injection site (0.056 ± 0.006 F/µm</w:t>
                      </w:r>
                      <w:r w:rsidRPr="004033BA">
                        <w:rPr>
                          <w:color w:val="000000"/>
                          <w:sz w:val="24"/>
                          <w:szCs w:val="24"/>
                          <w:vertAlign w:val="superscript"/>
                        </w:rPr>
                        <w:t>2</w:t>
                      </w:r>
                      <w:r w:rsidRPr="004033BA">
                        <w:rPr>
                          <w:color w:val="000000"/>
                          <w:sz w:val="24"/>
                          <w:szCs w:val="24"/>
                        </w:rPr>
                        <w:t>; n = 15 mice). (</w:t>
                      </w:r>
                      <w:r w:rsidRPr="004033BA">
                        <w:rPr>
                          <w:b/>
                          <w:color w:val="000000"/>
                          <w:sz w:val="24"/>
                          <w:szCs w:val="24"/>
                        </w:rPr>
                        <w:t>C</w:t>
                      </w:r>
                      <w:r w:rsidRPr="004033BA">
                        <w:rPr>
                          <w:color w:val="000000"/>
                          <w:sz w:val="24"/>
                          <w:szCs w:val="24"/>
                        </w:rPr>
                        <w:t>) Representative epifluorescence images and NAc scheme showing fiber cannula position (red dot) in each individual mouse.</w:t>
                      </w:r>
                    </w:p>
                    <w:p w:rsidR="001725B7" w:rsidRDefault="001725B7" w:rsidP="001725B7">
                      <w:pPr>
                        <w:ind w:left="425" w:firstLine="425"/>
                        <w:jc w:val="both"/>
                        <w:textDirection w:val="btLr"/>
                      </w:pPr>
                    </w:p>
                  </w:txbxContent>
                </v:textbox>
                <w10:anchorlock/>
              </v:rect>
            </w:pict>
          </mc:Fallback>
        </mc:AlternateContent>
      </w:r>
    </w:p>
    <w:p w14:paraId="3209DBBC" w14:textId="77777777" w:rsidR="001725B7" w:rsidRDefault="001725B7" w:rsidP="001725B7">
      <w:r>
        <w:br w:type="page"/>
      </w:r>
    </w:p>
    <w:p w14:paraId="3F3F8D1E" w14:textId="77777777" w:rsidR="001725B7" w:rsidRDefault="001725B7" w:rsidP="001725B7">
      <w:pPr>
        <w:rPr>
          <w:b/>
          <w:color w:val="000000"/>
          <w:sz w:val="24"/>
          <w:szCs w:val="24"/>
        </w:rPr>
      </w:pPr>
      <w:r w:rsidRPr="004033BA">
        <w:rPr>
          <w:b/>
          <w:color w:val="000000"/>
          <w:sz w:val="24"/>
          <w:szCs w:val="24"/>
        </w:rPr>
        <w:lastRenderedPageBreak/>
        <w:t xml:space="preserve">Fig. S3. Labeling reward location of </w:t>
      </w:r>
      <w:proofErr w:type="spellStart"/>
      <w:r w:rsidRPr="004033BA">
        <w:rPr>
          <w:b/>
          <w:color w:val="000000"/>
          <w:sz w:val="24"/>
          <w:szCs w:val="24"/>
        </w:rPr>
        <w:t>AstroLight</w:t>
      </w:r>
      <w:proofErr w:type="spellEnd"/>
      <w:r w:rsidRPr="004033BA">
        <w:rPr>
          <w:b/>
          <w:color w:val="000000"/>
          <w:sz w:val="24"/>
          <w:szCs w:val="24"/>
        </w:rPr>
        <w:t xml:space="preserve"> in reward group mice.</w:t>
      </w:r>
    </w:p>
    <w:p w14:paraId="04159F3B" w14:textId="77777777" w:rsidR="001725B7" w:rsidRPr="004033BA" w:rsidRDefault="001725B7" w:rsidP="001725B7">
      <w:pPr>
        <w:rPr>
          <w:b/>
          <w:color w:val="000000"/>
          <w:sz w:val="24"/>
          <w:szCs w:val="24"/>
        </w:rPr>
      </w:pPr>
    </w:p>
    <w:p w14:paraId="4C8A3A0E" w14:textId="77777777" w:rsidR="001725B7" w:rsidRDefault="001725B7" w:rsidP="001725B7">
      <w:r>
        <w:rPr>
          <w:noProof/>
        </w:rPr>
        <w:drawing>
          <wp:inline distT="0" distB="0" distL="0" distR="0" wp14:anchorId="5F221DA4" wp14:editId="3AD7FFDC">
            <wp:extent cx="5924550" cy="2591991"/>
            <wp:effectExtent l="0" t="0" r="0" b="0"/>
            <wp:docPr id="20725361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24550" cy="2591991"/>
                    </a:xfrm>
                    <a:prstGeom prst="rect">
                      <a:avLst/>
                    </a:prstGeom>
                    <a:ln/>
                  </pic:spPr>
                </pic:pic>
              </a:graphicData>
            </a:graphic>
          </wp:inline>
        </w:drawing>
      </w:r>
    </w:p>
    <w:p w14:paraId="6DE1F796" w14:textId="77777777" w:rsidR="001725B7" w:rsidRPr="004033BA" w:rsidRDefault="001725B7" w:rsidP="001725B7">
      <w:pPr>
        <w:keepNext/>
        <w:pBdr>
          <w:top w:val="nil"/>
          <w:left w:val="nil"/>
          <w:bottom w:val="nil"/>
          <w:right w:val="nil"/>
          <w:between w:val="nil"/>
        </w:pBdr>
        <w:spacing w:before="240" w:after="60" w:line="276" w:lineRule="auto"/>
        <w:jc w:val="both"/>
        <w:rPr>
          <w:color w:val="000000"/>
          <w:sz w:val="24"/>
          <w:szCs w:val="24"/>
        </w:rPr>
      </w:pPr>
      <w:r w:rsidRPr="004033BA">
        <w:rPr>
          <w:color w:val="000000"/>
          <w:sz w:val="24"/>
          <w:szCs w:val="24"/>
        </w:rPr>
        <w:t>Top, timeline scheme of the behavioral approach indicating labeling day during the training period. Bottom, preference index (%) towards left or right waterholes was quantified during the pre-test period before each training session. Preference was used to balance labeling of reward group mice between both reward locations (Labeling left; n = 4 mice; Labeling right, n = 5 mice). If animals showed a strong preference (red dots; &gt; 55%) towards one location, they were labeled in the opposite waterhole.</w:t>
      </w:r>
    </w:p>
    <w:p w14:paraId="10E420CB" w14:textId="77777777" w:rsidR="001725B7" w:rsidRDefault="001725B7" w:rsidP="001725B7">
      <w:pPr>
        <w:keepNext/>
        <w:pBdr>
          <w:top w:val="nil"/>
          <w:left w:val="nil"/>
          <w:bottom w:val="nil"/>
          <w:right w:val="nil"/>
          <w:between w:val="nil"/>
        </w:pBdr>
        <w:spacing w:before="240" w:after="60" w:line="276" w:lineRule="auto"/>
        <w:rPr>
          <w:color w:val="000000"/>
          <w:sz w:val="24"/>
          <w:szCs w:val="24"/>
        </w:rPr>
      </w:pPr>
      <w:r>
        <w:br w:type="page"/>
      </w:r>
    </w:p>
    <w:p w14:paraId="1ACAC36C" w14:textId="77777777" w:rsidR="001725B7" w:rsidRPr="004033BA" w:rsidRDefault="001725B7" w:rsidP="001725B7">
      <w:pPr>
        <w:keepNext/>
        <w:pBdr>
          <w:top w:val="nil"/>
          <w:left w:val="nil"/>
          <w:bottom w:val="nil"/>
          <w:right w:val="nil"/>
          <w:between w:val="nil"/>
        </w:pBdr>
        <w:spacing w:before="240" w:after="60" w:line="276" w:lineRule="auto"/>
        <w:jc w:val="both"/>
        <w:rPr>
          <w:color w:val="000000"/>
          <w:sz w:val="24"/>
          <w:szCs w:val="24"/>
        </w:rPr>
      </w:pPr>
      <w:r w:rsidRPr="004033BA">
        <w:rPr>
          <w:b/>
          <w:color w:val="000000"/>
          <w:sz w:val="24"/>
          <w:szCs w:val="24"/>
        </w:rPr>
        <w:lastRenderedPageBreak/>
        <w:t>Fig. S4. Analysis of YFP/</w:t>
      </w:r>
      <w:proofErr w:type="spellStart"/>
      <w:r w:rsidRPr="004033BA">
        <w:rPr>
          <w:b/>
          <w:color w:val="000000"/>
          <w:sz w:val="24"/>
          <w:szCs w:val="24"/>
        </w:rPr>
        <w:t>tdTom</w:t>
      </w:r>
      <w:proofErr w:type="spellEnd"/>
      <w:r w:rsidRPr="004033BA">
        <w:rPr>
          <w:b/>
          <w:color w:val="000000"/>
          <w:sz w:val="24"/>
          <w:szCs w:val="24"/>
        </w:rPr>
        <w:t xml:space="preserve"> ratio with respect to fiber photometry cannula location.</w:t>
      </w:r>
    </w:p>
    <w:p w14:paraId="6FB7B822" w14:textId="77777777" w:rsidR="001725B7" w:rsidRDefault="001725B7" w:rsidP="001725B7">
      <w:pPr>
        <w:keepNext/>
        <w:pBdr>
          <w:top w:val="nil"/>
          <w:left w:val="nil"/>
          <w:bottom w:val="nil"/>
          <w:right w:val="nil"/>
          <w:between w:val="nil"/>
        </w:pBdr>
        <w:spacing w:before="240" w:after="60" w:line="276" w:lineRule="auto"/>
        <w:jc w:val="both"/>
        <w:rPr>
          <w:color w:val="000000"/>
          <w:sz w:val="24"/>
          <w:szCs w:val="24"/>
        </w:rPr>
      </w:pPr>
    </w:p>
    <w:p w14:paraId="761FEF80" w14:textId="77777777" w:rsidR="001725B7" w:rsidRDefault="001725B7" w:rsidP="001725B7">
      <w:pPr>
        <w:keepNext/>
        <w:pBdr>
          <w:top w:val="nil"/>
          <w:left w:val="nil"/>
          <w:bottom w:val="nil"/>
          <w:right w:val="nil"/>
          <w:between w:val="nil"/>
        </w:pBdr>
        <w:spacing w:before="240" w:after="60" w:line="276" w:lineRule="auto"/>
        <w:jc w:val="both"/>
      </w:pPr>
      <w:r>
        <w:rPr>
          <w:noProof/>
        </w:rPr>
        <w:drawing>
          <wp:inline distT="0" distB="0" distL="0" distR="0" wp14:anchorId="0B7F6840" wp14:editId="31CF241C">
            <wp:extent cx="5924550" cy="1604565"/>
            <wp:effectExtent l="0" t="0" r="0" b="0"/>
            <wp:docPr id="20725361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24550" cy="1604565"/>
                    </a:xfrm>
                    <a:prstGeom prst="rect">
                      <a:avLst/>
                    </a:prstGeom>
                    <a:ln/>
                  </pic:spPr>
                </pic:pic>
              </a:graphicData>
            </a:graphic>
          </wp:inline>
        </w:drawing>
      </w:r>
    </w:p>
    <w:p w14:paraId="42340B25" w14:textId="77777777" w:rsidR="001725B7" w:rsidRPr="004033BA" w:rsidRDefault="001725B7" w:rsidP="001725B7">
      <w:pPr>
        <w:keepNext/>
        <w:pBdr>
          <w:top w:val="nil"/>
          <w:left w:val="nil"/>
          <w:bottom w:val="nil"/>
          <w:right w:val="nil"/>
          <w:between w:val="nil"/>
        </w:pBdr>
        <w:spacing w:before="240" w:after="60" w:line="276" w:lineRule="auto"/>
        <w:jc w:val="both"/>
        <w:rPr>
          <w:color w:val="000000"/>
          <w:sz w:val="24"/>
          <w:szCs w:val="24"/>
        </w:rPr>
      </w:pPr>
      <w:r w:rsidRPr="004033BA">
        <w:rPr>
          <w:color w:val="000000"/>
          <w:sz w:val="24"/>
          <w:szCs w:val="24"/>
        </w:rPr>
        <w:t>Dispersion plot (left) showing YFP/</w:t>
      </w:r>
      <w:proofErr w:type="spellStart"/>
      <w:r w:rsidRPr="004033BA">
        <w:rPr>
          <w:color w:val="000000"/>
          <w:sz w:val="24"/>
          <w:szCs w:val="24"/>
        </w:rPr>
        <w:t>tdTom</w:t>
      </w:r>
      <w:proofErr w:type="spellEnd"/>
      <w:r w:rsidRPr="004033BA">
        <w:rPr>
          <w:color w:val="000000"/>
          <w:sz w:val="24"/>
          <w:szCs w:val="24"/>
        </w:rPr>
        <w:t xml:space="preserve"> ratio in the anterior-posterior (A-P) axis centered to cannula position (0 µm) and average values (right) of the anterior and posterior half of the </w:t>
      </w:r>
      <w:proofErr w:type="spellStart"/>
      <w:r w:rsidRPr="004033BA">
        <w:rPr>
          <w:color w:val="000000"/>
          <w:sz w:val="24"/>
          <w:szCs w:val="24"/>
        </w:rPr>
        <w:t>NAc</w:t>
      </w:r>
      <w:proofErr w:type="spellEnd"/>
      <w:r w:rsidRPr="004033BA">
        <w:rPr>
          <w:color w:val="000000"/>
          <w:sz w:val="24"/>
          <w:szCs w:val="24"/>
        </w:rPr>
        <w:t xml:space="preserve"> for (</w:t>
      </w:r>
      <w:r w:rsidRPr="004033BA">
        <w:rPr>
          <w:b/>
          <w:color w:val="000000"/>
          <w:sz w:val="24"/>
          <w:szCs w:val="24"/>
        </w:rPr>
        <w:t>A</w:t>
      </w:r>
      <w:r w:rsidRPr="004033BA">
        <w:rPr>
          <w:color w:val="000000"/>
          <w:sz w:val="24"/>
          <w:szCs w:val="24"/>
        </w:rPr>
        <w:t>) control group (anterior, 0.07 ± 0.02; posterior, 0.09 ± 0.02 %; p = 0.25; n = 10 mice), (</w:t>
      </w:r>
      <w:r w:rsidRPr="004033BA">
        <w:rPr>
          <w:b/>
          <w:color w:val="000000"/>
          <w:sz w:val="24"/>
          <w:szCs w:val="24"/>
        </w:rPr>
        <w:t>B</w:t>
      </w:r>
      <w:r w:rsidRPr="004033BA">
        <w:rPr>
          <w:color w:val="000000"/>
          <w:sz w:val="24"/>
          <w:szCs w:val="24"/>
        </w:rPr>
        <w:t>) reward group (anterior, 0.25 ± 0.05; posterior, 0.52 ± 0.07 %; p = 0.03; n = 9 mice) and (</w:t>
      </w:r>
      <w:r w:rsidRPr="004033BA">
        <w:rPr>
          <w:b/>
          <w:color w:val="000000"/>
          <w:sz w:val="24"/>
          <w:szCs w:val="24"/>
        </w:rPr>
        <w:t>C</w:t>
      </w:r>
      <w:r w:rsidRPr="004033BA">
        <w:rPr>
          <w:color w:val="000000"/>
          <w:sz w:val="24"/>
          <w:szCs w:val="24"/>
        </w:rPr>
        <w:t>) no-reward group (anterior, 0.28 ± 0.04; posterior, 0.32 ± 0.04 %; p = 0.49; n = 6 mice). Each dot shows the YFP/</w:t>
      </w:r>
      <w:proofErr w:type="spellStart"/>
      <w:r w:rsidRPr="004033BA">
        <w:rPr>
          <w:color w:val="000000"/>
          <w:sz w:val="24"/>
          <w:szCs w:val="24"/>
        </w:rPr>
        <w:t>tdTom</w:t>
      </w:r>
      <w:proofErr w:type="spellEnd"/>
      <w:r w:rsidRPr="004033BA">
        <w:rPr>
          <w:color w:val="000000"/>
          <w:sz w:val="24"/>
          <w:szCs w:val="24"/>
        </w:rPr>
        <w:t xml:space="preserve"> ratio of an individual 10 µm plane from a specific mouse, separated by different colors. Discontinuous vertical lines indicate limits of the fiber photometry cannula (Ø 400 µm). Note that when aligned to the cannula, the reward group maintained an increased YFP/</w:t>
      </w:r>
      <w:proofErr w:type="spellStart"/>
      <w:r w:rsidRPr="004033BA">
        <w:rPr>
          <w:color w:val="000000"/>
          <w:sz w:val="24"/>
          <w:szCs w:val="24"/>
        </w:rPr>
        <w:t>TdTom</w:t>
      </w:r>
      <w:proofErr w:type="spellEnd"/>
      <w:r w:rsidRPr="004033BA">
        <w:rPr>
          <w:color w:val="000000"/>
          <w:sz w:val="24"/>
          <w:szCs w:val="24"/>
        </w:rPr>
        <w:t xml:space="preserve"> ratio in the posterior region of the </w:t>
      </w:r>
      <w:proofErr w:type="spellStart"/>
      <w:r w:rsidRPr="004033BA">
        <w:rPr>
          <w:color w:val="000000"/>
          <w:sz w:val="24"/>
          <w:szCs w:val="24"/>
        </w:rPr>
        <w:t>NAc</w:t>
      </w:r>
      <w:proofErr w:type="spellEnd"/>
      <w:r w:rsidRPr="004033BA">
        <w:rPr>
          <w:color w:val="000000"/>
          <w:sz w:val="24"/>
          <w:szCs w:val="24"/>
        </w:rPr>
        <w:t xml:space="preserve">, demonstrating that ChR2-YFP expression derived from </w:t>
      </w:r>
      <w:proofErr w:type="spellStart"/>
      <w:r w:rsidRPr="004033BA">
        <w:rPr>
          <w:color w:val="000000"/>
          <w:sz w:val="24"/>
          <w:szCs w:val="24"/>
        </w:rPr>
        <w:t>AstroLight</w:t>
      </w:r>
      <w:proofErr w:type="spellEnd"/>
      <w:r w:rsidRPr="004033BA">
        <w:rPr>
          <w:color w:val="000000"/>
          <w:sz w:val="24"/>
          <w:szCs w:val="24"/>
        </w:rPr>
        <w:t xml:space="preserve"> labeling is not dependent on cannula position. Two-tailed paired </w:t>
      </w:r>
      <w:r w:rsidRPr="004033BA">
        <w:rPr>
          <w:i/>
          <w:color w:val="000000"/>
          <w:sz w:val="24"/>
          <w:szCs w:val="24"/>
        </w:rPr>
        <w:t>t</w:t>
      </w:r>
      <w:r w:rsidRPr="004033BA">
        <w:rPr>
          <w:color w:val="000000"/>
          <w:sz w:val="24"/>
          <w:szCs w:val="24"/>
        </w:rPr>
        <w:t>-test, **: p &lt; 0.01; all error bars express SEM.</w:t>
      </w:r>
    </w:p>
    <w:p w14:paraId="619C57D7" w14:textId="77777777" w:rsidR="001725B7" w:rsidRDefault="001725B7" w:rsidP="001725B7">
      <w:pPr>
        <w:pBdr>
          <w:top w:val="nil"/>
          <w:left w:val="nil"/>
          <w:bottom w:val="nil"/>
          <w:right w:val="nil"/>
          <w:between w:val="nil"/>
        </w:pBdr>
        <w:spacing w:line="276" w:lineRule="auto"/>
        <w:jc w:val="both"/>
        <w:rPr>
          <w:color w:val="000000"/>
          <w:sz w:val="24"/>
          <w:szCs w:val="24"/>
        </w:rPr>
      </w:pPr>
    </w:p>
    <w:p w14:paraId="45E2C54C" w14:textId="77777777" w:rsidR="001725B7" w:rsidRDefault="001725B7" w:rsidP="001725B7">
      <w:pPr>
        <w:pBdr>
          <w:top w:val="nil"/>
          <w:left w:val="nil"/>
          <w:bottom w:val="nil"/>
          <w:right w:val="nil"/>
          <w:between w:val="nil"/>
        </w:pBdr>
        <w:spacing w:line="276" w:lineRule="auto"/>
        <w:jc w:val="both"/>
        <w:rPr>
          <w:color w:val="000000"/>
          <w:sz w:val="24"/>
          <w:szCs w:val="24"/>
        </w:rPr>
      </w:pPr>
    </w:p>
    <w:p w14:paraId="27B7C78F" w14:textId="77777777" w:rsidR="001725B7" w:rsidRDefault="001725B7" w:rsidP="001725B7">
      <w:pPr>
        <w:keepNext/>
        <w:pBdr>
          <w:top w:val="nil"/>
          <w:left w:val="nil"/>
          <w:bottom w:val="nil"/>
          <w:right w:val="nil"/>
          <w:between w:val="nil"/>
        </w:pBdr>
        <w:spacing w:before="240" w:after="60" w:line="276" w:lineRule="auto"/>
        <w:jc w:val="both"/>
        <w:rPr>
          <w:color w:val="000000"/>
          <w:sz w:val="24"/>
          <w:szCs w:val="24"/>
        </w:rPr>
      </w:pPr>
    </w:p>
    <w:p w14:paraId="506F6F59" w14:textId="77777777" w:rsidR="001725B7" w:rsidRDefault="001725B7" w:rsidP="001725B7">
      <w:pPr>
        <w:pBdr>
          <w:top w:val="nil"/>
          <w:left w:val="nil"/>
          <w:bottom w:val="nil"/>
          <w:right w:val="nil"/>
          <w:between w:val="nil"/>
        </w:pBdr>
        <w:spacing w:line="276" w:lineRule="auto"/>
        <w:rPr>
          <w:color w:val="000000"/>
          <w:sz w:val="24"/>
          <w:szCs w:val="24"/>
        </w:rPr>
      </w:pPr>
      <w:r>
        <w:br w:type="page"/>
      </w:r>
    </w:p>
    <w:p w14:paraId="5E0F7E39" w14:textId="77777777" w:rsidR="001725B7" w:rsidRPr="004033BA" w:rsidRDefault="001725B7" w:rsidP="001725B7">
      <w:pPr>
        <w:keepNext/>
        <w:pBdr>
          <w:top w:val="nil"/>
          <w:left w:val="nil"/>
          <w:bottom w:val="nil"/>
          <w:right w:val="nil"/>
          <w:between w:val="nil"/>
        </w:pBdr>
        <w:spacing w:before="240" w:after="60" w:line="276" w:lineRule="auto"/>
        <w:jc w:val="both"/>
        <w:rPr>
          <w:sz w:val="24"/>
          <w:szCs w:val="24"/>
        </w:rPr>
      </w:pPr>
      <w:r w:rsidRPr="004033BA">
        <w:rPr>
          <w:b/>
          <w:color w:val="000000"/>
          <w:sz w:val="24"/>
          <w:szCs w:val="24"/>
        </w:rPr>
        <w:lastRenderedPageBreak/>
        <w:t xml:space="preserve">Fig. S5. AAV-transfection levels and three-dimensional dispersion maps of </w:t>
      </w:r>
      <w:proofErr w:type="spellStart"/>
      <w:r w:rsidRPr="004033BA">
        <w:rPr>
          <w:b/>
          <w:color w:val="000000"/>
          <w:sz w:val="24"/>
          <w:szCs w:val="24"/>
        </w:rPr>
        <w:t>AstroLight-tdTom</w:t>
      </w:r>
      <w:proofErr w:type="spellEnd"/>
      <w:r w:rsidRPr="004033BA">
        <w:rPr>
          <w:b/>
          <w:color w:val="000000"/>
          <w:sz w:val="24"/>
          <w:szCs w:val="24"/>
        </w:rPr>
        <w:t>.</w:t>
      </w:r>
    </w:p>
    <w:p w14:paraId="136A4932" w14:textId="77777777" w:rsidR="001725B7" w:rsidRDefault="001725B7" w:rsidP="001725B7">
      <w:pPr>
        <w:keepNext/>
        <w:pBdr>
          <w:top w:val="nil"/>
          <w:left w:val="nil"/>
          <w:bottom w:val="nil"/>
          <w:right w:val="nil"/>
          <w:between w:val="nil"/>
        </w:pBdr>
        <w:spacing w:before="240" w:after="60" w:line="276" w:lineRule="auto"/>
        <w:jc w:val="both"/>
      </w:pPr>
      <w:r>
        <w:rPr>
          <w:noProof/>
        </w:rPr>
        <w:drawing>
          <wp:inline distT="0" distB="0" distL="0" distR="0" wp14:anchorId="72A91D3C" wp14:editId="5CD3898C">
            <wp:extent cx="5698952" cy="4667265"/>
            <wp:effectExtent l="0" t="0" r="0" b="0"/>
            <wp:docPr id="20725361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20833"/>
                    <a:stretch>
                      <a:fillRect/>
                    </a:stretch>
                  </pic:blipFill>
                  <pic:spPr>
                    <a:xfrm>
                      <a:off x="0" y="0"/>
                      <a:ext cx="5698952" cy="4667265"/>
                    </a:xfrm>
                    <a:prstGeom prst="rect">
                      <a:avLst/>
                    </a:prstGeom>
                    <a:ln/>
                  </pic:spPr>
                </pic:pic>
              </a:graphicData>
            </a:graphic>
          </wp:inline>
        </w:drawing>
      </w:r>
    </w:p>
    <w:p w14:paraId="6F86B9A2" w14:textId="77777777" w:rsidR="001725B7" w:rsidRPr="004033BA" w:rsidRDefault="001725B7" w:rsidP="001725B7">
      <w:pPr>
        <w:keepNext/>
        <w:pBdr>
          <w:top w:val="nil"/>
          <w:left w:val="nil"/>
          <w:bottom w:val="nil"/>
          <w:right w:val="nil"/>
          <w:between w:val="nil"/>
        </w:pBdr>
        <w:spacing w:before="240" w:after="60" w:line="276" w:lineRule="auto"/>
        <w:jc w:val="both"/>
        <w:rPr>
          <w:color w:val="000000"/>
          <w:sz w:val="24"/>
          <w:szCs w:val="24"/>
        </w:rPr>
      </w:pPr>
      <w:r w:rsidRPr="004033BA">
        <w:rPr>
          <w:color w:val="000000"/>
          <w:sz w:val="24"/>
          <w:szCs w:val="24"/>
        </w:rPr>
        <w:t>(</w:t>
      </w:r>
      <w:r w:rsidRPr="004033BA">
        <w:rPr>
          <w:b/>
          <w:color w:val="000000"/>
          <w:sz w:val="24"/>
          <w:szCs w:val="24"/>
        </w:rPr>
        <w:t>A</w:t>
      </w:r>
      <w:r w:rsidRPr="004033BA">
        <w:rPr>
          <w:color w:val="000000"/>
          <w:sz w:val="24"/>
          <w:szCs w:val="24"/>
        </w:rPr>
        <w:t xml:space="preserve">) Scheme of the experimental approach (left) showing </w:t>
      </w:r>
      <w:proofErr w:type="spellStart"/>
      <w:r w:rsidRPr="004033BA">
        <w:rPr>
          <w:color w:val="000000"/>
          <w:sz w:val="24"/>
          <w:szCs w:val="24"/>
        </w:rPr>
        <w:t>AstroLight</w:t>
      </w:r>
      <w:proofErr w:type="spellEnd"/>
      <w:r w:rsidRPr="004033BA">
        <w:rPr>
          <w:color w:val="000000"/>
          <w:sz w:val="24"/>
          <w:szCs w:val="24"/>
        </w:rPr>
        <w:t xml:space="preserve"> AAV astrocytic transfection and fiber photometry cannula implant in the </w:t>
      </w:r>
      <w:proofErr w:type="spellStart"/>
      <w:r w:rsidRPr="004033BA">
        <w:rPr>
          <w:color w:val="000000"/>
          <w:sz w:val="24"/>
          <w:szCs w:val="24"/>
        </w:rPr>
        <w:t>NAc</w:t>
      </w:r>
      <w:proofErr w:type="spellEnd"/>
      <w:r w:rsidRPr="004033BA">
        <w:rPr>
          <w:color w:val="000000"/>
          <w:sz w:val="24"/>
          <w:szCs w:val="24"/>
        </w:rPr>
        <w:t xml:space="preserve"> and representative confocal image (right) of </w:t>
      </w:r>
      <w:proofErr w:type="spellStart"/>
      <w:r w:rsidRPr="004033BA">
        <w:rPr>
          <w:color w:val="000000"/>
          <w:sz w:val="24"/>
          <w:szCs w:val="24"/>
        </w:rPr>
        <w:t>NAc</w:t>
      </w:r>
      <w:proofErr w:type="spellEnd"/>
      <w:r w:rsidRPr="004033BA">
        <w:rPr>
          <w:color w:val="000000"/>
          <w:sz w:val="24"/>
          <w:szCs w:val="24"/>
        </w:rPr>
        <w:t xml:space="preserve"> astrocytes expressing </w:t>
      </w:r>
      <w:proofErr w:type="spellStart"/>
      <w:r w:rsidRPr="004033BA">
        <w:rPr>
          <w:color w:val="000000"/>
          <w:sz w:val="24"/>
          <w:szCs w:val="24"/>
        </w:rPr>
        <w:t>AstroLight-tdTom</w:t>
      </w:r>
      <w:proofErr w:type="spellEnd"/>
      <w:r w:rsidRPr="004033BA">
        <w:rPr>
          <w:color w:val="000000"/>
          <w:sz w:val="24"/>
          <w:szCs w:val="24"/>
        </w:rPr>
        <w:t>. (</w:t>
      </w:r>
      <w:r w:rsidRPr="004033BA">
        <w:rPr>
          <w:b/>
          <w:color w:val="000000"/>
          <w:sz w:val="24"/>
          <w:szCs w:val="24"/>
        </w:rPr>
        <w:t>B</w:t>
      </w:r>
      <w:r w:rsidRPr="004033BA">
        <w:rPr>
          <w:color w:val="000000"/>
          <w:sz w:val="24"/>
          <w:szCs w:val="24"/>
        </w:rPr>
        <w:t xml:space="preserve">) </w:t>
      </w:r>
      <w:proofErr w:type="spellStart"/>
      <w:r w:rsidRPr="004033BA">
        <w:rPr>
          <w:color w:val="000000"/>
          <w:sz w:val="24"/>
          <w:szCs w:val="24"/>
        </w:rPr>
        <w:t>tdTom</w:t>
      </w:r>
      <w:proofErr w:type="spellEnd"/>
      <w:r w:rsidRPr="004033BA">
        <w:rPr>
          <w:color w:val="000000"/>
          <w:sz w:val="24"/>
          <w:szCs w:val="24"/>
        </w:rPr>
        <w:t xml:space="preserve"> fluorescence (</w:t>
      </w:r>
      <w:proofErr w:type="spellStart"/>
      <w:r w:rsidRPr="004033BA">
        <w:rPr>
          <w:color w:val="000000"/>
          <w:sz w:val="24"/>
          <w:szCs w:val="24"/>
        </w:rPr>
        <w:t>a.u</w:t>
      </w:r>
      <w:proofErr w:type="spellEnd"/>
      <w:r w:rsidRPr="004033BA">
        <w:rPr>
          <w:color w:val="000000"/>
          <w:sz w:val="24"/>
          <w:szCs w:val="24"/>
        </w:rPr>
        <w:t xml:space="preserve">.) was quantified at the virus injection site for control group (0.45 ± 0.1 </w:t>
      </w:r>
      <w:proofErr w:type="spellStart"/>
      <w:r w:rsidRPr="004033BA">
        <w:rPr>
          <w:color w:val="000000"/>
          <w:sz w:val="24"/>
          <w:szCs w:val="24"/>
        </w:rPr>
        <w:t>a.u</w:t>
      </w:r>
      <w:proofErr w:type="spellEnd"/>
      <w:r w:rsidRPr="004033BA">
        <w:rPr>
          <w:color w:val="000000"/>
          <w:sz w:val="24"/>
          <w:szCs w:val="24"/>
        </w:rPr>
        <w:t xml:space="preserve">.; 10 mice), reward group (0.72 ± 0.13 </w:t>
      </w:r>
      <w:proofErr w:type="spellStart"/>
      <w:r w:rsidRPr="004033BA">
        <w:rPr>
          <w:color w:val="000000"/>
          <w:sz w:val="24"/>
          <w:szCs w:val="24"/>
        </w:rPr>
        <w:t>a.u</w:t>
      </w:r>
      <w:proofErr w:type="spellEnd"/>
      <w:r w:rsidRPr="004033BA">
        <w:rPr>
          <w:color w:val="000000"/>
          <w:sz w:val="24"/>
          <w:szCs w:val="24"/>
        </w:rPr>
        <w:t xml:space="preserve">.; 9 mice) and no-reward group (0.86 ± 0.14 </w:t>
      </w:r>
      <w:proofErr w:type="spellStart"/>
      <w:r w:rsidRPr="004033BA">
        <w:rPr>
          <w:color w:val="000000"/>
          <w:sz w:val="24"/>
          <w:szCs w:val="24"/>
        </w:rPr>
        <w:t>a.u</w:t>
      </w:r>
      <w:proofErr w:type="spellEnd"/>
      <w:r w:rsidRPr="004033BA">
        <w:rPr>
          <w:color w:val="000000"/>
          <w:sz w:val="24"/>
          <w:szCs w:val="24"/>
        </w:rPr>
        <w:t>.; 6 mice). One-way ANOVA (p = 0.08). (</w:t>
      </w:r>
      <w:r w:rsidRPr="004033BA">
        <w:rPr>
          <w:b/>
          <w:color w:val="000000"/>
          <w:sz w:val="24"/>
          <w:szCs w:val="24"/>
        </w:rPr>
        <w:t>C</w:t>
      </w:r>
      <w:r w:rsidRPr="004033BA">
        <w:rPr>
          <w:color w:val="000000"/>
          <w:sz w:val="24"/>
          <w:szCs w:val="24"/>
        </w:rPr>
        <w:t xml:space="preserve">) For the control group, three-dimensional heat map gradient (left) showing the </w:t>
      </w:r>
      <w:proofErr w:type="spellStart"/>
      <w:r w:rsidRPr="004033BA">
        <w:rPr>
          <w:color w:val="000000"/>
          <w:sz w:val="24"/>
          <w:szCs w:val="24"/>
        </w:rPr>
        <w:t>AstroLight-tdTom</w:t>
      </w:r>
      <w:proofErr w:type="spellEnd"/>
      <w:r w:rsidRPr="004033BA">
        <w:rPr>
          <w:color w:val="000000"/>
          <w:sz w:val="24"/>
          <w:szCs w:val="24"/>
        </w:rPr>
        <w:t xml:space="preserve"> homogeneous dispersion in the </w:t>
      </w:r>
      <w:proofErr w:type="spellStart"/>
      <w:r w:rsidRPr="004033BA">
        <w:rPr>
          <w:color w:val="000000"/>
          <w:sz w:val="24"/>
          <w:szCs w:val="24"/>
        </w:rPr>
        <w:t>NAc</w:t>
      </w:r>
      <w:proofErr w:type="spellEnd"/>
      <w:r w:rsidRPr="004033BA">
        <w:rPr>
          <w:color w:val="000000"/>
          <w:sz w:val="24"/>
          <w:szCs w:val="24"/>
        </w:rPr>
        <w:t xml:space="preserve"> expressed as the </w:t>
      </w:r>
      <w:proofErr w:type="spellStart"/>
      <w:r w:rsidRPr="004033BA">
        <w:rPr>
          <w:color w:val="000000"/>
          <w:sz w:val="24"/>
          <w:szCs w:val="24"/>
        </w:rPr>
        <w:t>tdTom</w:t>
      </w:r>
      <w:proofErr w:type="spellEnd"/>
      <w:r w:rsidRPr="004033BA">
        <w:rPr>
          <w:color w:val="000000"/>
          <w:sz w:val="24"/>
          <w:szCs w:val="24"/>
        </w:rPr>
        <w:t xml:space="preserve">-positive % spatial probability and quantification (right) of the average % </w:t>
      </w:r>
      <w:proofErr w:type="spellStart"/>
      <w:r w:rsidRPr="004033BA">
        <w:rPr>
          <w:color w:val="000000"/>
          <w:sz w:val="24"/>
          <w:szCs w:val="24"/>
        </w:rPr>
        <w:t>tdTom</w:t>
      </w:r>
      <w:proofErr w:type="spellEnd"/>
      <w:r w:rsidRPr="004033BA">
        <w:rPr>
          <w:color w:val="000000"/>
          <w:sz w:val="24"/>
          <w:szCs w:val="24"/>
        </w:rPr>
        <w:t xml:space="preserve">-positive cells across the medial-lateral (M-L; medial, 56.34 ± 5.84 %; lateral, 43.63 ± 5.85 %; p = 0.29), dorsal-ventral (D-V; dorsal, 47.49 ± 2.7 %; ventral, 52.3 ± 2.67 %; p = 0.59) and anterior-posterior (A-P; anterior, 38.45 ± 3.89 %; posterior, 61.3 ± 3.98 %; p = 0.04) axes. Note that while we observed increased </w:t>
      </w:r>
      <w:proofErr w:type="spellStart"/>
      <w:r w:rsidRPr="004033BA">
        <w:rPr>
          <w:color w:val="000000"/>
          <w:sz w:val="24"/>
          <w:szCs w:val="24"/>
        </w:rPr>
        <w:t>tdTom</w:t>
      </w:r>
      <w:proofErr w:type="spellEnd"/>
      <w:r w:rsidRPr="004033BA">
        <w:rPr>
          <w:color w:val="000000"/>
          <w:sz w:val="24"/>
          <w:szCs w:val="24"/>
        </w:rPr>
        <w:t xml:space="preserve"> expression in the posterior region of the </w:t>
      </w:r>
      <w:proofErr w:type="spellStart"/>
      <w:r w:rsidRPr="004033BA">
        <w:rPr>
          <w:color w:val="000000"/>
          <w:sz w:val="24"/>
          <w:szCs w:val="24"/>
        </w:rPr>
        <w:t>NAc</w:t>
      </w:r>
      <w:proofErr w:type="spellEnd"/>
      <w:r w:rsidRPr="004033BA">
        <w:rPr>
          <w:color w:val="000000"/>
          <w:sz w:val="24"/>
          <w:szCs w:val="24"/>
        </w:rPr>
        <w:t>, this gradient is not reflected in the YFP/</w:t>
      </w:r>
      <w:proofErr w:type="spellStart"/>
      <w:r w:rsidRPr="004033BA">
        <w:rPr>
          <w:color w:val="000000"/>
          <w:sz w:val="24"/>
          <w:szCs w:val="24"/>
        </w:rPr>
        <w:t>tdTom</w:t>
      </w:r>
      <w:proofErr w:type="spellEnd"/>
      <w:r w:rsidRPr="004033BA">
        <w:rPr>
          <w:color w:val="000000"/>
          <w:sz w:val="24"/>
          <w:szCs w:val="24"/>
        </w:rPr>
        <w:t xml:space="preserve"> ratio measurements due to a lack of increased ChR2 expression in this region (Fig. 3C and S3A). (</w:t>
      </w:r>
      <w:r w:rsidRPr="004033BA">
        <w:rPr>
          <w:b/>
          <w:color w:val="000000"/>
          <w:sz w:val="24"/>
          <w:szCs w:val="24"/>
        </w:rPr>
        <w:t>D</w:t>
      </w:r>
      <w:r w:rsidRPr="004033BA">
        <w:rPr>
          <w:color w:val="000000"/>
          <w:sz w:val="24"/>
          <w:szCs w:val="24"/>
        </w:rPr>
        <w:t xml:space="preserve">) For the reward group, three-dimensional heat map gradient (left) and average % </w:t>
      </w:r>
      <w:proofErr w:type="spellStart"/>
      <w:r w:rsidRPr="004033BA">
        <w:rPr>
          <w:color w:val="000000"/>
          <w:sz w:val="24"/>
          <w:szCs w:val="24"/>
        </w:rPr>
        <w:t>tdTom</w:t>
      </w:r>
      <w:proofErr w:type="spellEnd"/>
      <w:r w:rsidRPr="004033BA">
        <w:rPr>
          <w:color w:val="000000"/>
          <w:sz w:val="24"/>
          <w:szCs w:val="24"/>
        </w:rPr>
        <w:t xml:space="preserve">-positive cells across the M-L (medial, 54.41 ± 5.08 %; lateral, 45.57 ± 5.06 %; p = 0.46), D-V (dorsal, 41.16 ± 3.51 %; ventral, 58.84 ± 3.51 %; p = 0.09) and A-P </w:t>
      </w:r>
      <w:r w:rsidRPr="004033BA">
        <w:rPr>
          <w:color w:val="000000"/>
          <w:sz w:val="24"/>
          <w:szCs w:val="24"/>
        </w:rPr>
        <w:lastRenderedPageBreak/>
        <w:t>(anterior, 46.75 ± 2.7 %; posterior, 53.25 ± 2.7 %; p = 0.46) axes. (</w:t>
      </w:r>
      <w:r w:rsidRPr="004033BA">
        <w:rPr>
          <w:b/>
          <w:color w:val="000000"/>
          <w:sz w:val="24"/>
          <w:szCs w:val="24"/>
        </w:rPr>
        <w:t>E</w:t>
      </w:r>
      <w:r w:rsidRPr="004033BA">
        <w:rPr>
          <w:color w:val="000000"/>
          <w:sz w:val="24"/>
          <w:szCs w:val="24"/>
        </w:rPr>
        <w:t xml:space="preserve">) For the no-reward group, three-dimensional heat map gradient (left) and average % </w:t>
      </w:r>
      <w:proofErr w:type="spellStart"/>
      <w:r w:rsidRPr="004033BA">
        <w:rPr>
          <w:color w:val="000000"/>
          <w:sz w:val="24"/>
          <w:szCs w:val="24"/>
        </w:rPr>
        <w:t>tdTom</w:t>
      </w:r>
      <w:proofErr w:type="spellEnd"/>
      <w:r w:rsidRPr="004033BA">
        <w:rPr>
          <w:color w:val="000000"/>
          <w:sz w:val="24"/>
          <w:szCs w:val="24"/>
        </w:rPr>
        <w:t>-positive cells across the M-L (medial, 44.24 ± 4.58 %; lateral, 55.44 ± 4.59 %; p = 0.26), D-V (dorsal, 40.59 ± 2.6 %; ventral, 59.23 ± 2.61 %; p = 0.06) and A-P (anterior, 48.05 ± 3.46 %; posterior, 51.6 ± 3.25 %; p = 0.63) axes. Two-way ANOVA, Holm-</w:t>
      </w:r>
      <w:proofErr w:type="spellStart"/>
      <w:r w:rsidRPr="004033BA">
        <w:rPr>
          <w:color w:val="000000"/>
          <w:sz w:val="24"/>
          <w:szCs w:val="24"/>
        </w:rPr>
        <w:t>Sidak</w:t>
      </w:r>
      <w:proofErr w:type="spellEnd"/>
      <w:r w:rsidRPr="004033BA">
        <w:rPr>
          <w:color w:val="000000"/>
          <w:sz w:val="24"/>
          <w:szCs w:val="24"/>
        </w:rPr>
        <w:t xml:space="preserve"> test for multiple comparisons, *: p &lt; 0.05; all error bars express SEM.</w:t>
      </w:r>
    </w:p>
    <w:p w14:paraId="1E8C7E14" w14:textId="77777777" w:rsidR="001725B7" w:rsidRDefault="001725B7" w:rsidP="001725B7">
      <w:pPr>
        <w:keepNext/>
        <w:pBdr>
          <w:top w:val="nil"/>
          <w:left w:val="nil"/>
          <w:bottom w:val="nil"/>
          <w:right w:val="nil"/>
          <w:between w:val="nil"/>
        </w:pBdr>
        <w:spacing w:before="240" w:after="60" w:line="276" w:lineRule="auto"/>
        <w:jc w:val="both"/>
        <w:rPr>
          <w:color w:val="000000"/>
          <w:sz w:val="24"/>
          <w:szCs w:val="24"/>
        </w:rPr>
      </w:pPr>
    </w:p>
    <w:p w14:paraId="0ECD936B" w14:textId="77777777" w:rsidR="001725B7" w:rsidRDefault="001725B7" w:rsidP="001725B7">
      <w:pPr>
        <w:pBdr>
          <w:top w:val="nil"/>
          <w:left w:val="nil"/>
          <w:bottom w:val="nil"/>
          <w:right w:val="nil"/>
          <w:between w:val="nil"/>
        </w:pBdr>
        <w:spacing w:line="276" w:lineRule="auto"/>
        <w:jc w:val="both"/>
        <w:rPr>
          <w:color w:val="000000"/>
          <w:sz w:val="24"/>
          <w:szCs w:val="24"/>
        </w:rPr>
      </w:pPr>
      <w:r>
        <w:br w:type="page"/>
      </w:r>
    </w:p>
    <w:p w14:paraId="7F9D34A7" w14:textId="77777777" w:rsidR="001725B7" w:rsidRPr="004033BA" w:rsidRDefault="001725B7" w:rsidP="001725B7">
      <w:pPr>
        <w:pBdr>
          <w:top w:val="nil"/>
          <w:left w:val="nil"/>
          <w:bottom w:val="nil"/>
          <w:right w:val="nil"/>
          <w:between w:val="nil"/>
        </w:pBdr>
        <w:spacing w:line="276" w:lineRule="auto"/>
        <w:jc w:val="both"/>
        <w:rPr>
          <w:color w:val="000000"/>
          <w:sz w:val="24"/>
          <w:szCs w:val="24"/>
        </w:rPr>
      </w:pPr>
      <w:r w:rsidRPr="004033BA">
        <w:rPr>
          <w:b/>
          <w:color w:val="000000"/>
          <w:sz w:val="24"/>
          <w:szCs w:val="24"/>
        </w:rPr>
        <w:lastRenderedPageBreak/>
        <w:t xml:space="preserve">Fig. S6. </w:t>
      </w:r>
      <w:r w:rsidRPr="004033BA">
        <w:rPr>
          <w:b/>
          <w:i/>
          <w:color w:val="000000"/>
          <w:sz w:val="24"/>
          <w:szCs w:val="24"/>
        </w:rPr>
        <w:t>Ex vivo</w:t>
      </w:r>
      <w:r w:rsidRPr="004033BA">
        <w:rPr>
          <w:b/>
          <w:color w:val="000000"/>
          <w:sz w:val="24"/>
          <w:szCs w:val="24"/>
        </w:rPr>
        <w:t xml:space="preserve"> analysis of functionality of </w:t>
      </w:r>
      <w:proofErr w:type="spellStart"/>
      <w:r w:rsidRPr="004033BA">
        <w:rPr>
          <w:b/>
          <w:color w:val="000000"/>
          <w:sz w:val="24"/>
          <w:szCs w:val="24"/>
        </w:rPr>
        <w:t>AstroLight</w:t>
      </w:r>
      <w:proofErr w:type="spellEnd"/>
      <w:r w:rsidRPr="004033BA">
        <w:rPr>
          <w:b/>
          <w:color w:val="000000"/>
          <w:sz w:val="24"/>
          <w:szCs w:val="24"/>
        </w:rPr>
        <w:t>-derived ChR2.</w:t>
      </w:r>
    </w:p>
    <w:p w14:paraId="4CF9E121" w14:textId="77777777" w:rsidR="001725B7" w:rsidRDefault="001725B7" w:rsidP="001725B7">
      <w:pPr>
        <w:keepNext/>
        <w:pBdr>
          <w:top w:val="nil"/>
          <w:left w:val="nil"/>
          <w:bottom w:val="nil"/>
          <w:right w:val="nil"/>
          <w:between w:val="nil"/>
        </w:pBdr>
        <w:spacing w:before="240" w:after="60" w:line="276" w:lineRule="auto"/>
        <w:jc w:val="center"/>
      </w:pPr>
      <w:r>
        <w:rPr>
          <w:noProof/>
        </w:rPr>
        <w:drawing>
          <wp:inline distT="0" distB="0" distL="0" distR="0" wp14:anchorId="3A50985A" wp14:editId="40F17C07">
            <wp:extent cx="5610225" cy="2267466"/>
            <wp:effectExtent l="0" t="0" r="0" b="0"/>
            <wp:docPr id="20725361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610225" cy="2267466"/>
                    </a:xfrm>
                    <a:prstGeom prst="rect">
                      <a:avLst/>
                    </a:prstGeom>
                    <a:ln/>
                  </pic:spPr>
                </pic:pic>
              </a:graphicData>
            </a:graphic>
          </wp:inline>
        </w:drawing>
      </w:r>
    </w:p>
    <w:p w14:paraId="293E8F93" w14:textId="77777777" w:rsidR="001725B7" w:rsidRDefault="001725B7" w:rsidP="001725B7">
      <w:pPr>
        <w:pBdr>
          <w:top w:val="nil"/>
          <w:left w:val="nil"/>
          <w:bottom w:val="nil"/>
          <w:right w:val="nil"/>
          <w:between w:val="nil"/>
        </w:pBdr>
        <w:spacing w:line="276" w:lineRule="auto"/>
        <w:jc w:val="both"/>
        <w:rPr>
          <w:color w:val="000000"/>
          <w:sz w:val="24"/>
          <w:szCs w:val="24"/>
        </w:rPr>
      </w:pPr>
    </w:p>
    <w:p w14:paraId="6016B30C" w14:textId="77777777" w:rsidR="001725B7" w:rsidRPr="004033BA" w:rsidRDefault="001725B7" w:rsidP="001725B7">
      <w:pPr>
        <w:pBdr>
          <w:top w:val="nil"/>
          <w:left w:val="nil"/>
          <w:bottom w:val="nil"/>
          <w:right w:val="nil"/>
          <w:between w:val="nil"/>
        </w:pBdr>
        <w:spacing w:before="240" w:line="276" w:lineRule="auto"/>
        <w:jc w:val="both"/>
        <w:rPr>
          <w:sz w:val="24"/>
          <w:szCs w:val="24"/>
        </w:rPr>
      </w:pPr>
      <w:r w:rsidRPr="004033BA">
        <w:rPr>
          <w:color w:val="000000"/>
          <w:sz w:val="24"/>
          <w:szCs w:val="24"/>
        </w:rPr>
        <w:t xml:space="preserve">Left, representative traces of </w:t>
      </w:r>
      <w:proofErr w:type="spellStart"/>
      <w:r w:rsidRPr="004033BA">
        <w:rPr>
          <w:color w:val="000000"/>
          <w:sz w:val="24"/>
          <w:szCs w:val="24"/>
        </w:rPr>
        <w:t>NAc</w:t>
      </w:r>
      <w:proofErr w:type="spellEnd"/>
      <w:r w:rsidRPr="004033BA">
        <w:rPr>
          <w:color w:val="000000"/>
          <w:sz w:val="24"/>
          <w:szCs w:val="24"/>
        </w:rPr>
        <w:t xml:space="preserve"> neuronal patch-clamp recordings before and after </w:t>
      </w:r>
      <w:proofErr w:type="spellStart"/>
      <w:r w:rsidRPr="004033BA">
        <w:rPr>
          <w:color w:val="000000"/>
          <w:sz w:val="24"/>
          <w:szCs w:val="24"/>
        </w:rPr>
        <w:t>optostimulation</w:t>
      </w:r>
      <w:proofErr w:type="spellEnd"/>
      <w:r w:rsidRPr="004033BA">
        <w:rPr>
          <w:color w:val="000000"/>
          <w:sz w:val="24"/>
          <w:szCs w:val="24"/>
        </w:rPr>
        <w:t xml:space="preserve"> of ChR2 in a subset of mice labeled during the operant conditioning behavioral approach. * indicates the presence of slow inward currents (SICs) induced by direct glutamate release from astrocytes. Right, quantification of SIC frequency (min</w:t>
      </w:r>
      <w:r w:rsidRPr="004033BA">
        <w:rPr>
          <w:color w:val="000000"/>
          <w:sz w:val="24"/>
          <w:szCs w:val="24"/>
          <w:vertAlign w:val="superscript"/>
        </w:rPr>
        <w:t>-1</w:t>
      </w:r>
      <w:r w:rsidRPr="004033BA">
        <w:rPr>
          <w:color w:val="000000"/>
          <w:sz w:val="24"/>
          <w:szCs w:val="24"/>
        </w:rPr>
        <w:t>) before (2.93 ± 0.37 min</w:t>
      </w:r>
      <w:r w:rsidRPr="004033BA">
        <w:rPr>
          <w:color w:val="000000"/>
          <w:sz w:val="24"/>
          <w:szCs w:val="24"/>
          <w:vertAlign w:val="superscript"/>
        </w:rPr>
        <w:t>-1</w:t>
      </w:r>
      <w:r w:rsidRPr="004033BA">
        <w:rPr>
          <w:color w:val="000000"/>
          <w:sz w:val="24"/>
          <w:szCs w:val="24"/>
        </w:rPr>
        <w:t>) and after (4.15 ± 0.38 min</w:t>
      </w:r>
      <w:r w:rsidRPr="004033BA">
        <w:rPr>
          <w:color w:val="000000"/>
          <w:sz w:val="24"/>
          <w:szCs w:val="24"/>
          <w:vertAlign w:val="superscript"/>
        </w:rPr>
        <w:t>-1</w:t>
      </w:r>
      <w:r w:rsidRPr="004033BA">
        <w:rPr>
          <w:color w:val="000000"/>
          <w:sz w:val="24"/>
          <w:szCs w:val="24"/>
        </w:rPr>
        <w:t xml:space="preserve">) astrocyte-ChR2 </w:t>
      </w:r>
      <w:proofErr w:type="spellStart"/>
      <w:r w:rsidRPr="004033BA">
        <w:rPr>
          <w:color w:val="000000"/>
          <w:sz w:val="24"/>
          <w:szCs w:val="24"/>
        </w:rPr>
        <w:t>optostimulation</w:t>
      </w:r>
      <w:proofErr w:type="spellEnd"/>
      <w:r w:rsidRPr="004033BA">
        <w:rPr>
          <w:color w:val="000000"/>
          <w:sz w:val="24"/>
          <w:szCs w:val="24"/>
        </w:rPr>
        <w:t xml:space="preserve"> (p = 0.01; n = 9 cells, 2 mice). Two-tailed paired </w:t>
      </w:r>
      <w:r w:rsidRPr="004033BA">
        <w:rPr>
          <w:i/>
          <w:color w:val="000000"/>
          <w:sz w:val="24"/>
          <w:szCs w:val="24"/>
        </w:rPr>
        <w:t>t</w:t>
      </w:r>
      <w:r w:rsidRPr="004033BA">
        <w:rPr>
          <w:color w:val="000000"/>
          <w:sz w:val="24"/>
          <w:szCs w:val="24"/>
        </w:rPr>
        <w:t>-test, *: p &lt; 0.05; all error bars express SEM.</w:t>
      </w:r>
    </w:p>
    <w:p w14:paraId="61DFB97C" w14:textId="77777777" w:rsidR="001725B7" w:rsidRDefault="001725B7" w:rsidP="001725B7">
      <w:pPr>
        <w:pBdr>
          <w:top w:val="nil"/>
          <w:left w:val="nil"/>
          <w:bottom w:val="nil"/>
          <w:right w:val="nil"/>
          <w:between w:val="nil"/>
        </w:pBdr>
        <w:spacing w:line="276" w:lineRule="auto"/>
        <w:jc w:val="both"/>
        <w:rPr>
          <w:color w:val="000000"/>
          <w:sz w:val="24"/>
          <w:szCs w:val="24"/>
        </w:rPr>
      </w:pPr>
      <w:r>
        <w:br w:type="page"/>
      </w:r>
    </w:p>
    <w:p w14:paraId="5EDBB9FD" w14:textId="77777777" w:rsidR="001725B7" w:rsidRPr="004033BA" w:rsidRDefault="001725B7" w:rsidP="001725B7">
      <w:pPr>
        <w:pBdr>
          <w:top w:val="nil"/>
          <w:left w:val="nil"/>
          <w:bottom w:val="nil"/>
          <w:right w:val="nil"/>
          <w:between w:val="nil"/>
        </w:pBdr>
        <w:spacing w:before="240" w:line="276" w:lineRule="auto"/>
        <w:jc w:val="both"/>
        <w:rPr>
          <w:color w:val="000000"/>
          <w:sz w:val="24"/>
          <w:szCs w:val="24"/>
        </w:rPr>
      </w:pPr>
      <w:r w:rsidRPr="004033BA">
        <w:rPr>
          <w:b/>
          <w:color w:val="000000"/>
          <w:sz w:val="24"/>
          <w:szCs w:val="24"/>
        </w:rPr>
        <w:lastRenderedPageBreak/>
        <w:t>Fig. S7. AAV-transfection levels and three-dimensional dispersion map of GFAP-ChR2.</w:t>
      </w:r>
    </w:p>
    <w:p w14:paraId="2E7B06FD" w14:textId="77777777" w:rsidR="001725B7" w:rsidRDefault="001725B7" w:rsidP="001725B7">
      <w:pPr>
        <w:keepNext/>
        <w:pBdr>
          <w:top w:val="nil"/>
          <w:left w:val="nil"/>
          <w:bottom w:val="nil"/>
          <w:right w:val="nil"/>
          <w:between w:val="nil"/>
        </w:pBdr>
        <w:spacing w:before="240" w:after="60" w:line="276" w:lineRule="auto"/>
        <w:jc w:val="both"/>
      </w:pPr>
      <w:r>
        <w:rPr>
          <w:noProof/>
        </w:rPr>
        <w:drawing>
          <wp:inline distT="0" distB="0" distL="0" distR="0" wp14:anchorId="0B2FEF63" wp14:editId="48FF7072">
            <wp:extent cx="5857875" cy="2526208"/>
            <wp:effectExtent l="0" t="0" r="0" b="0"/>
            <wp:docPr id="20725361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857875" cy="2526208"/>
                    </a:xfrm>
                    <a:prstGeom prst="rect">
                      <a:avLst/>
                    </a:prstGeom>
                    <a:ln/>
                  </pic:spPr>
                </pic:pic>
              </a:graphicData>
            </a:graphic>
          </wp:inline>
        </w:drawing>
      </w:r>
    </w:p>
    <w:p w14:paraId="40C7D6DA" w14:textId="77777777" w:rsidR="001725B7" w:rsidRPr="004033BA" w:rsidRDefault="001725B7" w:rsidP="001725B7">
      <w:pPr>
        <w:keepNext/>
        <w:pBdr>
          <w:top w:val="nil"/>
          <w:left w:val="nil"/>
          <w:bottom w:val="nil"/>
          <w:right w:val="nil"/>
          <w:between w:val="nil"/>
        </w:pBdr>
        <w:spacing w:before="240" w:after="60" w:line="276" w:lineRule="auto"/>
        <w:jc w:val="both"/>
        <w:rPr>
          <w:color w:val="000000"/>
          <w:sz w:val="24"/>
          <w:szCs w:val="24"/>
        </w:rPr>
      </w:pPr>
      <w:bookmarkStart w:id="0" w:name="_heading=h.1fob9te" w:colFirst="0" w:colLast="0"/>
      <w:bookmarkEnd w:id="0"/>
      <w:r w:rsidRPr="004033BA">
        <w:rPr>
          <w:color w:val="000000"/>
          <w:sz w:val="24"/>
          <w:szCs w:val="24"/>
        </w:rPr>
        <w:t>(</w:t>
      </w:r>
      <w:r w:rsidRPr="004033BA">
        <w:rPr>
          <w:b/>
          <w:color w:val="000000"/>
          <w:sz w:val="24"/>
          <w:szCs w:val="24"/>
        </w:rPr>
        <w:t>A</w:t>
      </w:r>
      <w:r w:rsidRPr="004033BA">
        <w:rPr>
          <w:color w:val="000000"/>
          <w:sz w:val="24"/>
          <w:szCs w:val="24"/>
        </w:rPr>
        <w:t>) Scheme of the experimental approach (left) showing AAV5-GFAP-hChR2(H134R)-</w:t>
      </w:r>
      <w:proofErr w:type="spellStart"/>
      <w:r w:rsidRPr="004033BA">
        <w:rPr>
          <w:color w:val="000000"/>
          <w:sz w:val="24"/>
          <w:szCs w:val="24"/>
        </w:rPr>
        <w:t>mCherry</w:t>
      </w:r>
      <w:proofErr w:type="spellEnd"/>
      <w:r w:rsidRPr="004033BA">
        <w:rPr>
          <w:color w:val="000000"/>
          <w:sz w:val="24"/>
          <w:szCs w:val="24"/>
        </w:rPr>
        <w:t xml:space="preserve"> astrocytic transfection and fiber photometry cannula implantation in the </w:t>
      </w:r>
      <w:proofErr w:type="spellStart"/>
      <w:r w:rsidRPr="004033BA">
        <w:rPr>
          <w:color w:val="000000"/>
          <w:sz w:val="24"/>
          <w:szCs w:val="24"/>
        </w:rPr>
        <w:t>NAc</w:t>
      </w:r>
      <w:proofErr w:type="spellEnd"/>
      <w:r w:rsidRPr="004033BA">
        <w:rPr>
          <w:color w:val="000000"/>
          <w:sz w:val="24"/>
          <w:szCs w:val="24"/>
        </w:rPr>
        <w:t xml:space="preserve"> and representative confocal image (right) of </w:t>
      </w:r>
      <w:proofErr w:type="spellStart"/>
      <w:r w:rsidRPr="004033BA">
        <w:rPr>
          <w:color w:val="000000"/>
          <w:sz w:val="24"/>
          <w:szCs w:val="24"/>
        </w:rPr>
        <w:t>NAc</w:t>
      </w:r>
      <w:proofErr w:type="spellEnd"/>
      <w:r w:rsidRPr="004033BA">
        <w:rPr>
          <w:color w:val="000000"/>
          <w:sz w:val="24"/>
          <w:szCs w:val="24"/>
        </w:rPr>
        <w:t xml:space="preserve"> astrocytes expressing GFAP-ChR2-mCherry. (</w:t>
      </w:r>
      <w:r w:rsidRPr="004033BA">
        <w:rPr>
          <w:b/>
          <w:color w:val="000000"/>
          <w:sz w:val="24"/>
          <w:szCs w:val="24"/>
        </w:rPr>
        <w:t>B</w:t>
      </w:r>
      <w:r w:rsidRPr="004033BA">
        <w:rPr>
          <w:color w:val="000000"/>
          <w:sz w:val="24"/>
          <w:szCs w:val="24"/>
        </w:rPr>
        <w:t>) Fluorescence (</w:t>
      </w:r>
      <w:proofErr w:type="spellStart"/>
      <w:r w:rsidRPr="004033BA">
        <w:rPr>
          <w:color w:val="000000"/>
          <w:sz w:val="24"/>
          <w:szCs w:val="24"/>
        </w:rPr>
        <w:t>a.u</w:t>
      </w:r>
      <w:proofErr w:type="spellEnd"/>
      <w:r w:rsidRPr="004033BA">
        <w:rPr>
          <w:color w:val="000000"/>
          <w:sz w:val="24"/>
          <w:szCs w:val="24"/>
        </w:rPr>
        <w:t xml:space="preserve">.) quantified at the virus injection site (0.35 ± 0.02 </w:t>
      </w:r>
      <w:proofErr w:type="spellStart"/>
      <w:r w:rsidRPr="004033BA">
        <w:rPr>
          <w:color w:val="000000"/>
          <w:sz w:val="24"/>
          <w:szCs w:val="24"/>
        </w:rPr>
        <w:t>a.u</w:t>
      </w:r>
      <w:proofErr w:type="spellEnd"/>
      <w:r w:rsidRPr="004033BA">
        <w:rPr>
          <w:color w:val="000000"/>
          <w:sz w:val="24"/>
          <w:szCs w:val="24"/>
        </w:rPr>
        <w:t>.; 7 mice). (</w:t>
      </w:r>
      <w:r w:rsidRPr="004033BA">
        <w:rPr>
          <w:b/>
          <w:color w:val="000000"/>
          <w:sz w:val="24"/>
          <w:szCs w:val="24"/>
        </w:rPr>
        <w:t>C</w:t>
      </w:r>
      <w:r w:rsidRPr="004033BA">
        <w:rPr>
          <w:color w:val="000000"/>
          <w:sz w:val="24"/>
          <w:szCs w:val="24"/>
        </w:rPr>
        <w:t xml:space="preserve">) Three-dimensional heat map gradient (left) showing the GFAP-ChR2-mCherry homogeneous dispersion in the </w:t>
      </w:r>
      <w:proofErr w:type="spellStart"/>
      <w:r w:rsidRPr="004033BA">
        <w:rPr>
          <w:color w:val="000000"/>
          <w:sz w:val="24"/>
          <w:szCs w:val="24"/>
        </w:rPr>
        <w:t>NAc</w:t>
      </w:r>
      <w:proofErr w:type="spellEnd"/>
      <w:r w:rsidRPr="004033BA">
        <w:rPr>
          <w:color w:val="000000"/>
          <w:sz w:val="24"/>
          <w:szCs w:val="24"/>
        </w:rPr>
        <w:t xml:space="preserve"> expressed as the </w:t>
      </w:r>
      <w:proofErr w:type="spellStart"/>
      <w:r w:rsidRPr="004033BA">
        <w:rPr>
          <w:color w:val="000000"/>
          <w:sz w:val="24"/>
          <w:szCs w:val="24"/>
        </w:rPr>
        <w:t>mCherry</w:t>
      </w:r>
      <w:proofErr w:type="spellEnd"/>
      <w:r w:rsidRPr="004033BA">
        <w:rPr>
          <w:color w:val="000000"/>
          <w:sz w:val="24"/>
          <w:szCs w:val="24"/>
        </w:rPr>
        <w:t xml:space="preserve">-positive % spatial probability and quantification (right) of the average % </w:t>
      </w:r>
      <w:proofErr w:type="spellStart"/>
      <w:r w:rsidRPr="004033BA">
        <w:rPr>
          <w:color w:val="000000"/>
          <w:sz w:val="24"/>
          <w:szCs w:val="24"/>
        </w:rPr>
        <w:t>mCherry</w:t>
      </w:r>
      <w:proofErr w:type="spellEnd"/>
      <w:r w:rsidRPr="004033BA">
        <w:rPr>
          <w:color w:val="000000"/>
          <w:sz w:val="24"/>
          <w:szCs w:val="24"/>
        </w:rPr>
        <w:t xml:space="preserve"> across the medial-lateral (M-L; medial, 40.97 ± 5.42 %; lateral, 59.03 ± 5.42 %; p = 0.17), dorsal-ventral (D-V; dorsal, 41.61 ± 3.79 %; ventral, 62.01 ± 4.46 %; p = 0.16) and anterior-posterior (A-P; anterior, 55.63 ± 6.67 %; posterior, 47.99 ± 5.33 %; p = 0.46) axes. Two-way ANOVA, Holm-</w:t>
      </w:r>
      <w:proofErr w:type="spellStart"/>
      <w:r w:rsidRPr="004033BA">
        <w:rPr>
          <w:color w:val="000000"/>
          <w:sz w:val="24"/>
          <w:szCs w:val="24"/>
        </w:rPr>
        <w:t>Sidak</w:t>
      </w:r>
      <w:proofErr w:type="spellEnd"/>
      <w:r w:rsidRPr="004033BA">
        <w:rPr>
          <w:color w:val="000000"/>
          <w:sz w:val="24"/>
          <w:szCs w:val="24"/>
        </w:rPr>
        <w:t xml:space="preserve"> test for multiple comparisons; all error bars express SEM.</w:t>
      </w:r>
    </w:p>
    <w:p w14:paraId="4D8A32D9" w14:textId="77777777" w:rsidR="001725B7" w:rsidRDefault="001725B7" w:rsidP="001725B7">
      <w:pPr>
        <w:pBdr>
          <w:top w:val="nil"/>
          <w:left w:val="nil"/>
          <w:bottom w:val="nil"/>
          <w:right w:val="nil"/>
          <w:between w:val="nil"/>
        </w:pBdr>
        <w:spacing w:line="276" w:lineRule="auto"/>
        <w:jc w:val="both"/>
        <w:rPr>
          <w:color w:val="000000"/>
          <w:sz w:val="24"/>
          <w:szCs w:val="24"/>
        </w:rPr>
      </w:pPr>
    </w:p>
    <w:p w14:paraId="49CD9DE0" w14:textId="77777777" w:rsidR="001725B7" w:rsidRDefault="001725B7" w:rsidP="001725B7">
      <w:pPr>
        <w:keepNext/>
        <w:pBdr>
          <w:top w:val="nil"/>
          <w:left w:val="nil"/>
          <w:bottom w:val="nil"/>
          <w:right w:val="nil"/>
          <w:between w:val="nil"/>
        </w:pBdr>
        <w:spacing w:before="240" w:after="60" w:line="276" w:lineRule="auto"/>
        <w:jc w:val="both"/>
        <w:rPr>
          <w:color w:val="000000"/>
          <w:sz w:val="24"/>
          <w:szCs w:val="24"/>
        </w:rPr>
      </w:pPr>
    </w:p>
    <w:p w14:paraId="702E7B8E" w14:textId="77777777" w:rsidR="001725B7" w:rsidRDefault="001725B7" w:rsidP="001725B7">
      <w:pPr>
        <w:keepNext/>
        <w:pBdr>
          <w:top w:val="nil"/>
          <w:left w:val="nil"/>
          <w:bottom w:val="nil"/>
          <w:right w:val="nil"/>
          <w:between w:val="nil"/>
        </w:pBdr>
        <w:spacing w:before="240" w:after="60" w:line="276" w:lineRule="auto"/>
        <w:jc w:val="both"/>
        <w:rPr>
          <w:b/>
          <w:color w:val="000000"/>
          <w:sz w:val="24"/>
          <w:szCs w:val="24"/>
        </w:rPr>
      </w:pPr>
    </w:p>
    <w:p w14:paraId="4246E6FB" w14:textId="77777777" w:rsidR="001725B7" w:rsidRDefault="001725B7" w:rsidP="001725B7">
      <w:pPr>
        <w:pBdr>
          <w:top w:val="nil"/>
          <w:left w:val="nil"/>
          <w:bottom w:val="nil"/>
          <w:right w:val="nil"/>
          <w:between w:val="nil"/>
        </w:pBdr>
        <w:spacing w:line="276" w:lineRule="auto"/>
        <w:jc w:val="both"/>
        <w:rPr>
          <w:color w:val="000000"/>
          <w:sz w:val="24"/>
          <w:szCs w:val="24"/>
        </w:rPr>
      </w:pPr>
    </w:p>
    <w:p w14:paraId="3517F058" w14:textId="77777777" w:rsidR="001725B7" w:rsidRDefault="001725B7" w:rsidP="001725B7">
      <w:pPr>
        <w:pBdr>
          <w:top w:val="nil"/>
          <w:left w:val="nil"/>
          <w:bottom w:val="nil"/>
          <w:right w:val="nil"/>
          <w:between w:val="nil"/>
        </w:pBdr>
        <w:spacing w:before="240" w:line="276" w:lineRule="auto"/>
        <w:jc w:val="both"/>
        <w:rPr>
          <w:b/>
          <w:color w:val="000000"/>
          <w:sz w:val="24"/>
          <w:szCs w:val="24"/>
        </w:rPr>
      </w:pPr>
    </w:p>
    <w:p w14:paraId="726C2C8B" w14:textId="77777777" w:rsidR="001725B7" w:rsidRDefault="001725B7" w:rsidP="001725B7">
      <w:pPr>
        <w:pBdr>
          <w:top w:val="nil"/>
          <w:left w:val="nil"/>
          <w:bottom w:val="nil"/>
          <w:right w:val="nil"/>
          <w:between w:val="nil"/>
        </w:pBdr>
        <w:spacing w:before="240" w:line="276" w:lineRule="auto"/>
        <w:jc w:val="both"/>
        <w:rPr>
          <w:b/>
          <w:color w:val="000000"/>
          <w:sz w:val="24"/>
          <w:szCs w:val="24"/>
        </w:rPr>
      </w:pPr>
    </w:p>
    <w:p w14:paraId="3AF5C2C3" w14:textId="77777777" w:rsidR="001725B7" w:rsidRDefault="001725B7" w:rsidP="001725B7">
      <w:pPr>
        <w:pBdr>
          <w:top w:val="nil"/>
          <w:left w:val="nil"/>
          <w:bottom w:val="nil"/>
          <w:right w:val="nil"/>
          <w:between w:val="nil"/>
        </w:pBdr>
        <w:spacing w:before="240" w:line="276" w:lineRule="auto"/>
        <w:jc w:val="both"/>
        <w:rPr>
          <w:b/>
          <w:color w:val="000000"/>
          <w:sz w:val="24"/>
          <w:szCs w:val="24"/>
        </w:rPr>
      </w:pPr>
    </w:p>
    <w:p w14:paraId="013D8CD5" w14:textId="77777777" w:rsidR="001725B7" w:rsidRDefault="001725B7" w:rsidP="001725B7">
      <w:pPr>
        <w:pBdr>
          <w:top w:val="nil"/>
          <w:left w:val="nil"/>
          <w:bottom w:val="nil"/>
          <w:right w:val="nil"/>
          <w:between w:val="nil"/>
        </w:pBdr>
        <w:spacing w:before="240" w:line="276" w:lineRule="auto"/>
        <w:jc w:val="both"/>
        <w:rPr>
          <w:b/>
          <w:color w:val="000000"/>
          <w:sz w:val="24"/>
          <w:szCs w:val="24"/>
        </w:rPr>
      </w:pPr>
    </w:p>
    <w:p w14:paraId="315080A0" w14:textId="77777777" w:rsidR="001725B7" w:rsidRDefault="001725B7" w:rsidP="001725B7">
      <w:pPr>
        <w:pBdr>
          <w:top w:val="nil"/>
          <w:left w:val="nil"/>
          <w:bottom w:val="nil"/>
          <w:right w:val="nil"/>
          <w:between w:val="nil"/>
        </w:pBdr>
        <w:spacing w:before="240" w:line="276" w:lineRule="auto"/>
        <w:jc w:val="both"/>
        <w:rPr>
          <w:b/>
          <w:color w:val="000000"/>
          <w:sz w:val="24"/>
          <w:szCs w:val="24"/>
        </w:rPr>
      </w:pPr>
    </w:p>
    <w:p w14:paraId="78634B45" w14:textId="77777777" w:rsidR="001725B7" w:rsidRDefault="00A67D60" w:rsidP="001725B7">
      <w:pPr>
        <w:keepNext/>
        <w:pBdr>
          <w:top w:val="nil"/>
          <w:left w:val="nil"/>
          <w:bottom w:val="nil"/>
          <w:right w:val="nil"/>
          <w:between w:val="nil"/>
        </w:pBdr>
        <w:spacing w:before="240" w:line="276" w:lineRule="auto"/>
        <w:jc w:val="both"/>
        <w:rPr>
          <w:b/>
          <w:color w:val="000000"/>
          <w:sz w:val="24"/>
          <w:szCs w:val="24"/>
        </w:rPr>
      </w:pPr>
      <w:r>
        <w:rPr>
          <w:b/>
          <w:noProof/>
          <w:color w:val="000000"/>
          <w:sz w:val="24"/>
          <w:szCs w:val="24"/>
        </w:rPr>
        <w:lastRenderedPageBreak/>
        <w:drawing>
          <wp:anchor distT="0" distB="0" distL="114300" distR="114300" simplePos="0" relativeHeight="251658240" behindDoc="0" locked="0" layoutInCell="1" allowOverlap="1" wp14:anchorId="0A89AA32" wp14:editId="5E52FF67">
            <wp:simplePos x="0" y="0"/>
            <wp:positionH relativeFrom="column">
              <wp:posOffset>-1080448</wp:posOffset>
            </wp:positionH>
            <wp:positionV relativeFrom="paragraph">
              <wp:posOffset>-333</wp:posOffset>
            </wp:positionV>
            <wp:extent cx="7127240" cy="9941168"/>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istics and Reproducibility-1.pdf"/>
                    <pic:cNvPicPr/>
                  </pic:nvPicPr>
                  <pic:blipFill rotWithShape="1">
                    <a:blip r:embed="rId11">
                      <a:extLst>
                        <a:ext uri="{28A0092B-C50C-407E-A947-70E740481C1C}">
                          <a14:useLocalDpi xmlns:a14="http://schemas.microsoft.com/office/drawing/2010/main" val="0"/>
                        </a:ext>
                      </a:extLst>
                    </a:blip>
                    <a:srcRect l="-2765" t="-3559" r="8880" b="11023"/>
                    <a:stretch/>
                  </pic:blipFill>
                  <pic:spPr bwMode="auto">
                    <a:xfrm>
                      <a:off x="0" y="0"/>
                      <a:ext cx="7132932" cy="9949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B96E9" w14:textId="77777777" w:rsidR="00A354AF" w:rsidRDefault="00A67D60">
      <w:r>
        <w:rPr>
          <w:noProof/>
        </w:rPr>
        <w:lastRenderedPageBreak/>
        <w:drawing>
          <wp:anchor distT="0" distB="0" distL="114300" distR="114300" simplePos="0" relativeHeight="251659264" behindDoc="0" locked="0" layoutInCell="1" allowOverlap="1" wp14:anchorId="311CF7F2" wp14:editId="3F60DD79">
            <wp:simplePos x="0" y="0"/>
            <wp:positionH relativeFrom="column">
              <wp:posOffset>-1012825</wp:posOffset>
            </wp:positionH>
            <wp:positionV relativeFrom="paragraph">
              <wp:posOffset>0</wp:posOffset>
            </wp:positionV>
            <wp:extent cx="6819900" cy="855916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inas desdeStatistics and Reproducibility-1.pdf"/>
                    <pic:cNvPicPr/>
                  </pic:nvPicPr>
                  <pic:blipFill rotWithShape="1">
                    <a:blip r:embed="rId12">
                      <a:extLst>
                        <a:ext uri="{28A0092B-C50C-407E-A947-70E740481C1C}">
                          <a14:useLocalDpi xmlns:a14="http://schemas.microsoft.com/office/drawing/2010/main" val="0"/>
                        </a:ext>
                      </a:extLst>
                    </a:blip>
                    <a:srcRect t="6649" r="8897" b="12566"/>
                    <a:stretch/>
                  </pic:blipFill>
                  <pic:spPr bwMode="auto">
                    <a:xfrm>
                      <a:off x="0" y="0"/>
                      <a:ext cx="6819900" cy="8559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354AF" w:rsidSect="00087463">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4AF"/>
    <w:rsid w:val="00087463"/>
    <w:rsid w:val="00092A8E"/>
    <w:rsid w:val="001725B7"/>
    <w:rsid w:val="0045329E"/>
    <w:rsid w:val="009D6F02"/>
    <w:rsid w:val="00A354AF"/>
    <w:rsid w:val="00A67D60"/>
    <w:rsid w:val="00EF0E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64941"/>
  <w15:chartTrackingRefBased/>
  <w15:docId w15:val="{2867FB76-FADE-4148-B90D-B6F80D9C1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4AF"/>
    <w:rPr>
      <w:rFonts w:ascii="Times New Roman" w:eastAsia="Times New Roman" w:hAnsi="Times New Roman" w:cs="Times New Roman"/>
      <w:sz w:val="20"/>
      <w:szCs w:val="20"/>
      <w:lang w:val="en-US"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1012</Words>
  <Characters>5775</Characters>
  <Application>Microsoft Office Word</Application>
  <DocSecurity>0</DocSecurity>
  <Lines>48</Lines>
  <Paragraphs>13</Paragraphs>
  <ScaleCrop>false</ScaleCrop>
  <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Elisa Floriddia</cp:lastModifiedBy>
  <cp:revision>2</cp:revision>
  <dcterms:created xsi:type="dcterms:W3CDTF">2023-10-13T08:50:00Z</dcterms:created>
  <dcterms:modified xsi:type="dcterms:W3CDTF">2023-10-13T08:50:00Z</dcterms:modified>
</cp:coreProperties>
</file>