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3E6" w:rsidRPr="00100A92" w:rsidRDefault="00634651" w:rsidP="00CB41E1">
      <w:pPr>
        <w:pStyle w:val="berschrift2"/>
        <w:rPr>
          <w:sz w:val="22"/>
          <w:szCs w:val="22"/>
          <w:lang w:val="en-GB"/>
        </w:rPr>
      </w:pPr>
      <w:bookmarkStart w:id="0" w:name="_Toc145581698"/>
      <w:r w:rsidRPr="00100A92">
        <w:rPr>
          <w:sz w:val="22"/>
          <w:szCs w:val="22"/>
          <w:lang w:val="en-GB"/>
        </w:rPr>
        <w:t>Additional file</w:t>
      </w:r>
      <w:r w:rsidR="00BE73E6" w:rsidRPr="00100A92">
        <w:rPr>
          <w:sz w:val="22"/>
          <w:szCs w:val="22"/>
          <w:lang w:val="en-GB"/>
        </w:rPr>
        <w:t xml:space="preserve"> 1</w:t>
      </w:r>
      <w:r w:rsidRPr="00100A92">
        <w:rPr>
          <w:sz w:val="22"/>
          <w:szCs w:val="22"/>
          <w:lang w:val="en-GB"/>
        </w:rPr>
        <w:t xml:space="preserve"> –</w:t>
      </w:r>
      <w:r w:rsidR="00BE73E6" w:rsidRPr="00100A92">
        <w:rPr>
          <w:sz w:val="22"/>
          <w:szCs w:val="22"/>
          <w:lang w:val="en-GB"/>
        </w:rPr>
        <w:t xml:space="preserve"> Proposal for Master</w:t>
      </w:r>
      <w:r w:rsidR="00CB41E1" w:rsidRPr="00100A92">
        <w:rPr>
          <w:sz w:val="22"/>
          <w:szCs w:val="22"/>
          <w:lang w:val="en-GB"/>
        </w:rPr>
        <w:t>’s Thesis</w:t>
      </w:r>
      <w:bookmarkEnd w:id="0"/>
    </w:p>
    <w:p w:rsidR="00CB41E1" w:rsidRPr="00CB41E1" w:rsidRDefault="00CB41E1" w:rsidP="00CB41E1">
      <w:pPr>
        <w:rPr>
          <w:lang w:val="en-GB"/>
        </w:rPr>
      </w:pPr>
    </w:p>
    <w:bookmarkStart w:id="1" w:name="_Hlk112418126" w:displacedByCustomXml="next"/>
    <w:sdt>
      <w:sdtPr>
        <w:rPr>
          <w:rFonts w:eastAsia="Times New Roman" w:cs="Arial"/>
          <w:sz w:val="24"/>
          <w:szCs w:val="21"/>
          <w:lang w:val="en-GB"/>
        </w:rPr>
        <w:id w:val="169142082"/>
        <w:docPartObj>
          <w:docPartGallery w:val="Cover Pages"/>
          <w:docPartUnique/>
        </w:docPartObj>
      </w:sdtPr>
      <w:sdtEndPr/>
      <w:sdtContent>
        <w:p w:rsidR="00CB41E1" w:rsidRDefault="00CB41E1" w:rsidP="00CB41E1">
          <w:pPr>
            <w:spacing w:line="276" w:lineRule="auto"/>
            <w:contextualSpacing/>
            <w:rPr>
              <w:rFonts w:eastAsia="Times New Roman" w:cs="Arial"/>
              <w:sz w:val="24"/>
              <w:szCs w:val="21"/>
              <w:lang w:val="en-GB"/>
            </w:rPr>
          </w:pPr>
        </w:p>
        <w:p w:rsidR="00BE73E6" w:rsidRPr="00100A92" w:rsidRDefault="00BE73E6" w:rsidP="00CB41E1">
          <w:pPr>
            <w:spacing w:line="276" w:lineRule="auto"/>
            <w:contextualSpacing/>
            <w:rPr>
              <w:rFonts w:eastAsia="Times New Roman" w:cs="Arial"/>
              <w:lang w:val="en-GB"/>
            </w:rPr>
          </w:pPr>
          <w:r w:rsidRPr="00100A92">
            <w:rPr>
              <w:rFonts w:eastAsia="Times New Roman" w:cs="Arial"/>
              <w:lang w:val="en-GB"/>
            </w:rPr>
            <w:t>University of Cologne</w:t>
          </w:r>
        </w:p>
        <w:p w:rsidR="00BE73E6" w:rsidRPr="00100A92" w:rsidRDefault="00BE73E6" w:rsidP="00CB41E1">
          <w:pPr>
            <w:spacing w:line="276" w:lineRule="auto"/>
            <w:contextualSpacing/>
            <w:rPr>
              <w:rFonts w:eastAsia="Times New Roman" w:cs="Arial"/>
              <w:lang w:val="en-GB"/>
            </w:rPr>
          </w:pPr>
          <w:r w:rsidRPr="00100A92">
            <w:rPr>
              <w:rFonts w:eastAsia="Times New Roman" w:cs="Arial"/>
              <w:lang w:val="en-GB"/>
            </w:rPr>
            <w:t>Faculty of Management, Economics and Social Sciences</w:t>
          </w:r>
        </w:p>
        <w:p w:rsidR="00BE73E6" w:rsidRPr="00100A92" w:rsidRDefault="00BE73E6" w:rsidP="0012327C">
          <w:pPr>
            <w:spacing w:line="480" w:lineRule="auto"/>
            <w:contextualSpacing/>
            <w:rPr>
              <w:rFonts w:eastAsia="Times New Roman" w:cs="Arial"/>
              <w:lang w:val="en-GB"/>
            </w:rPr>
          </w:pPr>
          <w:r w:rsidRPr="00100A92">
            <w:rPr>
              <w:rFonts w:eastAsia="Times New Roman" w:cs="Arial"/>
              <w:lang w:val="en-GB"/>
            </w:rPr>
            <w:t>Institute for Health Economics and Clinical Epidemiology</w:t>
          </w:r>
        </w:p>
        <w:p w:rsidR="00BE73E6" w:rsidRPr="00BE73E6" w:rsidRDefault="00BE73E6" w:rsidP="0012327C">
          <w:pPr>
            <w:spacing w:line="480" w:lineRule="auto"/>
            <w:contextualSpacing/>
            <w:rPr>
              <w:rFonts w:eastAsia="Times New Roman" w:cs="Arial"/>
              <w:sz w:val="24"/>
              <w:szCs w:val="24"/>
              <w:lang w:val="en-GB"/>
            </w:rPr>
          </w:pPr>
        </w:p>
        <w:tbl>
          <w:tblPr>
            <w:tblpPr w:leftFromText="187" w:rightFromText="187" w:vertAnchor="page" w:horzAnchor="margin" w:tblpY="4546"/>
            <w:tblW w:w="4478" w:type="pct"/>
            <w:tblBorders>
              <w:left w:val="single" w:sz="12" w:space="0" w:color="0F6FC6"/>
            </w:tblBorders>
            <w:tblCellMar>
              <w:left w:w="144" w:type="dxa"/>
              <w:right w:w="115" w:type="dxa"/>
            </w:tblCellMar>
            <w:tblLook w:val="04A0" w:firstRow="1" w:lastRow="0" w:firstColumn="1" w:lastColumn="0" w:noHBand="0" w:noVBand="1"/>
          </w:tblPr>
          <w:tblGrid>
            <w:gridCol w:w="8070"/>
          </w:tblGrid>
          <w:tr w:rsidR="00CB41E1" w:rsidRPr="005635E8" w:rsidTr="00CB41E1">
            <w:tc>
              <w:tcPr>
                <w:tcW w:w="7095" w:type="dxa"/>
                <w:tcMar>
                  <w:top w:w="216" w:type="dxa"/>
                  <w:left w:w="115" w:type="dxa"/>
                  <w:bottom w:w="216" w:type="dxa"/>
                  <w:right w:w="115" w:type="dxa"/>
                </w:tcMar>
              </w:tcPr>
              <w:p w:rsidR="00CB41E1" w:rsidRPr="00BE73E6" w:rsidRDefault="00CB41E1" w:rsidP="00CB41E1">
                <w:pPr>
                  <w:spacing w:after="0" w:line="480" w:lineRule="auto"/>
                  <w:jc w:val="left"/>
                  <w:rPr>
                    <w:rFonts w:eastAsia="Times New Roman" w:cs="Arial"/>
                    <w:color w:val="0B5294"/>
                    <w:sz w:val="24"/>
                    <w:szCs w:val="21"/>
                    <w:lang w:val="en-GB"/>
                  </w:rPr>
                </w:pPr>
              </w:p>
            </w:tc>
          </w:tr>
          <w:tr w:rsidR="00CB41E1" w:rsidRPr="00BE73E6" w:rsidTr="00CB41E1">
            <w:tc>
              <w:tcPr>
                <w:tcW w:w="7095" w:type="dxa"/>
              </w:tcPr>
              <w:sdt>
                <w:sdtPr>
                  <w:rPr>
                    <w:rFonts w:eastAsiaTheme="majorEastAsia" w:cs="Arial"/>
                    <w:color w:val="0070C0"/>
                    <w:sz w:val="32"/>
                    <w:szCs w:val="32"/>
                    <w:lang w:val="en-GB"/>
                  </w:rPr>
                  <w:alias w:val="Titel"/>
                  <w:id w:val="13406919"/>
                  <w:placeholder>
                    <w:docPart w:val="51AE298AC6074C95BBE961E07F1607B1"/>
                  </w:placeholder>
                  <w:dataBinding w:prefixMappings="xmlns:ns0='http://schemas.openxmlformats.org/package/2006/metadata/core-properties' xmlns:ns1='http://purl.org/dc/elements/1.1/'" w:xpath="/ns0:coreProperties[1]/ns1:title[1]" w:storeItemID="{6C3C8BC8-F283-45AE-878A-BAB7291924A1}"/>
                  <w:text/>
                </w:sdtPr>
                <w:sdtEndPr/>
                <w:sdtContent>
                  <w:p w:rsidR="00CB41E1" w:rsidRPr="00100A92" w:rsidRDefault="00CB41E1" w:rsidP="00CB41E1">
                    <w:pPr>
                      <w:spacing w:after="0" w:line="276" w:lineRule="auto"/>
                      <w:jc w:val="left"/>
                      <w:rPr>
                        <w:rFonts w:eastAsia="Times New Roman" w:cs="Arial"/>
                        <w:color w:val="0070C0"/>
                        <w:sz w:val="32"/>
                        <w:szCs w:val="32"/>
                        <w:lang w:val="en-GB"/>
                      </w:rPr>
                    </w:pPr>
                    <w:r w:rsidRPr="00100A92">
                      <w:rPr>
                        <w:rFonts w:eastAsiaTheme="majorEastAsia" w:cs="Arial"/>
                        <w:color w:val="0070C0"/>
                        <w:sz w:val="32"/>
                        <w:szCs w:val="32"/>
                        <w:lang w:val="en-GB"/>
                      </w:rPr>
                      <w:t>Proposal for Master Thesis</w:t>
                    </w:r>
                  </w:p>
                </w:sdtContent>
              </w:sdt>
            </w:tc>
          </w:tr>
          <w:tr w:rsidR="00CB41E1" w:rsidRPr="005635E8" w:rsidTr="00CB41E1">
            <w:trPr>
              <w:trHeight w:val="27"/>
            </w:trPr>
            <w:sdt>
              <w:sdtPr>
                <w:rPr>
                  <w:rFonts w:cs="Arial"/>
                  <w:color w:val="0070C0"/>
                  <w:sz w:val="32"/>
                  <w:szCs w:val="32"/>
                  <w:lang w:val="en-GB"/>
                </w:rPr>
                <w:alias w:val="Untertitel"/>
                <w:id w:val="13406923"/>
                <w:placeholder>
                  <w:docPart w:val="0A2ADE6923EF4E88A1B0F97D47DC0490"/>
                </w:placeholder>
                <w:dataBinding w:prefixMappings="xmlns:ns0='http://schemas.openxmlformats.org/package/2006/metadata/core-properties' xmlns:ns1='http://purl.org/dc/elements/1.1/'" w:xpath="/ns0:coreProperties[1]/ns1:subject[1]" w:storeItemID="{6C3C8BC8-F283-45AE-878A-BAB7291924A1}"/>
                <w:text/>
              </w:sdtPr>
              <w:sdtEndPr/>
              <w:sdtContent>
                <w:tc>
                  <w:tcPr>
                    <w:tcW w:w="7095" w:type="dxa"/>
                    <w:tcMar>
                      <w:top w:w="216" w:type="dxa"/>
                      <w:left w:w="115" w:type="dxa"/>
                      <w:bottom w:w="216" w:type="dxa"/>
                      <w:right w:w="115" w:type="dxa"/>
                    </w:tcMar>
                  </w:tcPr>
                  <w:p w:rsidR="00CB41E1" w:rsidRPr="00100A92" w:rsidRDefault="00CB41E1" w:rsidP="00CB41E1">
                    <w:pPr>
                      <w:spacing w:after="0" w:line="276" w:lineRule="auto"/>
                      <w:jc w:val="left"/>
                      <w:rPr>
                        <w:rFonts w:eastAsia="Times New Roman" w:cs="Arial"/>
                        <w:color w:val="0070C0"/>
                        <w:sz w:val="32"/>
                        <w:szCs w:val="32"/>
                        <w:lang w:val="en-GB"/>
                      </w:rPr>
                    </w:pPr>
                    <w:r w:rsidRPr="00100A92">
                      <w:rPr>
                        <w:rFonts w:cs="Arial"/>
                        <w:color w:val="0070C0"/>
                        <w:sz w:val="32"/>
                        <w:szCs w:val="32"/>
                        <w:lang w:val="en-GB"/>
                      </w:rPr>
                      <w:t>Timeliness of patient versions of clinical practice guidelines and potential methodological influencing factors: a mixed-methods analysis of patient versions of guidelines.</w:t>
                    </w:r>
                  </w:p>
                </w:tc>
              </w:sdtContent>
            </w:sdt>
          </w:tr>
        </w:tbl>
        <w:p w:rsidR="00BE73E6" w:rsidRPr="00CB41E1" w:rsidRDefault="005A618D" w:rsidP="0012327C">
          <w:pPr>
            <w:spacing w:line="480" w:lineRule="auto"/>
            <w:rPr>
              <w:rFonts w:eastAsia="Times New Roman" w:cs="Arial"/>
              <w:sz w:val="24"/>
              <w:szCs w:val="21"/>
              <w:lang w:val="en-GB"/>
            </w:rPr>
          </w:pPr>
        </w:p>
      </w:sdtContent>
    </w:sdt>
    <w:p w:rsidR="00CB41E1" w:rsidRDefault="00CB41E1" w:rsidP="00CB41E1">
      <w:pPr>
        <w:spacing w:line="276" w:lineRule="auto"/>
        <w:rPr>
          <w:rFonts w:eastAsia="Times New Roman" w:cs="Arial"/>
          <w:sz w:val="24"/>
          <w:szCs w:val="24"/>
          <w:lang w:val="en-GB"/>
        </w:rPr>
      </w:pPr>
    </w:p>
    <w:p w:rsidR="00CB41E1" w:rsidRDefault="00CB41E1" w:rsidP="00CB41E1">
      <w:pPr>
        <w:spacing w:line="276" w:lineRule="auto"/>
        <w:rPr>
          <w:rFonts w:eastAsia="Times New Roman" w:cs="Arial"/>
          <w:sz w:val="24"/>
          <w:szCs w:val="24"/>
          <w:lang w:val="en-GB"/>
        </w:rPr>
      </w:pPr>
    </w:p>
    <w:p w:rsidR="00CB41E1" w:rsidRDefault="00CB41E1" w:rsidP="00CB41E1">
      <w:pPr>
        <w:spacing w:line="276" w:lineRule="auto"/>
        <w:rPr>
          <w:rFonts w:eastAsia="Times New Roman" w:cs="Arial"/>
          <w:sz w:val="24"/>
          <w:szCs w:val="24"/>
          <w:lang w:val="en-GB"/>
        </w:rPr>
      </w:pPr>
    </w:p>
    <w:p w:rsidR="00CB41E1" w:rsidRDefault="00CB41E1" w:rsidP="00CB41E1">
      <w:pPr>
        <w:spacing w:line="276" w:lineRule="auto"/>
        <w:rPr>
          <w:rFonts w:eastAsia="Times New Roman" w:cs="Arial"/>
          <w:sz w:val="24"/>
          <w:szCs w:val="24"/>
          <w:lang w:val="en-GB"/>
        </w:rPr>
      </w:pPr>
    </w:p>
    <w:p w:rsidR="00CB41E1" w:rsidRDefault="00CB41E1" w:rsidP="00CB41E1">
      <w:pPr>
        <w:spacing w:line="276" w:lineRule="auto"/>
        <w:rPr>
          <w:rFonts w:eastAsia="Times New Roman" w:cs="Arial"/>
          <w:sz w:val="24"/>
          <w:szCs w:val="24"/>
          <w:lang w:val="en-GB"/>
        </w:rPr>
      </w:pPr>
    </w:p>
    <w:p w:rsidR="00CB41E1" w:rsidRDefault="00CB41E1" w:rsidP="00CB41E1">
      <w:pPr>
        <w:spacing w:line="276" w:lineRule="auto"/>
        <w:rPr>
          <w:rFonts w:eastAsia="Times New Roman" w:cs="Arial"/>
          <w:sz w:val="24"/>
          <w:szCs w:val="24"/>
          <w:lang w:val="en-GB"/>
        </w:rPr>
      </w:pPr>
    </w:p>
    <w:p w:rsidR="00CB41E1" w:rsidRDefault="00CB41E1" w:rsidP="00CB41E1">
      <w:pPr>
        <w:spacing w:line="276" w:lineRule="auto"/>
        <w:rPr>
          <w:rFonts w:eastAsia="Times New Roman" w:cs="Arial"/>
          <w:sz w:val="24"/>
          <w:szCs w:val="24"/>
          <w:lang w:val="en-GB"/>
        </w:rPr>
      </w:pPr>
    </w:p>
    <w:p w:rsidR="00CB41E1" w:rsidRDefault="00CB41E1" w:rsidP="00CB41E1">
      <w:pPr>
        <w:spacing w:line="276" w:lineRule="auto"/>
        <w:rPr>
          <w:rFonts w:eastAsia="Times New Roman" w:cs="Arial"/>
          <w:sz w:val="24"/>
          <w:szCs w:val="24"/>
          <w:lang w:val="en-GB"/>
        </w:rPr>
      </w:pPr>
    </w:p>
    <w:p w:rsidR="00CB41E1" w:rsidRDefault="00CB41E1" w:rsidP="00CB41E1">
      <w:pPr>
        <w:spacing w:line="276" w:lineRule="auto"/>
        <w:rPr>
          <w:rFonts w:eastAsia="Times New Roman" w:cs="Arial"/>
          <w:sz w:val="24"/>
          <w:szCs w:val="24"/>
          <w:lang w:val="en-GB"/>
        </w:rPr>
      </w:pPr>
    </w:p>
    <w:p w:rsidR="00CB41E1" w:rsidRDefault="00CB41E1" w:rsidP="00CB41E1">
      <w:pPr>
        <w:spacing w:line="276" w:lineRule="auto"/>
        <w:rPr>
          <w:rFonts w:eastAsia="Times New Roman" w:cs="Arial"/>
          <w:sz w:val="24"/>
          <w:szCs w:val="24"/>
          <w:lang w:val="en-GB"/>
        </w:rPr>
      </w:pPr>
    </w:p>
    <w:p w:rsidR="00CB41E1" w:rsidRDefault="00CB41E1" w:rsidP="00CB41E1">
      <w:pPr>
        <w:spacing w:line="276" w:lineRule="auto"/>
        <w:rPr>
          <w:rFonts w:eastAsia="Times New Roman" w:cs="Arial"/>
          <w:sz w:val="24"/>
          <w:szCs w:val="24"/>
          <w:lang w:val="en-GB"/>
        </w:rPr>
      </w:pPr>
    </w:p>
    <w:p w:rsidR="00CB41E1" w:rsidRPr="00100A92" w:rsidRDefault="00BE73E6" w:rsidP="00CB41E1">
      <w:pPr>
        <w:spacing w:line="276" w:lineRule="auto"/>
        <w:rPr>
          <w:rFonts w:eastAsia="Times New Roman" w:cs="Arial"/>
          <w:lang w:val="en-GB"/>
        </w:rPr>
      </w:pPr>
      <w:r w:rsidRPr="00100A92">
        <w:rPr>
          <w:rFonts w:eastAsia="Times New Roman" w:cs="Arial"/>
          <w:lang w:val="en-GB"/>
        </w:rPr>
        <w:t>Submitted by:</w:t>
      </w:r>
    </w:p>
    <w:p w:rsidR="00BE73E6" w:rsidRPr="00100A92" w:rsidRDefault="00BE73E6" w:rsidP="00CB41E1">
      <w:pPr>
        <w:spacing w:line="276" w:lineRule="auto"/>
        <w:rPr>
          <w:rFonts w:eastAsia="Times New Roman" w:cs="Arial"/>
          <w:lang w:val="en-GB"/>
        </w:rPr>
      </w:pPr>
      <w:r w:rsidRPr="00100A92">
        <w:rPr>
          <w:rFonts w:eastAsia="Times New Roman" w:cs="Arial"/>
          <w:lang w:val="en-GB"/>
        </w:rPr>
        <w:t>Irma Hellbrecht</w:t>
      </w:r>
    </w:p>
    <w:p w:rsidR="00BE73E6" w:rsidRPr="00100A92" w:rsidRDefault="00BE73E6" w:rsidP="00CB41E1">
      <w:pPr>
        <w:spacing w:line="276" w:lineRule="auto"/>
        <w:contextualSpacing/>
        <w:rPr>
          <w:rFonts w:eastAsia="Times New Roman" w:cs="Arial"/>
          <w:lang w:val="en-GB"/>
        </w:rPr>
      </w:pPr>
      <w:r w:rsidRPr="00100A92">
        <w:rPr>
          <w:rFonts w:eastAsia="Times New Roman" w:cs="Arial"/>
          <w:lang w:val="en-GB"/>
        </w:rPr>
        <w:t>Health Economics B.Sc.</w:t>
      </w:r>
    </w:p>
    <w:p w:rsidR="00BE73E6" w:rsidRPr="00100A92" w:rsidRDefault="00BE73E6" w:rsidP="0012327C">
      <w:pPr>
        <w:tabs>
          <w:tab w:val="left" w:pos="1217"/>
        </w:tabs>
        <w:spacing w:line="480" w:lineRule="auto"/>
        <w:rPr>
          <w:rFonts w:eastAsia="Times New Roman" w:cs="Arial"/>
          <w:lang w:val="en-GB"/>
        </w:rPr>
      </w:pPr>
    </w:p>
    <w:p w:rsidR="00CB41E1" w:rsidRPr="00100A92" w:rsidRDefault="00CB41E1" w:rsidP="0012327C">
      <w:pPr>
        <w:spacing w:line="480" w:lineRule="auto"/>
        <w:rPr>
          <w:rFonts w:eastAsia="Times New Roman" w:cs="Arial"/>
          <w:lang w:val="en-GB"/>
        </w:rPr>
      </w:pPr>
    </w:p>
    <w:p w:rsidR="00CB41E1" w:rsidRPr="00100A92" w:rsidRDefault="00CB41E1" w:rsidP="0012327C">
      <w:pPr>
        <w:spacing w:line="480" w:lineRule="auto"/>
        <w:rPr>
          <w:rFonts w:eastAsia="Times New Roman" w:cs="Arial"/>
          <w:lang w:val="en-GB"/>
        </w:rPr>
      </w:pPr>
    </w:p>
    <w:p w:rsidR="00CB41E1" w:rsidRPr="00100A92" w:rsidRDefault="00CB41E1" w:rsidP="0012327C">
      <w:pPr>
        <w:spacing w:line="480" w:lineRule="auto"/>
        <w:rPr>
          <w:rFonts w:eastAsia="Times New Roman" w:cs="Arial"/>
          <w:lang w:val="en-GB"/>
        </w:rPr>
      </w:pPr>
    </w:p>
    <w:p w:rsidR="00634651" w:rsidRPr="00100A92" w:rsidRDefault="00BE73E6" w:rsidP="0012327C">
      <w:pPr>
        <w:spacing w:line="480" w:lineRule="auto"/>
        <w:rPr>
          <w:rFonts w:eastAsia="Times New Roman" w:cs="Arial"/>
          <w:lang w:val="en-GB"/>
        </w:rPr>
      </w:pPr>
      <w:r w:rsidRPr="00100A92">
        <w:rPr>
          <w:rFonts w:eastAsia="Times New Roman" w:cs="Arial"/>
          <w:lang w:val="en-GB"/>
        </w:rPr>
        <w:t>Date: 30.09.2022</w:t>
      </w:r>
    </w:p>
    <w:p w:rsidR="00191D2D" w:rsidRDefault="00191D2D" w:rsidP="00A81057">
      <w:pPr>
        <w:spacing w:line="480" w:lineRule="auto"/>
        <w:contextualSpacing/>
        <w:rPr>
          <w:b/>
          <w:sz w:val="24"/>
          <w:szCs w:val="24"/>
          <w:lang w:val="en-GB"/>
        </w:rPr>
        <w:sectPr w:rsidR="00191D2D" w:rsidSect="00634651">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440" w:bottom="1440" w:left="1440" w:header="708" w:footer="708" w:gutter="0"/>
          <w:cols w:space="708"/>
          <w:docGrid w:linePitch="360"/>
        </w:sectPr>
      </w:pPr>
      <w:bookmarkStart w:id="2" w:name="_Toc112420817"/>
      <w:bookmarkStart w:id="3" w:name="_Toc114500322"/>
      <w:bookmarkStart w:id="4" w:name="_GoBack"/>
      <w:bookmarkEnd w:id="4"/>
    </w:p>
    <w:p w:rsidR="00BE73E6" w:rsidRPr="00100A92" w:rsidRDefault="00BE73E6" w:rsidP="00A81057">
      <w:pPr>
        <w:spacing w:line="480" w:lineRule="auto"/>
        <w:contextualSpacing/>
        <w:rPr>
          <w:rFonts w:cs="Arial"/>
          <w:b/>
          <w:sz w:val="20"/>
          <w:szCs w:val="20"/>
          <w:lang w:val="en-GB"/>
        </w:rPr>
      </w:pPr>
      <w:r w:rsidRPr="00100A92">
        <w:rPr>
          <w:rFonts w:cs="Arial"/>
          <w:b/>
          <w:sz w:val="20"/>
          <w:szCs w:val="20"/>
          <w:lang w:val="en-GB"/>
        </w:rPr>
        <w:lastRenderedPageBreak/>
        <w:t>Introduction</w:t>
      </w:r>
      <w:bookmarkEnd w:id="2"/>
      <w:bookmarkEnd w:id="3"/>
    </w:p>
    <w:p w:rsidR="00BE73E6" w:rsidRPr="00100A92" w:rsidRDefault="00BE73E6" w:rsidP="00634651">
      <w:pPr>
        <w:spacing w:after="240" w:line="480" w:lineRule="auto"/>
        <w:rPr>
          <w:rFonts w:eastAsia="Times New Roman" w:cs="Arial"/>
          <w:sz w:val="20"/>
          <w:szCs w:val="20"/>
          <w:lang w:val="en-GB"/>
        </w:rPr>
      </w:pPr>
      <w:r w:rsidRPr="00100A92">
        <w:rPr>
          <w:rFonts w:eastAsia="Times New Roman" w:cs="Arial"/>
          <w:sz w:val="20"/>
          <w:szCs w:val="20"/>
          <w:lang w:val="en-GB"/>
        </w:rPr>
        <w:t xml:space="preserve">Clinical practice guidelines (CPG) aim to promote decision making of health professionals and patients, by providing explicit recommendations. They have the potential to optimize patient care and to reduce inadequate variation in practice </w:t>
      </w:r>
      <w:r w:rsidRPr="00100A92">
        <w:rPr>
          <w:rFonts w:eastAsia="Times New Roman" w:cs="Arial"/>
          <w:sz w:val="20"/>
          <w:szCs w:val="20"/>
          <w:lang w:val="en-GB"/>
        </w:rPr>
        <w:fldChar w:fldCharType="begin"/>
      </w:r>
      <w:r w:rsidRPr="00100A92">
        <w:rPr>
          <w:rFonts w:eastAsia="Times New Roman" w:cs="Arial"/>
          <w:sz w:val="20"/>
          <w:szCs w:val="20"/>
          <w:lang w:val="en-GB"/>
        </w:rPr>
        <w:instrText xml:space="preserve"> ADDIN EN.CITE &lt;EndNote&gt;&lt;Cite&gt;&lt;Author&gt;Graham&lt;/Author&gt;&lt;Year&gt;2011&lt;/Year&gt;&lt;RecNum&gt;13&lt;/RecNum&gt;&lt;DisplayText&gt;[1]&lt;/DisplayText&gt;&lt;record&gt;&lt;rec-number&gt;13&lt;/rec-number&gt;&lt;foreign-keys&gt;&lt;key app="EN" db-id="sr2f092pbxsz5rer0t35rzd99fzar0zsf9xr" timestamp="1660910877"&gt;13&lt;/key&gt;&lt;/foreign-keys&gt;&lt;ref-type name="Book"&gt;6&lt;/ref-type&gt;&lt;contributors&gt;&lt;authors&gt;&lt;author&gt;Graham, R.&lt;/author&gt;&lt;author&gt;Mancher, M.&lt;/author&gt;&lt;author&gt;Miller Wolman, D.&lt;/author&gt;&lt;author&gt;Greenfield, S.&lt;/author&gt;&lt;author&gt;Steinberg, E.&lt;/author&gt;&lt;/authors&gt;&lt;secondary-authors&gt;&lt;author&gt;Graham, R.&lt;/author&gt;&lt;author&gt;Mancher, M.&lt;/author&gt;&lt;author&gt;Miller Wolman, D.&lt;/author&gt;&lt;author&gt;Greenfield, S.&lt;/author&gt;&lt;author&gt;Steinberg, E.&lt;/author&gt;&lt;/secondary-authors&gt;&lt;/contributors&gt;&lt;titles&gt;&lt;title&gt;Clinical Practice Guidelines We Can Trust&lt;/title&gt;&lt;secondary-title&gt;Clinical Practice Guidelines We Can Trust&lt;/secondary-title&gt;&lt;/titles&gt;&lt;dates&gt;&lt;year&gt;2011&lt;/year&gt;&lt;/dates&gt;&lt;pub-location&gt;Washington (DC)&lt;/pub-location&gt;&lt;isbn&gt;9780309164221&amp;#xD;9780309164238&lt;/isbn&gt;&lt;accession-num&gt;24983061&lt;/accession-num&gt;&lt;label&gt;Quality criteria of CPGs&lt;/label&gt;&lt;urls&gt;&lt;related-urls&gt;&lt;url&gt;https://www.ncbi.nlm.nih.gov/pubmed/24983061&lt;/url&gt;&lt;/related-urls&gt;&lt;/urls&gt;&lt;electronic-resource-num&gt;10.17226/13058&lt;/electronic-resource-num&gt;&lt;language&gt;eng&lt;/language&gt;&lt;/record&gt;&lt;/Cite&gt;&lt;/EndNote&gt;</w:instrText>
      </w:r>
      <w:r w:rsidRPr="00100A92">
        <w:rPr>
          <w:rFonts w:eastAsia="Times New Roman" w:cs="Arial"/>
          <w:sz w:val="20"/>
          <w:szCs w:val="20"/>
          <w:lang w:val="en-GB"/>
        </w:rPr>
        <w:fldChar w:fldCharType="separate"/>
      </w:r>
      <w:r w:rsidRPr="00100A92">
        <w:rPr>
          <w:rFonts w:eastAsia="Times New Roman" w:cs="Arial"/>
          <w:noProof/>
          <w:sz w:val="20"/>
          <w:szCs w:val="20"/>
          <w:lang w:val="en-GB"/>
        </w:rPr>
        <w:t>[1]</w:t>
      </w:r>
      <w:r w:rsidRPr="00100A92">
        <w:rPr>
          <w:rFonts w:eastAsia="Times New Roman" w:cs="Arial"/>
          <w:sz w:val="20"/>
          <w:szCs w:val="20"/>
          <w:lang w:val="en-GB"/>
        </w:rPr>
        <w:fldChar w:fldCharType="end"/>
      </w:r>
      <w:r w:rsidRPr="00100A92">
        <w:rPr>
          <w:rFonts w:eastAsia="Times New Roman" w:cs="Arial"/>
          <w:sz w:val="20"/>
          <w:szCs w:val="20"/>
          <w:lang w:val="en-GB"/>
        </w:rPr>
        <w:t xml:space="preserve">. Since patient and public awareness of CPGs is low </w:t>
      </w:r>
      <w:r w:rsidRPr="00100A92">
        <w:rPr>
          <w:rFonts w:eastAsia="Times New Roman" w:cs="Arial"/>
          <w:sz w:val="20"/>
          <w:szCs w:val="20"/>
          <w:lang w:val="en-GB"/>
        </w:rPr>
        <w:fldChar w:fldCharType="begin"/>
      </w:r>
      <w:r w:rsidRPr="00100A92">
        <w:rPr>
          <w:rFonts w:eastAsia="Times New Roman" w:cs="Arial"/>
          <w:sz w:val="20"/>
          <w:szCs w:val="20"/>
          <w:lang w:val="en-GB"/>
        </w:rPr>
        <w:instrText xml:space="preserve"> ADDIN EN.CITE &lt;EndNote&gt;&lt;Cite&gt;&lt;Author&gt;Loudon&lt;/Author&gt;&lt;Year&gt;2014&lt;/Year&gt;&lt;RecNum&gt;8&lt;/RecNum&gt;&lt;DisplayText&gt;[2]&lt;/DisplayText&gt;&lt;record&gt;&lt;rec-number&gt;8&lt;/rec-number&gt;&lt;foreign-keys&gt;&lt;key app="EN" db-id="sr2f092pbxsz5rer0t35rzd99fzar0zsf9xr" timestamp="1659686661"&gt;8&lt;/key&gt;&lt;/foreign-keys&gt;&lt;ref-type name="Journal Article"&gt;17&lt;/ref-type&gt;&lt;contributors&gt;&lt;authors&gt;&lt;author&gt;Loudon, K.&lt;/author&gt;&lt;author&gt;Santesso, N.&lt;/author&gt;&lt;author&gt;Callaghan, M.&lt;/author&gt;&lt;author&gt;Thornton, J.&lt;/author&gt;&lt;author&gt;Harbour, J.&lt;/author&gt;&lt;author&gt;Graham, K.&lt;/author&gt;&lt;author&gt;Harbour, R.&lt;/author&gt;&lt;author&gt;Kunnamo, I.&lt;/author&gt;&lt;author&gt;Liira, H.&lt;/author&gt;&lt;author&gt;McFarlane, E.&lt;/author&gt;&lt;author&gt;Ritchie, K.&lt;/author&gt;&lt;author&gt;Treweek, S.&lt;/author&gt;&lt;/authors&gt;&lt;/contributors&gt;&lt;auth-address&gt;Division of Population Health Sciences, University of Dundee, Kirsty Semple Way, Dundee DD2 4BF, UK. k.loudon@dundee.ac.uk.&lt;/auth-address&gt;&lt;titles&gt;&lt;title&gt;Patient and public attitudes to and awareness of clinical practice guidelines: a systematic review with thematic and narrative syntheses&lt;/title&gt;&lt;secondary-title&gt;BMC Health Serv Res&lt;/secondary-title&gt;&lt;/titles&gt;&lt;periodical&gt;&lt;full-title&gt;BMC Health Serv Res&lt;/full-title&gt;&lt;/periodical&gt;&lt;pages&gt;321&lt;/pages&gt;&lt;volume&gt;14&lt;/volume&gt;&lt;edition&gt;2014/07/30&lt;/edition&gt;&lt;keywords&gt;&lt;keyword&gt;*Awareness&lt;/keyword&gt;&lt;keyword&gt;*Evidence-Based Practice&lt;/keyword&gt;&lt;keyword&gt;Humans&lt;/keyword&gt;&lt;keyword&gt;Patients/*psychology&lt;/keyword&gt;&lt;keyword&gt;*Practice Guidelines as Topic&lt;/keyword&gt;&lt;keyword&gt;*Public Opinion&lt;/keyword&gt;&lt;/keywords&gt;&lt;dates&gt;&lt;year&gt;2014&lt;/year&gt;&lt;pub-dates&gt;&lt;date&gt;Jul 27&lt;/date&gt;&lt;/pub-dates&gt;&lt;/dates&gt;&lt;isbn&gt;1472-6963&lt;/isbn&gt;&lt;accession-num&gt;25064372&lt;/accession-num&gt;&lt;urls&gt;&lt;related-urls&gt;&lt;url&gt;https://www.ncbi.nlm.nih.gov/pmc/articles/PMC4119247/pdf/1472-6963-14-321.pdf&lt;/url&gt;&lt;/related-urls&gt;&lt;/urls&gt;&lt;custom2&gt;PMC4119247&lt;/custom2&gt;&lt;electronic-resource-num&gt;10.1186/1472-6963-14-321&lt;/electronic-resource-num&gt;&lt;remote-database-provider&gt;NLM&lt;/remote-database-provider&gt;&lt;language&gt;eng&lt;/language&gt;&lt;/record&gt;&lt;/Cite&gt;&lt;/EndNote&gt;</w:instrText>
      </w:r>
      <w:r w:rsidRPr="00100A92">
        <w:rPr>
          <w:rFonts w:eastAsia="Times New Roman" w:cs="Arial"/>
          <w:sz w:val="20"/>
          <w:szCs w:val="20"/>
          <w:lang w:val="en-GB"/>
        </w:rPr>
        <w:fldChar w:fldCharType="separate"/>
      </w:r>
      <w:r w:rsidRPr="00100A92">
        <w:rPr>
          <w:rFonts w:eastAsia="Times New Roman" w:cs="Arial"/>
          <w:noProof/>
          <w:sz w:val="20"/>
          <w:szCs w:val="20"/>
          <w:lang w:val="en-GB"/>
        </w:rPr>
        <w:t>[2]</w:t>
      </w:r>
      <w:r w:rsidRPr="00100A92">
        <w:rPr>
          <w:rFonts w:eastAsia="Times New Roman" w:cs="Arial"/>
          <w:sz w:val="20"/>
          <w:szCs w:val="20"/>
          <w:lang w:val="en-GB"/>
        </w:rPr>
        <w:fldChar w:fldCharType="end"/>
      </w:r>
      <w:r w:rsidRPr="00100A92">
        <w:rPr>
          <w:rFonts w:eastAsia="Times New Roman" w:cs="Arial"/>
          <w:sz w:val="20"/>
          <w:szCs w:val="20"/>
          <w:lang w:val="en-GB"/>
        </w:rPr>
        <w:t xml:space="preserve"> and CPGs are primarily tailored to healthcare providers, many guideline organizations also produce patient versions of CPG (</w:t>
      </w:r>
      <w:proofErr w:type="spellStart"/>
      <w:r w:rsidRPr="00100A92">
        <w:rPr>
          <w:rFonts w:eastAsia="Times New Roman" w:cs="Arial"/>
          <w:sz w:val="20"/>
          <w:szCs w:val="20"/>
          <w:lang w:val="en-GB"/>
        </w:rPr>
        <w:t>PVoG</w:t>
      </w:r>
      <w:proofErr w:type="spellEnd"/>
      <w:r w:rsidRPr="00100A92">
        <w:rPr>
          <w:rFonts w:eastAsia="Times New Roman" w:cs="Arial"/>
          <w:sz w:val="20"/>
          <w:szCs w:val="20"/>
          <w:lang w:val="en-GB"/>
        </w:rPr>
        <w:t xml:space="preserve">) </w:t>
      </w:r>
      <w:r w:rsidRPr="00100A92">
        <w:rPr>
          <w:rFonts w:eastAsia="Times New Roman" w:cs="Arial"/>
          <w:sz w:val="20"/>
          <w:szCs w:val="20"/>
          <w:lang w:val="en-GB"/>
        </w:rPr>
        <w:fldChar w:fldCharType="begin"/>
      </w:r>
      <w:r w:rsidRPr="00100A92">
        <w:rPr>
          <w:rFonts w:eastAsia="Times New Roman" w:cs="Arial"/>
          <w:sz w:val="20"/>
          <w:szCs w:val="20"/>
          <w:lang w:val="en-GB"/>
        </w:rPr>
        <w:instrText xml:space="preserve"> ADDIN EN.CITE &lt;EndNote&gt;&lt;Cite&gt;&lt;Author&gt;Santesso&lt;/Author&gt;&lt;Year&gt;2016&lt;/Year&gt;&lt;RecNum&gt;4&lt;/RecNum&gt;&lt;DisplayText&gt;[3]&lt;/DisplayText&gt;&lt;record&gt;&lt;rec-number&gt;4&lt;/rec-number&gt;&lt;foreign-keys&gt;&lt;key app="EN" db-id="sr2f092pbxsz5rer0t35rzd99fzar0zsf9xr" timestamp="1659537500"&gt;4&lt;/key&gt;&lt;/foreign-keys&gt;&lt;ref-type name="Journal Article"&gt;17&lt;/ref-type&gt;&lt;contributors&gt;&lt;authors&gt;&lt;author&gt;Santesso, N.&lt;/author&gt;&lt;author&gt;Morgano, G. P.&lt;/author&gt;&lt;author&gt;Jack, S. M.&lt;/author&gt;&lt;author&gt;Haynes, R. B.&lt;/author&gt;&lt;author&gt;Hill, S.&lt;/author&gt;&lt;author&gt;Treweek, S.&lt;/author&gt;&lt;author&gt;Schünemann, H. J.&lt;/author&gt;&lt;/authors&gt;&lt;/contributors&gt;&lt;auth-address&gt;McMaster University, Hamilton, Canada (NS, SMJ, RBH, HJS)&amp;#xD;Italian National Cancer Institute, Rome, Italy (GPM)&amp;#xD;La Trobe University, Melbourne, Australia (SH)&amp;#xD;University of Aberdeen, Aberdeen, United Kingdom (ST)&lt;/auth-address&gt;&lt;titles&gt;&lt;title&gt;Dissemination of Clinical Practice Guidelines: A Content Analysis of Patient Versions&lt;/title&gt;&lt;secondary-title&gt;Med Decis Making&lt;/secondary-title&gt;&lt;/titles&gt;&lt;periodical&gt;&lt;full-title&gt;Med Decis Making&lt;/full-title&gt;&lt;/periodical&gt;&lt;pages&gt;692-702&lt;/pages&gt;&lt;volume&gt;36&lt;/volume&gt;&lt;number&gt;6&lt;/number&gt;&lt;edition&gt;2016/04/20&lt;/edition&gt;&lt;keywords&gt;&lt;keyword&gt;Decision Making&lt;/keyword&gt;&lt;keyword&gt;Humans&lt;/keyword&gt;&lt;keyword&gt;*Information Services&lt;/keyword&gt;&lt;keyword&gt;*Patients&lt;/keyword&gt;&lt;keyword&gt;*Practice Guidelines as Topic&lt;/keyword&gt;&lt;keyword&gt;Qualitative Research&lt;/keyword&gt;&lt;keyword&gt;*clinical practice guidelines&lt;/keyword&gt;&lt;keyword&gt;*patient decision making&lt;/keyword&gt;&lt;keyword&gt;*qualitative methods&lt;/keyword&gt;&lt;keyword&gt;*risk communication&lt;/keyword&gt;&lt;keyword&gt;*risk perception&lt;/keyword&gt;&lt;/keywords&gt;&lt;dates&gt;&lt;year&gt;2016&lt;/year&gt;&lt;pub-dates&gt;&lt;date&gt;Aug&lt;/date&gt;&lt;/pub-dates&gt;&lt;/dates&gt;&lt;isbn&gt;0272-989x&lt;/isbn&gt;&lt;accession-num&gt;27091380&lt;/accession-num&gt;&lt;label&gt;Content of patient versions&lt;/label&gt;&lt;urls&gt;&lt;related-urls&gt;&lt;url&gt;https://journals.sagepub.com/doi/pdf/10.1177/0272989X16644427&lt;/url&gt;&lt;/related-urls&gt;&lt;/urls&gt;&lt;electronic-resource-num&gt;10.1177/0272989x16644427&lt;/electronic-resource-num&gt;&lt;remote-database-provider&gt;NLM&lt;/remote-database-provider&gt;&lt;language&gt;eng&lt;/language&gt;&lt;/record&gt;&lt;/Cite&gt;&lt;/EndNote&gt;</w:instrText>
      </w:r>
      <w:r w:rsidRPr="00100A92">
        <w:rPr>
          <w:rFonts w:eastAsia="Times New Roman" w:cs="Arial"/>
          <w:sz w:val="20"/>
          <w:szCs w:val="20"/>
          <w:lang w:val="en-GB"/>
        </w:rPr>
        <w:fldChar w:fldCharType="separate"/>
      </w:r>
      <w:r w:rsidRPr="00100A92">
        <w:rPr>
          <w:rFonts w:eastAsia="Times New Roman" w:cs="Arial"/>
          <w:noProof/>
          <w:sz w:val="20"/>
          <w:szCs w:val="20"/>
          <w:lang w:val="en-GB"/>
        </w:rPr>
        <w:t>[3]</w:t>
      </w:r>
      <w:r w:rsidRPr="00100A92">
        <w:rPr>
          <w:rFonts w:eastAsia="Times New Roman" w:cs="Arial"/>
          <w:sz w:val="20"/>
          <w:szCs w:val="20"/>
          <w:lang w:val="en-GB"/>
        </w:rPr>
        <w:fldChar w:fldCharType="end"/>
      </w:r>
      <w:r w:rsidRPr="00100A92">
        <w:rPr>
          <w:rFonts w:eastAsia="Times New Roman" w:cs="Arial"/>
          <w:sz w:val="20"/>
          <w:szCs w:val="20"/>
          <w:lang w:val="en-GB"/>
        </w:rPr>
        <w:t xml:space="preserve">. </w:t>
      </w:r>
      <w:proofErr w:type="spellStart"/>
      <w:r w:rsidRPr="00100A92">
        <w:rPr>
          <w:rFonts w:eastAsia="Times New Roman" w:cs="Arial"/>
          <w:sz w:val="20"/>
          <w:szCs w:val="20"/>
          <w:lang w:val="en-GB"/>
        </w:rPr>
        <w:t>PVoGs</w:t>
      </w:r>
      <w:proofErr w:type="spellEnd"/>
      <w:r w:rsidRPr="00100A92">
        <w:rPr>
          <w:rFonts w:eastAsia="Times New Roman" w:cs="Arial"/>
          <w:sz w:val="20"/>
          <w:szCs w:val="20"/>
          <w:lang w:val="en-GB"/>
        </w:rPr>
        <w:t xml:space="preserve"> go along with the corresponding CPGs and are therefore based on systematic research and on the current state of knowledge </w:t>
      </w:r>
      <w:r w:rsidRPr="00100A92">
        <w:rPr>
          <w:rFonts w:eastAsia="Times New Roman" w:cs="Arial"/>
          <w:sz w:val="20"/>
          <w:szCs w:val="20"/>
          <w:lang w:val="en-GB"/>
        </w:rPr>
        <w:fldChar w:fldCharType="begin"/>
      </w:r>
      <w:r w:rsidRPr="00100A92">
        <w:rPr>
          <w:rFonts w:eastAsia="Times New Roman" w:cs="Arial"/>
          <w:sz w:val="20"/>
          <w:szCs w:val="20"/>
          <w:lang w:val="en-GB"/>
        </w:rPr>
        <w:instrText xml:space="preserve"> ADDIN EN.CITE &lt;EndNote&gt;&lt;Cite&gt;&lt;Author&gt;Ärztliches Zentrum für Qualität in der Medizin (ÄZQ)&lt;/Author&gt;&lt;Year&gt;2019&lt;/Year&gt;&lt;RecNum&gt;10&lt;/RecNum&gt;&lt;DisplayText&gt;[4]&lt;/DisplayText&gt;&lt;record&gt;&lt;rec-number&gt;10&lt;/rec-number&gt;&lt;foreign-keys&gt;&lt;key app="EN" db-id="sr2f092pbxsz5rer0t35rzd99fzar0zsf9xr" timestamp="1660843508"&gt;10&lt;/key&gt;&lt;/foreign-keys&gt;&lt;ref-type name="Journal Article"&gt;17&lt;/ref-type&gt;&lt;contributors&gt;&lt;authors&gt;&lt;author&gt;Ärztliches Zentrum für Qualität in der Medizin (ÄZQ),&lt;/author&gt;&lt;author&gt;Office des Leitlinienprogramms Onkologie (OL),&lt;/author&gt;&lt;author&gt;AWMF-Institut für Medizinisches Wissensmanagement&lt;/author&gt;&lt;author&gt;(AWMF-IMWi), &lt;/author&gt;&lt;/authors&gt;&lt;/contributors&gt;&lt;titles&gt;&lt;title&gt;Erstellung von Patientenleitlinien zu S3-Leitlinien/NVL im Rahmen der Leitlinienprogramme&lt;/title&gt;&lt;/titles&gt;&lt;dates&gt;&lt;year&gt;2019&lt;/year&gt;&lt;/dates&gt;&lt;label&gt;Methods patient versions&lt;/label&gt;&lt;urls&gt;&lt;related-urls&gt;&lt;url&gt;https://patienten-information.de/medien/methodik/erstellung-pll-mr-nvl-ol-2aufl-vers1.pdf&lt;/url&gt;&lt;/related-urls&gt;&lt;/urls&gt;&lt;/record&gt;&lt;/Cite&gt;&lt;/EndNote&gt;</w:instrText>
      </w:r>
      <w:r w:rsidRPr="00100A92">
        <w:rPr>
          <w:rFonts w:eastAsia="Times New Roman" w:cs="Arial"/>
          <w:sz w:val="20"/>
          <w:szCs w:val="20"/>
          <w:lang w:val="en-GB"/>
        </w:rPr>
        <w:fldChar w:fldCharType="separate"/>
      </w:r>
      <w:r w:rsidRPr="00100A92">
        <w:rPr>
          <w:rFonts w:eastAsia="Times New Roman" w:cs="Arial"/>
          <w:noProof/>
          <w:sz w:val="20"/>
          <w:szCs w:val="20"/>
          <w:lang w:val="en-GB"/>
        </w:rPr>
        <w:t>[4]</w:t>
      </w:r>
      <w:r w:rsidRPr="00100A92">
        <w:rPr>
          <w:rFonts w:eastAsia="Times New Roman" w:cs="Arial"/>
          <w:sz w:val="20"/>
          <w:szCs w:val="20"/>
          <w:lang w:val="en-GB"/>
        </w:rPr>
        <w:fldChar w:fldCharType="end"/>
      </w:r>
      <w:r w:rsidRPr="00100A92">
        <w:rPr>
          <w:rFonts w:eastAsia="Times New Roman" w:cs="Arial"/>
          <w:sz w:val="20"/>
          <w:szCs w:val="20"/>
          <w:lang w:val="en-GB"/>
        </w:rPr>
        <w:t xml:space="preserve">. The up-to-dateness is not only a quality attribute to CPGs </w:t>
      </w:r>
      <w:r w:rsidRPr="00100A92">
        <w:rPr>
          <w:rFonts w:eastAsia="Times New Roman" w:cs="Arial"/>
          <w:sz w:val="20"/>
          <w:szCs w:val="20"/>
          <w:lang w:val="en-GB"/>
        </w:rPr>
        <w:fldChar w:fldCharType="begin"/>
      </w:r>
      <w:r w:rsidRPr="00100A92">
        <w:rPr>
          <w:rFonts w:eastAsia="Times New Roman" w:cs="Arial"/>
          <w:sz w:val="20"/>
          <w:szCs w:val="20"/>
          <w:lang w:val="en-GB"/>
        </w:rPr>
        <w:instrText xml:space="preserve"> ADDIN EN.CITE &lt;EndNote&gt;&lt;Cite&gt;&lt;Author&gt;Ärztliches Zentrum für Qualität in der Medizin (ÄZQ)&lt;/Author&gt;&lt;Year&gt;2019&lt;/Year&gt;&lt;RecNum&gt;10&lt;/RecNum&gt;&lt;DisplayText&gt;[4]&lt;/DisplayText&gt;&lt;record&gt;&lt;rec-number&gt;10&lt;/rec-number&gt;&lt;foreign-keys&gt;&lt;key app="EN" db-id="sr2f092pbxsz5rer0t35rzd99fzar0zsf9xr" timestamp="1660843508"&gt;10&lt;/key&gt;&lt;/foreign-keys&gt;&lt;ref-type name="Journal Article"&gt;17&lt;/ref-type&gt;&lt;contributors&gt;&lt;authors&gt;&lt;author&gt;Ärztliches Zentrum für Qualität in der Medizin (ÄZQ),&lt;/author&gt;&lt;author&gt;Office des Leitlinienprogramms Onkologie (OL),&lt;/author&gt;&lt;author&gt;AWMF-Institut für Medizinisches Wissensmanagement&lt;/author&gt;&lt;author&gt;(AWMF-IMWi), &lt;/author&gt;&lt;/authors&gt;&lt;/contributors&gt;&lt;titles&gt;&lt;title&gt;Erstellung von Patientenleitlinien zu S3-Leitlinien/NVL im Rahmen der Leitlinienprogramme&lt;/title&gt;&lt;/titles&gt;&lt;dates&gt;&lt;year&gt;2019&lt;/year&gt;&lt;/dates&gt;&lt;label&gt;Methods patient versions&lt;/label&gt;&lt;urls&gt;&lt;related-urls&gt;&lt;url&gt;https://patienten-information.de/medien/methodik/erstellung-pll-mr-nvl-ol-2aufl-vers1.pdf&lt;/url&gt;&lt;/related-urls&gt;&lt;/urls&gt;&lt;/record&gt;&lt;/Cite&gt;&lt;/EndNote&gt;</w:instrText>
      </w:r>
      <w:r w:rsidRPr="00100A92">
        <w:rPr>
          <w:rFonts w:eastAsia="Times New Roman" w:cs="Arial"/>
          <w:sz w:val="20"/>
          <w:szCs w:val="20"/>
          <w:lang w:val="en-GB"/>
        </w:rPr>
        <w:fldChar w:fldCharType="separate"/>
      </w:r>
      <w:r w:rsidRPr="00100A92">
        <w:rPr>
          <w:rFonts w:eastAsia="Times New Roman" w:cs="Arial"/>
          <w:noProof/>
          <w:sz w:val="20"/>
          <w:szCs w:val="20"/>
          <w:lang w:val="en-GB"/>
        </w:rPr>
        <w:t>[4]</w:t>
      </w:r>
      <w:r w:rsidRPr="00100A92">
        <w:rPr>
          <w:rFonts w:eastAsia="Times New Roman" w:cs="Arial"/>
          <w:sz w:val="20"/>
          <w:szCs w:val="20"/>
          <w:lang w:val="en-GB"/>
        </w:rPr>
        <w:fldChar w:fldCharType="end"/>
      </w:r>
      <w:r w:rsidRPr="00100A92">
        <w:rPr>
          <w:rFonts w:eastAsia="Times New Roman" w:cs="Arial"/>
          <w:sz w:val="20"/>
          <w:szCs w:val="20"/>
          <w:lang w:val="en-GB"/>
        </w:rPr>
        <w:t xml:space="preserve"> but is also essential, since outdated recommendations can potentially lead to harmful, ineffective or suboptimal practices </w:t>
      </w:r>
      <w:r w:rsidRPr="00100A92">
        <w:rPr>
          <w:rFonts w:eastAsia="Times New Roman" w:cs="Arial"/>
          <w:sz w:val="20"/>
          <w:szCs w:val="20"/>
          <w:lang w:val="en-GB"/>
        </w:rPr>
        <w:fldChar w:fldCharType="begin"/>
      </w:r>
      <w:r w:rsidRPr="00100A92">
        <w:rPr>
          <w:rFonts w:eastAsia="Times New Roman" w:cs="Arial"/>
          <w:sz w:val="20"/>
          <w:szCs w:val="20"/>
          <w:lang w:val="en-GB"/>
        </w:rPr>
        <w:instrText xml:space="preserve"> ADDIN EN.CITE &lt;EndNote&gt;&lt;Cite&gt;&lt;Author&gt;Woolf&lt;/Author&gt;&lt;Year&gt;1999&lt;/Year&gt;&lt;RecNum&gt;14&lt;/RecNum&gt;&lt;DisplayText&gt;[5]&lt;/DisplayText&gt;&lt;record&gt;&lt;rec-number&gt;14&lt;/rec-number&gt;&lt;foreign-keys&gt;&lt;key app="EN" db-id="sr2f092pbxsz5rer0t35rzd99fzar0zsf9xr" timestamp="1660912067"&gt;14&lt;/key&gt;&lt;/foreign-keys&gt;&lt;ref-type name="Journal Article"&gt;17&lt;/ref-type&gt;&lt;contributors&gt;&lt;authors&gt;&lt;author&gt;Woolf, S. H.&lt;/author&gt;&lt;author&gt;Grol, R.&lt;/author&gt;&lt;author&gt;Hutchinson, A.&lt;/author&gt;&lt;author&gt;Eccles, M.&lt;/author&gt;&lt;author&gt;Grimshaw, J.&lt;/author&gt;&lt;/authors&gt;&lt;/contributors&gt;&lt;auth-address&gt;Department of Family Practice, Virginia Commonwealth University, Fairfax, Virginia 22033, USA.&lt;/auth-address&gt;&lt;titles&gt;&lt;title&gt;Clinical guidelines: potential benefits, limitations, and harms of clinical guidelines&lt;/title&gt;&lt;secondary-title&gt;Bmj&lt;/secondary-title&gt;&lt;/titles&gt;&lt;periodical&gt;&lt;full-title&gt;Bmj&lt;/full-title&gt;&lt;/periodical&gt;&lt;pages&gt;527-30&lt;/pages&gt;&lt;volume&gt;318&lt;/volume&gt;&lt;number&gt;7182&lt;/number&gt;&lt;edition&gt;1999/02/19&lt;/edition&gt;&lt;keywords&gt;&lt;keyword&gt;Evidence-Based Medicine&lt;/keyword&gt;&lt;keyword&gt;Health Personnel&lt;/keyword&gt;&lt;keyword&gt;Outcome Assessment, Health Care&lt;/keyword&gt;&lt;keyword&gt;Patient Satisfaction&lt;/keyword&gt;&lt;keyword&gt;*Practice Guidelines as Topic&lt;/keyword&gt;&lt;keyword&gt;Quality of Health Care&lt;/keyword&gt;&lt;/keywords&gt;&lt;dates&gt;&lt;year&gt;1999&lt;/year&gt;&lt;pub-dates&gt;&lt;date&gt;Feb 20&lt;/date&gt;&lt;/pub-dates&gt;&lt;/dates&gt;&lt;isbn&gt;0959-8138 (Print)&amp;#xD;0959-8138&lt;/isbn&gt;&lt;accession-num&gt;10024268&lt;/accession-num&gt;&lt;label&gt;Pros and Cons of CPGs&lt;/label&gt;&lt;urls&gt;&lt;related-urls&gt;&lt;url&gt;https://www.ncbi.nlm.nih.gov/pmc/articles/PMC1114973/pdf/527.pdf&lt;/url&gt;&lt;/related-urls&gt;&lt;/urls&gt;&lt;custom2&gt;PMC1114973&lt;/custom2&gt;&lt;electronic-resource-num&gt;10.1136/bmj.318.7182.527&lt;/electronic-resource-num&gt;&lt;remote-database-provider&gt;NLM&lt;/remote-database-provider&gt;&lt;language&gt;eng&lt;/language&gt;&lt;/record&gt;&lt;/Cite&gt;&lt;/EndNote&gt;</w:instrText>
      </w:r>
      <w:r w:rsidRPr="00100A92">
        <w:rPr>
          <w:rFonts w:eastAsia="Times New Roman" w:cs="Arial"/>
          <w:sz w:val="20"/>
          <w:szCs w:val="20"/>
          <w:lang w:val="en-GB"/>
        </w:rPr>
        <w:fldChar w:fldCharType="separate"/>
      </w:r>
      <w:r w:rsidRPr="00100A92">
        <w:rPr>
          <w:rFonts w:eastAsia="Times New Roman" w:cs="Arial"/>
          <w:noProof/>
          <w:sz w:val="20"/>
          <w:szCs w:val="20"/>
          <w:lang w:val="en-GB"/>
        </w:rPr>
        <w:t>[5]</w:t>
      </w:r>
      <w:r w:rsidRPr="00100A92">
        <w:rPr>
          <w:rFonts w:eastAsia="Times New Roman" w:cs="Arial"/>
          <w:sz w:val="20"/>
          <w:szCs w:val="20"/>
          <w:lang w:val="en-GB"/>
        </w:rPr>
        <w:fldChar w:fldCharType="end"/>
      </w:r>
      <w:r w:rsidRPr="00100A92">
        <w:rPr>
          <w:rFonts w:eastAsia="Times New Roman" w:cs="Arial"/>
          <w:sz w:val="20"/>
          <w:szCs w:val="20"/>
          <w:lang w:val="en-GB"/>
        </w:rPr>
        <w:t xml:space="preserve">. In 2001, an analysis by </w:t>
      </w:r>
      <w:proofErr w:type="spellStart"/>
      <w:r w:rsidRPr="00100A92">
        <w:rPr>
          <w:rFonts w:eastAsia="Times New Roman" w:cs="Arial"/>
          <w:sz w:val="20"/>
          <w:szCs w:val="20"/>
          <w:lang w:val="en-GB"/>
        </w:rPr>
        <w:t>Shekelle</w:t>
      </w:r>
      <w:proofErr w:type="spellEnd"/>
      <w:r w:rsidRPr="00100A92">
        <w:rPr>
          <w:rFonts w:eastAsia="Times New Roman" w:cs="Arial"/>
          <w:sz w:val="20"/>
          <w:szCs w:val="20"/>
          <w:lang w:val="en-GB"/>
        </w:rPr>
        <w:t xml:space="preserve"> et al. revealed that more than three-quarter of analysed CPGs published by the Agency for Healthcare Research and Quality were outdated and needed revision </w:t>
      </w:r>
      <w:r w:rsidRPr="00100A92">
        <w:rPr>
          <w:rFonts w:eastAsia="Times New Roman" w:cs="Arial"/>
          <w:sz w:val="20"/>
          <w:szCs w:val="20"/>
          <w:lang w:val="en-GB"/>
        </w:rPr>
        <w:fldChar w:fldCharType="begin"/>
      </w:r>
      <w:r w:rsidRPr="00100A92">
        <w:rPr>
          <w:rFonts w:eastAsia="Times New Roman" w:cs="Arial"/>
          <w:sz w:val="20"/>
          <w:szCs w:val="20"/>
          <w:lang w:val="en-GB"/>
        </w:rPr>
        <w:instrText xml:space="preserve"> ADDIN EN.CITE &lt;EndNote&gt;&lt;Cite&gt;&lt;Author&gt;Shekelle&lt;/Author&gt;&lt;Year&gt;2001&lt;/Year&gt;&lt;RecNum&gt;15&lt;/RecNum&gt;&lt;DisplayText&gt;[6]&lt;/DisplayText&gt;&lt;record&gt;&lt;rec-number&gt;15&lt;/rec-number&gt;&lt;foreign-keys&gt;&lt;key app="EN" db-id="sr2f092pbxsz5rer0t35rzd99fzar0zsf9xr" timestamp="1660914616"&gt;15&lt;/key&gt;&lt;/foreign-keys&gt;&lt;ref-type name="Journal Article"&gt;17&lt;/ref-type&gt;&lt;contributors&gt;&lt;authors&gt;&lt;author&gt;Shekelle, P. G.&lt;/author&gt;&lt;author&gt;Ortiz, E.&lt;/author&gt;&lt;author&gt;Rhodes, S.&lt;/author&gt;&lt;author&gt;Morton, S. C.&lt;/author&gt;&lt;author&gt;Eccles, M. P.&lt;/author&gt;&lt;author&gt;Grimshaw, J. M.&lt;/author&gt;&lt;author&gt;Woolf, S. H.&lt;/author&gt;&lt;/authors&gt;&lt;/contributors&gt;&lt;auth-address&gt;RAND, 1700 Main St, PO Box 2138, Santa Monica, CA 90401, USA. shekelle@rand.org&lt;/auth-address&gt;&lt;titles&gt;&lt;title&gt;Validity of the Agency for Healthcare Research and Quality clinical practice guidelines: how quickly do guidelines become outdated?&lt;/title&gt;&lt;secondary-title&gt;Jama&lt;/secondary-title&gt;&lt;/titles&gt;&lt;periodical&gt;&lt;full-title&gt;Jama&lt;/full-title&gt;&lt;/periodical&gt;&lt;pages&gt;1461-7&lt;/pages&gt;&lt;volume&gt;286&lt;/volume&gt;&lt;number&gt;12&lt;/number&gt;&lt;edition&gt;2001/09/27&lt;/edition&gt;&lt;keywords&gt;&lt;keyword&gt;*Practice Guidelines as Topic&lt;/keyword&gt;&lt;keyword&gt;Quality Assurance, Health Care&lt;/keyword&gt;&lt;keyword&gt;Reproducibility of Results&lt;/keyword&gt;&lt;keyword&gt;United States&lt;/keyword&gt;&lt;keyword&gt;*United States Agency for Healthcare Research and Quality&lt;/keyword&gt;&lt;/keywords&gt;&lt;dates&gt;&lt;year&gt;2001&lt;/year&gt;&lt;pub-dates&gt;&lt;date&gt;Sep 26&lt;/date&gt;&lt;/pub-dates&gt;&lt;/dates&gt;&lt;isbn&gt;0098-7484 (Print)&amp;#xD;0098-7484&lt;/isbn&gt;&lt;accession-num&gt;11572738&lt;/accession-num&gt;&lt;label&gt;Timeliness of CPGs&lt;/label&gt;&lt;urls&gt;&lt;related-urls&gt;&lt;url&gt;https://jamanetwork.com/journals/jama/articlepdf/194222/joc02187.pdf&lt;/url&gt;&lt;/related-urls&gt;&lt;/urls&gt;&lt;electronic-resource-num&gt;10.1001/jama.286.12.1461&lt;/electronic-resource-num&gt;&lt;remote-database-provider&gt;NLM&lt;/remote-database-provider&gt;&lt;language&gt;eng&lt;/language&gt;&lt;/record&gt;&lt;/Cite&gt;&lt;/EndNote&gt;</w:instrText>
      </w:r>
      <w:r w:rsidRPr="00100A92">
        <w:rPr>
          <w:rFonts w:eastAsia="Times New Roman" w:cs="Arial"/>
          <w:sz w:val="20"/>
          <w:szCs w:val="20"/>
          <w:lang w:val="en-GB"/>
        </w:rPr>
        <w:fldChar w:fldCharType="separate"/>
      </w:r>
      <w:r w:rsidRPr="00100A92">
        <w:rPr>
          <w:rFonts w:eastAsia="Times New Roman" w:cs="Arial"/>
          <w:noProof/>
          <w:sz w:val="20"/>
          <w:szCs w:val="20"/>
          <w:lang w:val="en-GB"/>
        </w:rPr>
        <w:t>[6]</w:t>
      </w:r>
      <w:r w:rsidRPr="00100A92">
        <w:rPr>
          <w:rFonts w:eastAsia="Times New Roman" w:cs="Arial"/>
          <w:sz w:val="20"/>
          <w:szCs w:val="20"/>
          <w:lang w:val="en-GB"/>
        </w:rPr>
        <w:fldChar w:fldCharType="end"/>
      </w:r>
      <w:r w:rsidRPr="00100A92">
        <w:rPr>
          <w:rFonts w:eastAsia="Times New Roman" w:cs="Arial"/>
          <w:sz w:val="20"/>
          <w:szCs w:val="20"/>
          <w:lang w:val="en-GB"/>
        </w:rPr>
        <w:t xml:space="preserve">. Accordingly, the timeliness of </w:t>
      </w:r>
      <w:proofErr w:type="spellStart"/>
      <w:r w:rsidRPr="00100A92">
        <w:rPr>
          <w:rFonts w:eastAsia="Times New Roman" w:cs="Arial"/>
          <w:sz w:val="20"/>
          <w:szCs w:val="20"/>
          <w:lang w:val="en-GB"/>
        </w:rPr>
        <w:t>PVoGs</w:t>
      </w:r>
      <w:proofErr w:type="spellEnd"/>
      <w:r w:rsidRPr="00100A92">
        <w:rPr>
          <w:rFonts w:eastAsia="Times New Roman" w:cs="Arial"/>
          <w:sz w:val="20"/>
          <w:szCs w:val="20"/>
          <w:lang w:val="en-GB"/>
        </w:rPr>
        <w:t xml:space="preserve"> particularly depends on the timeliness of CPGs. For this reason, efficient development processes of </w:t>
      </w:r>
      <w:proofErr w:type="spellStart"/>
      <w:r w:rsidRPr="00100A92">
        <w:rPr>
          <w:rFonts w:eastAsia="Times New Roman" w:cs="Arial"/>
          <w:sz w:val="20"/>
          <w:szCs w:val="20"/>
          <w:lang w:val="en-GB"/>
        </w:rPr>
        <w:t>PVoGs</w:t>
      </w:r>
      <w:proofErr w:type="spellEnd"/>
      <w:r w:rsidRPr="00100A92">
        <w:rPr>
          <w:rFonts w:eastAsia="Times New Roman" w:cs="Arial"/>
          <w:sz w:val="20"/>
          <w:szCs w:val="20"/>
          <w:lang w:val="en-GB"/>
        </w:rPr>
        <w:t xml:space="preserve"> and the exploration of further potential methodological influencing factors on the timeliness of </w:t>
      </w:r>
      <w:proofErr w:type="spellStart"/>
      <w:r w:rsidRPr="00100A92">
        <w:rPr>
          <w:rFonts w:eastAsia="Times New Roman" w:cs="Arial"/>
          <w:sz w:val="20"/>
          <w:szCs w:val="20"/>
          <w:lang w:val="en-GB"/>
        </w:rPr>
        <w:t>PVoGs</w:t>
      </w:r>
      <w:proofErr w:type="spellEnd"/>
      <w:r w:rsidRPr="00100A92">
        <w:rPr>
          <w:rFonts w:eastAsia="Times New Roman" w:cs="Arial"/>
          <w:sz w:val="20"/>
          <w:szCs w:val="20"/>
          <w:lang w:val="en-GB"/>
        </w:rPr>
        <w:t xml:space="preserve"> are desirable. At present, data about the timeliness of </w:t>
      </w:r>
      <w:proofErr w:type="spellStart"/>
      <w:r w:rsidRPr="00100A92">
        <w:rPr>
          <w:rFonts w:eastAsia="Times New Roman" w:cs="Arial"/>
          <w:sz w:val="20"/>
          <w:szCs w:val="20"/>
          <w:lang w:val="en-GB"/>
        </w:rPr>
        <w:t>PVoGs</w:t>
      </w:r>
      <w:proofErr w:type="spellEnd"/>
      <w:r w:rsidRPr="00100A92">
        <w:rPr>
          <w:rFonts w:eastAsia="Times New Roman" w:cs="Arial"/>
          <w:sz w:val="20"/>
          <w:szCs w:val="20"/>
          <w:lang w:val="en-GB"/>
        </w:rPr>
        <w:t xml:space="preserve"> in Germany and corresponding potential methodological influencing factors are not available. Therefore, the main objective of this Master Thesis is to perform a mixed-methods analysis on the timeliness of national </w:t>
      </w:r>
      <w:proofErr w:type="spellStart"/>
      <w:r w:rsidRPr="00100A92">
        <w:rPr>
          <w:rFonts w:eastAsia="Times New Roman" w:cs="Arial"/>
          <w:sz w:val="20"/>
          <w:szCs w:val="20"/>
          <w:lang w:val="en-GB"/>
        </w:rPr>
        <w:t>PVoGs</w:t>
      </w:r>
      <w:proofErr w:type="spellEnd"/>
      <w:r w:rsidRPr="00100A92">
        <w:rPr>
          <w:rFonts w:eastAsia="Times New Roman" w:cs="Arial"/>
          <w:sz w:val="20"/>
          <w:szCs w:val="20"/>
          <w:lang w:val="en-GB"/>
        </w:rPr>
        <w:t xml:space="preserve"> and the potential methodological influence factors. </w:t>
      </w:r>
    </w:p>
    <w:p w:rsidR="00BE73E6" w:rsidRPr="00100A92" w:rsidRDefault="00BE73E6" w:rsidP="00A81057">
      <w:pPr>
        <w:spacing w:line="480" w:lineRule="auto"/>
        <w:contextualSpacing/>
        <w:rPr>
          <w:rFonts w:cs="Arial"/>
          <w:b/>
          <w:sz w:val="20"/>
          <w:szCs w:val="20"/>
          <w:lang w:val="en-GB"/>
        </w:rPr>
      </w:pPr>
      <w:bookmarkStart w:id="5" w:name="_Toc112420818"/>
      <w:bookmarkStart w:id="6" w:name="_Toc114500323"/>
      <w:r w:rsidRPr="00100A92">
        <w:rPr>
          <w:rFonts w:cs="Arial"/>
          <w:b/>
          <w:sz w:val="20"/>
          <w:szCs w:val="20"/>
          <w:lang w:val="en-GB"/>
        </w:rPr>
        <w:t>Methodology</w:t>
      </w:r>
      <w:bookmarkEnd w:id="5"/>
      <w:bookmarkEnd w:id="6"/>
      <w:r w:rsidRPr="00100A92">
        <w:rPr>
          <w:rFonts w:cs="Arial"/>
          <w:b/>
          <w:sz w:val="20"/>
          <w:szCs w:val="20"/>
          <w:lang w:val="en-GB"/>
        </w:rPr>
        <w:t xml:space="preserve"> </w:t>
      </w:r>
    </w:p>
    <w:p w:rsidR="00BE73E6" w:rsidRPr="00100A92" w:rsidRDefault="00BE73E6" w:rsidP="00A81057">
      <w:pPr>
        <w:spacing w:line="480" w:lineRule="auto"/>
        <w:contextualSpacing/>
        <w:rPr>
          <w:rFonts w:eastAsia="Times New Roman" w:cs="Arial"/>
          <w:sz w:val="20"/>
          <w:szCs w:val="20"/>
          <w:lang w:val="en-GB"/>
        </w:rPr>
      </w:pPr>
      <w:r w:rsidRPr="00100A92">
        <w:rPr>
          <w:rFonts w:eastAsia="Times New Roman" w:cs="Arial"/>
          <w:sz w:val="20"/>
          <w:szCs w:val="20"/>
          <w:lang w:val="en-GB"/>
        </w:rPr>
        <w:t xml:space="preserve">The mixed-methods analysis will comprise two main modules and will be based on a literature search and on expert interviews. </w:t>
      </w:r>
    </w:p>
    <w:p w:rsidR="00BE73E6" w:rsidRPr="00100A92" w:rsidRDefault="00BE73E6" w:rsidP="00A81057">
      <w:pPr>
        <w:spacing w:line="480" w:lineRule="auto"/>
        <w:contextualSpacing/>
        <w:rPr>
          <w:rFonts w:eastAsia="Times New Roman" w:cs="Arial"/>
          <w:sz w:val="20"/>
          <w:szCs w:val="20"/>
          <w:lang w:val="en-GB"/>
        </w:rPr>
      </w:pPr>
      <w:r w:rsidRPr="00100A92">
        <w:rPr>
          <w:rFonts w:eastAsia="Times New Roman" w:cs="Arial"/>
          <w:sz w:val="20"/>
          <w:szCs w:val="20"/>
          <w:lang w:val="en-GB"/>
        </w:rPr>
        <w:t xml:space="preserve">In module 1, the timeliness of </w:t>
      </w:r>
      <w:proofErr w:type="spellStart"/>
      <w:r w:rsidRPr="00100A92">
        <w:rPr>
          <w:rFonts w:eastAsia="Times New Roman" w:cs="Arial"/>
          <w:sz w:val="20"/>
          <w:szCs w:val="20"/>
          <w:lang w:val="en-GB"/>
        </w:rPr>
        <w:t>PVoGs</w:t>
      </w:r>
      <w:proofErr w:type="spellEnd"/>
      <w:r w:rsidRPr="00100A92">
        <w:rPr>
          <w:rFonts w:eastAsia="Times New Roman" w:cs="Arial"/>
          <w:sz w:val="20"/>
          <w:szCs w:val="20"/>
          <w:lang w:val="en-GB"/>
        </w:rPr>
        <w:t xml:space="preserve"> and potential methodological influence factors will be analysed based on a literature search. </w:t>
      </w:r>
      <w:proofErr w:type="spellStart"/>
      <w:r w:rsidRPr="00100A92">
        <w:rPr>
          <w:rFonts w:eastAsia="Times New Roman" w:cs="Arial"/>
          <w:sz w:val="20"/>
          <w:szCs w:val="20"/>
          <w:lang w:val="en-GB"/>
        </w:rPr>
        <w:t>PVoGs</w:t>
      </w:r>
      <w:proofErr w:type="spellEnd"/>
      <w:r w:rsidRPr="00100A92">
        <w:rPr>
          <w:rFonts w:eastAsia="Times New Roman" w:cs="Arial"/>
          <w:sz w:val="20"/>
          <w:szCs w:val="20"/>
          <w:lang w:val="en-GB"/>
        </w:rPr>
        <w:t xml:space="preserve"> will be included into this analysis, if they fulfil the following criteria: published in German, free accessible, defined as </w:t>
      </w:r>
      <w:proofErr w:type="spellStart"/>
      <w:r w:rsidRPr="00100A92">
        <w:rPr>
          <w:rFonts w:eastAsia="Times New Roman" w:cs="Arial"/>
          <w:sz w:val="20"/>
          <w:szCs w:val="20"/>
          <w:lang w:val="en-GB"/>
        </w:rPr>
        <w:t>PVoG</w:t>
      </w:r>
      <w:proofErr w:type="spellEnd"/>
      <w:r w:rsidRPr="00100A92">
        <w:rPr>
          <w:rFonts w:eastAsia="Times New Roman" w:cs="Arial"/>
          <w:sz w:val="20"/>
          <w:szCs w:val="20"/>
          <w:lang w:val="en-GB"/>
        </w:rPr>
        <w:t xml:space="preserve"> by authors, explicit link to corresponding CPG, current final version, date of research strategy of CPG available and publication date of </w:t>
      </w:r>
      <w:proofErr w:type="spellStart"/>
      <w:r w:rsidRPr="00100A92">
        <w:rPr>
          <w:rFonts w:eastAsia="Times New Roman" w:cs="Arial"/>
          <w:sz w:val="20"/>
          <w:szCs w:val="20"/>
          <w:lang w:val="en-GB"/>
        </w:rPr>
        <w:t>PVoG</w:t>
      </w:r>
      <w:proofErr w:type="spellEnd"/>
      <w:r w:rsidRPr="00100A92">
        <w:rPr>
          <w:rFonts w:eastAsia="Times New Roman" w:cs="Arial"/>
          <w:sz w:val="20"/>
          <w:szCs w:val="20"/>
          <w:lang w:val="en-GB"/>
        </w:rPr>
        <w:t xml:space="preserve"> available. </w:t>
      </w:r>
      <w:r w:rsidRPr="00100A92">
        <w:rPr>
          <w:rFonts w:eastAsia="Times New Roman" w:cs="Arial"/>
          <w:sz w:val="20"/>
          <w:szCs w:val="20"/>
        </w:rPr>
        <w:t xml:space="preserve">To identify PVoGs on national level, the websites of the following organizations will be searched by one reviewer: Nationale Versorgungsleitlinien (NVL), Arbeitsgemeinschaft der Wissenschaftlichen Medizinischen Fachgesellschaften e.V. (AWMF), Leitlinienprogramm Onkologie (OL). </w:t>
      </w:r>
      <w:r w:rsidRPr="00100A92">
        <w:rPr>
          <w:rFonts w:eastAsia="Times New Roman" w:cs="Arial"/>
          <w:sz w:val="20"/>
          <w:szCs w:val="20"/>
          <w:lang w:val="en-GB"/>
        </w:rPr>
        <w:t xml:space="preserve">Additionally, a manual search will be conducted in google and the reference lists of identified </w:t>
      </w:r>
      <w:proofErr w:type="spellStart"/>
      <w:r w:rsidRPr="00100A92">
        <w:rPr>
          <w:rFonts w:eastAsia="Times New Roman" w:cs="Arial"/>
          <w:sz w:val="20"/>
          <w:szCs w:val="20"/>
          <w:lang w:val="en-GB"/>
        </w:rPr>
        <w:t>PVoGs</w:t>
      </w:r>
      <w:proofErr w:type="spellEnd"/>
      <w:r w:rsidRPr="00100A92">
        <w:rPr>
          <w:rFonts w:eastAsia="Times New Roman" w:cs="Arial"/>
          <w:sz w:val="20"/>
          <w:szCs w:val="20"/>
          <w:lang w:val="en-GB"/>
        </w:rPr>
        <w:t xml:space="preserve"> will be screened. Title and abstract screening will be carried out by two independent reviewers and the full-texts of potentially relevant papers will be checked. The publication dates of the </w:t>
      </w:r>
      <w:proofErr w:type="spellStart"/>
      <w:r w:rsidRPr="00100A92">
        <w:rPr>
          <w:rFonts w:eastAsia="Times New Roman" w:cs="Arial"/>
          <w:sz w:val="20"/>
          <w:szCs w:val="20"/>
          <w:lang w:val="en-GB"/>
        </w:rPr>
        <w:t>PVoGs</w:t>
      </w:r>
      <w:proofErr w:type="spellEnd"/>
      <w:r w:rsidRPr="00100A92">
        <w:rPr>
          <w:rFonts w:eastAsia="Times New Roman" w:cs="Arial"/>
          <w:sz w:val="20"/>
          <w:szCs w:val="20"/>
          <w:lang w:val="en-GB"/>
        </w:rPr>
        <w:t xml:space="preserve"> will be compared with </w:t>
      </w:r>
      <w:r w:rsidRPr="00100A92">
        <w:rPr>
          <w:rFonts w:eastAsia="Times New Roman" w:cs="Arial"/>
          <w:sz w:val="20"/>
          <w:szCs w:val="20"/>
          <w:lang w:val="en-GB"/>
        </w:rPr>
        <w:lastRenderedPageBreak/>
        <w:t xml:space="preserve">the time when the search strategies were performed in the CPGs to analyse the timeliness of </w:t>
      </w:r>
      <w:proofErr w:type="spellStart"/>
      <w:r w:rsidRPr="00100A92">
        <w:rPr>
          <w:rFonts w:eastAsia="Times New Roman" w:cs="Arial"/>
          <w:sz w:val="20"/>
          <w:szCs w:val="20"/>
          <w:lang w:val="en-GB"/>
        </w:rPr>
        <w:t>PVoGs</w:t>
      </w:r>
      <w:proofErr w:type="spellEnd"/>
      <w:r w:rsidRPr="00100A92">
        <w:rPr>
          <w:rFonts w:eastAsia="Times New Roman" w:cs="Arial"/>
          <w:sz w:val="20"/>
          <w:szCs w:val="20"/>
          <w:lang w:val="en-GB"/>
        </w:rPr>
        <w:t xml:space="preserve">. The </w:t>
      </w:r>
      <w:proofErr w:type="spellStart"/>
      <w:r w:rsidRPr="00100A92">
        <w:rPr>
          <w:rFonts w:eastAsia="Times New Roman" w:cs="Arial"/>
          <w:sz w:val="20"/>
          <w:szCs w:val="20"/>
          <w:lang w:val="en-GB"/>
        </w:rPr>
        <w:t>PVoGs</w:t>
      </w:r>
      <w:proofErr w:type="spellEnd"/>
      <w:r w:rsidRPr="00100A92">
        <w:rPr>
          <w:rFonts w:eastAsia="Times New Roman" w:cs="Arial"/>
          <w:sz w:val="20"/>
          <w:szCs w:val="20"/>
          <w:lang w:val="en-GB"/>
        </w:rPr>
        <w:t xml:space="preserve"> and the CPGs will be screened and if available, corresponding methods papers will also be checked. Data will be extracted by one reviewer and verified by another. The following general information will be included into the a priori developed and piloted data extraction sheet: source, medical condition, publication date of </w:t>
      </w:r>
      <w:proofErr w:type="spellStart"/>
      <w:r w:rsidRPr="00100A92">
        <w:rPr>
          <w:rFonts w:eastAsia="Times New Roman" w:cs="Arial"/>
          <w:sz w:val="20"/>
          <w:szCs w:val="20"/>
          <w:lang w:val="en-GB"/>
        </w:rPr>
        <w:t>PVoG</w:t>
      </w:r>
      <w:proofErr w:type="spellEnd"/>
      <w:r w:rsidRPr="00100A92">
        <w:rPr>
          <w:rFonts w:eastAsia="Times New Roman" w:cs="Arial"/>
          <w:sz w:val="20"/>
          <w:szCs w:val="20"/>
          <w:lang w:val="en-GB"/>
        </w:rPr>
        <w:t xml:space="preserve"> and time when the search strategies were performed in the CPG. Information such as the number of pages, target audience, use of glossary, use of charts/illustrations, use of grade of recommendation, patient involvement, availability of methods paper, chronological order of the developing process/publication of CPG and </w:t>
      </w:r>
      <w:proofErr w:type="spellStart"/>
      <w:r w:rsidRPr="00100A92">
        <w:rPr>
          <w:rFonts w:eastAsia="Times New Roman" w:cs="Arial"/>
          <w:sz w:val="20"/>
          <w:szCs w:val="20"/>
          <w:lang w:val="en-GB"/>
        </w:rPr>
        <w:t>PVoG</w:t>
      </w:r>
      <w:proofErr w:type="spellEnd"/>
      <w:r w:rsidRPr="00100A92">
        <w:rPr>
          <w:rFonts w:eastAsia="Times New Roman" w:cs="Arial"/>
          <w:sz w:val="20"/>
          <w:szCs w:val="20"/>
          <w:lang w:val="en-GB"/>
        </w:rPr>
        <w:t xml:space="preserve"> (CPG first or CPG and </w:t>
      </w:r>
      <w:proofErr w:type="spellStart"/>
      <w:r w:rsidRPr="00100A92">
        <w:rPr>
          <w:rFonts w:eastAsia="Times New Roman" w:cs="Arial"/>
          <w:sz w:val="20"/>
          <w:szCs w:val="20"/>
          <w:lang w:val="en-GB"/>
        </w:rPr>
        <w:t>PVoG</w:t>
      </w:r>
      <w:proofErr w:type="spellEnd"/>
      <w:r w:rsidRPr="00100A92">
        <w:rPr>
          <w:rFonts w:eastAsia="Times New Roman" w:cs="Arial"/>
          <w:sz w:val="20"/>
          <w:szCs w:val="20"/>
          <w:lang w:val="en-GB"/>
        </w:rPr>
        <w:t xml:space="preserve"> in parallel) and whether the </w:t>
      </w:r>
      <w:proofErr w:type="spellStart"/>
      <w:r w:rsidRPr="00100A92">
        <w:rPr>
          <w:rFonts w:eastAsia="Times New Roman" w:cs="Arial"/>
          <w:sz w:val="20"/>
          <w:szCs w:val="20"/>
          <w:lang w:val="en-GB"/>
        </w:rPr>
        <w:t>PVoG</w:t>
      </w:r>
      <w:proofErr w:type="spellEnd"/>
      <w:r w:rsidRPr="00100A92">
        <w:rPr>
          <w:rFonts w:eastAsia="Times New Roman" w:cs="Arial"/>
          <w:sz w:val="20"/>
          <w:szCs w:val="20"/>
          <w:lang w:val="en-GB"/>
        </w:rPr>
        <w:t xml:space="preserve"> is available as online document, print or both will be extracted. The list of pre-specified methodological influencing factors may be extended during data extraction. The extracted information will be synthesized narratively and the timeliness of </w:t>
      </w:r>
      <w:proofErr w:type="spellStart"/>
      <w:r w:rsidRPr="00100A92">
        <w:rPr>
          <w:rFonts w:eastAsia="Times New Roman" w:cs="Arial"/>
          <w:sz w:val="20"/>
          <w:szCs w:val="20"/>
          <w:lang w:val="en-GB"/>
        </w:rPr>
        <w:t>PVoGs</w:t>
      </w:r>
      <w:proofErr w:type="spellEnd"/>
      <w:r w:rsidRPr="00100A92">
        <w:rPr>
          <w:rFonts w:eastAsia="Times New Roman" w:cs="Arial"/>
          <w:sz w:val="20"/>
          <w:szCs w:val="20"/>
          <w:lang w:val="en-GB"/>
        </w:rPr>
        <w:t xml:space="preserve"> will be reported by mean (standard deviation) and median (Interquartile range).  </w:t>
      </w:r>
    </w:p>
    <w:p w:rsidR="00191D2D" w:rsidRPr="00100A92" w:rsidRDefault="00BE73E6" w:rsidP="00191D2D">
      <w:pPr>
        <w:spacing w:line="480" w:lineRule="auto"/>
        <w:contextualSpacing/>
        <w:rPr>
          <w:rFonts w:eastAsia="Times New Roman" w:cs="Arial"/>
          <w:sz w:val="20"/>
          <w:szCs w:val="20"/>
          <w:lang w:val="en-GB"/>
        </w:rPr>
      </w:pPr>
      <w:r w:rsidRPr="00100A92">
        <w:rPr>
          <w:rFonts w:eastAsia="Times New Roman" w:cs="Arial"/>
          <w:sz w:val="20"/>
          <w:szCs w:val="20"/>
          <w:lang w:val="en-GB"/>
        </w:rPr>
        <w:t xml:space="preserve">In module 2, further potential methodological influence factors will be explored by conducting interviews with experts in the development of </w:t>
      </w:r>
      <w:proofErr w:type="spellStart"/>
      <w:r w:rsidRPr="00100A92">
        <w:rPr>
          <w:rFonts w:eastAsia="Times New Roman" w:cs="Arial"/>
          <w:sz w:val="20"/>
          <w:szCs w:val="20"/>
          <w:lang w:val="en-GB"/>
        </w:rPr>
        <w:t>PVoGs</w:t>
      </w:r>
      <w:proofErr w:type="spellEnd"/>
      <w:r w:rsidRPr="00100A92">
        <w:rPr>
          <w:rFonts w:eastAsia="Times New Roman" w:cs="Arial"/>
          <w:sz w:val="20"/>
          <w:szCs w:val="20"/>
          <w:lang w:val="en-GB"/>
        </w:rPr>
        <w:t xml:space="preserve">. Members of the Development Groups of </w:t>
      </w:r>
      <w:proofErr w:type="spellStart"/>
      <w:r w:rsidRPr="00100A92">
        <w:rPr>
          <w:rFonts w:eastAsia="Times New Roman" w:cs="Arial"/>
          <w:sz w:val="20"/>
          <w:szCs w:val="20"/>
          <w:lang w:val="en-GB"/>
        </w:rPr>
        <w:t>PVoGs</w:t>
      </w:r>
      <w:proofErr w:type="spellEnd"/>
      <w:r w:rsidRPr="00100A92">
        <w:rPr>
          <w:rFonts w:eastAsia="Times New Roman" w:cs="Arial"/>
          <w:sz w:val="20"/>
          <w:szCs w:val="20"/>
          <w:lang w:val="en-GB"/>
        </w:rPr>
        <w:t xml:space="preserve">, previously identified within module 1 will be contacted via e-mail to determine 5-10 interview participants. An interview guide will be conducted a priori and piloted before interviewing. The interviews will be conducted via phone and will be recorded and transcribed by one reviewer. The analysis will be based on the qualitative content analysis according to </w:t>
      </w:r>
      <w:proofErr w:type="spellStart"/>
      <w:r w:rsidRPr="00100A92">
        <w:rPr>
          <w:rFonts w:eastAsia="Times New Roman" w:cs="Arial"/>
          <w:sz w:val="20"/>
          <w:szCs w:val="20"/>
          <w:lang w:val="en-GB"/>
        </w:rPr>
        <w:t>Mayring</w:t>
      </w:r>
      <w:proofErr w:type="spellEnd"/>
      <w:r w:rsidRPr="00100A92">
        <w:rPr>
          <w:rFonts w:eastAsia="Times New Roman" w:cs="Arial"/>
          <w:sz w:val="20"/>
          <w:szCs w:val="20"/>
          <w:lang w:val="en-GB"/>
        </w:rPr>
        <w:t xml:space="preserve"> </w:t>
      </w:r>
      <w:r w:rsidRPr="00100A92">
        <w:rPr>
          <w:rFonts w:eastAsia="Times New Roman" w:cs="Arial"/>
          <w:sz w:val="20"/>
          <w:szCs w:val="20"/>
          <w:lang w:val="en-GB"/>
        </w:rPr>
        <w:fldChar w:fldCharType="begin"/>
      </w:r>
      <w:r w:rsidRPr="00100A92">
        <w:rPr>
          <w:rFonts w:eastAsia="Times New Roman" w:cs="Arial"/>
          <w:sz w:val="20"/>
          <w:szCs w:val="20"/>
          <w:lang w:val="en-GB"/>
        </w:rPr>
        <w:instrText xml:space="preserve"> ADDIN EN.CITE &lt;EndNote&gt;&lt;Cite&gt;&lt;Author&gt;Mayring&lt;/Author&gt;&lt;Year&gt;2022&lt;/Year&gt;&lt;RecNum&gt;17&lt;/RecNum&gt;&lt;DisplayText&gt;[7]&lt;/DisplayText&gt;&lt;record&gt;&lt;rec-number&gt;17&lt;/rec-number&gt;&lt;foreign-keys&gt;&lt;key app="EN" db-id="sr2f092pbxsz5rer0t35rzd99fzar0zsf9xr" timestamp="1663948461"&gt;17&lt;/key&gt;&lt;/foreign-keys&gt;&lt;ref-type name="Book"&gt;6&lt;/ref-type&gt;&lt;contributors&gt;&lt;authors&gt;&lt;author&gt;Mayring, P.&lt;/author&gt;&lt;/authors&gt;&lt;/contributors&gt;&lt;titles&gt;&lt;title&gt;Qualitative Inhaltsanalyse. Grundlagen und Techniken&lt;/title&gt;&lt;/titles&gt;&lt;edition&gt;13&lt;/edition&gt;&lt;dates&gt;&lt;year&gt;2022&lt;/year&gt;&lt;/dates&gt;&lt;pub-location&gt;Weinheim/Basel&lt;/pub-location&gt;&lt;publisher&gt;Beltz&lt;/publisher&gt;&lt;urls&gt;&lt;/urls&gt;&lt;/record&gt;&lt;/Cite&gt;&lt;Cite&gt;&lt;Author&gt;Mayring&lt;/Author&gt;&lt;Year&gt;2022&lt;/Year&gt;&lt;RecNum&gt;17&lt;/RecNum&gt;&lt;record&gt;&lt;rec-number&gt;17&lt;/rec-number&gt;&lt;foreign-keys&gt;&lt;key app="EN" db-id="sr2f092pbxsz5rer0t35rzd99fzar0zsf9xr" timestamp="1663948461"&gt;17&lt;/key&gt;&lt;/foreign-keys&gt;&lt;ref-type name="Book"&gt;6&lt;/ref-type&gt;&lt;contributors&gt;&lt;authors&gt;&lt;author&gt;Mayring, P.&lt;/author&gt;&lt;/authors&gt;&lt;/contributors&gt;&lt;titles&gt;&lt;title&gt;Qualitative Inhaltsanalyse. Grundlagen und Techniken&lt;/title&gt;&lt;/titles&gt;&lt;edition&gt;13&lt;/edition&gt;&lt;dates&gt;&lt;year&gt;2022&lt;/year&gt;&lt;/dates&gt;&lt;pub-location&gt;Weinheim/Basel&lt;/pub-location&gt;&lt;publisher&gt;Beltz&lt;/publisher&gt;&lt;urls&gt;&lt;/urls&gt;&lt;/record&gt;&lt;/Cite&gt;&lt;/EndNote&gt;</w:instrText>
      </w:r>
      <w:r w:rsidRPr="00100A92">
        <w:rPr>
          <w:rFonts w:eastAsia="Times New Roman" w:cs="Arial"/>
          <w:sz w:val="20"/>
          <w:szCs w:val="20"/>
          <w:lang w:val="en-GB"/>
        </w:rPr>
        <w:fldChar w:fldCharType="separate"/>
      </w:r>
      <w:r w:rsidRPr="00100A92">
        <w:rPr>
          <w:rFonts w:eastAsia="Times New Roman" w:cs="Arial"/>
          <w:noProof/>
          <w:sz w:val="20"/>
          <w:szCs w:val="20"/>
          <w:lang w:val="en-GB"/>
        </w:rPr>
        <w:t>[7]</w:t>
      </w:r>
      <w:r w:rsidRPr="00100A92">
        <w:rPr>
          <w:rFonts w:eastAsia="Times New Roman" w:cs="Arial"/>
          <w:sz w:val="20"/>
          <w:szCs w:val="20"/>
          <w:lang w:val="en-GB"/>
        </w:rPr>
        <w:fldChar w:fldCharType="end"/>
      </w:r>
      <w:r w:rsidRPr="00100A92">
        <w:rPr>
          <w:rFonts w:eastAsia="Times New Roman" w:cs="Arial"/>
          <w:sz w:val="20"/>
          <w:szCs w:val="20"/>
          <w:lang w:val="en-GB"/>
        </w:rPr>
        <w:t xml:space="preserve">, by applying the qualitative data analysis software MAXQDA. </w:t>
      </w:r>
      <w:bookmarkStart w:id="7" w:name="_Toc112420819"/>
      <w:bookmarkStart w:id="8" w:name="_Toc114500324"/>
    </w:p>
    <w:p w:rsidR="00191D2D" w:rsidRPr="00100A92" w:rsidRDefault="00191D2D" w:rsidP="00191D2D">
      <w:pPr>
        <w:spacing w:line="480" w:lineRule="auto"/>
        <w:contextualSpacing/>
        <w:rPr>
          <w:rFonts w:cs="Arial"/>
          <w:b/>
          <w:color w:val="262626"/>
          <w:sz w:val="20"/>
          <w:szCs w:val="20"/>
          <w:lang w:val="en-GB"/>
        </w:rPr>
        <w:sectPr w:rsidR="00191D2D" w:rsidRPr="00100A92" w:rsidSect="00191D2D">
          <w:pgSz w:w="11906" w:h="16838"/>
          <w:pgMar w:top="1440" w:right="1440" w:bottom="1440" w:left="1440" w:header="708" w:footer="708" w:gutter="0"/>
          <w:cols w:space="708"/>
          <w:docGrid w:linePitch="360"/>
        </w:sectPr>
      </w:pPr>
    </w:p>
    <w:p w:rsidR="00BE73E6" w:rsidRPr="00100A92" w:rsidRDefault="00BE73E6" w:rsidP="00191D2D">
      <w:pPr>
        <w:spacing w:line="480" w:lineRule="auto"/>
        <w:contextualSpacing/>
        <w:rPr>
          <w:rFonts w:cs="Arial"/>
          <w:noProof/>
          <w:sz w:val="20"/>
          <w:szCs w:val="20"/>
          <w:lang w:val="en-GB"/>
        </w:rPr>
      </w:pPr>
      <w:r w:rsidRPr="00100A92">
        <w:rPr>
          <w:rFonts w:cs="Arial"/>
          <w:b/>
          <w:color w:val="262626"/>
          <w:sz w:val="20"/>
          <w:szCs w:val="20"/>
          <w:lang w:val="en-GB"/>
        </w:rPr>
        <w:lastRenderedPageBreak/>
        <w:t>References</w:t>
      </w:r>
      <w:bookmarkEnd w:id="7"/>
      <w:bookmarkEnd w:id="8"/>
      <w:r w:rsidRPr="00100A92">
        <w:rPr>
          <w:rFonts w:cs="Arial"/>
          <w:noProof/>
          <w:sz w:val="20"/>
          <w:szCs w:val="20"/>
          <w:lang w:val="en-GB"/>
        </w:rPr>
        <w:fldChar w:fldCharType="begin"/>
      </w:r>
      <w:r w:rsidRPr="00100A92">
        <w:rPr>
          <w:rFonts w:cs="Arial"/>
          <w:noProof/>
          <w:sz w:val="20"/>
          <w:szCs w:val="20"/>
          <w:lang w:val="en-GB"/>
        </w:rPr>
        <w:instrText xml:space="preserve"> ADDIN EN.REFLIST </w:instrText>
      </w:r>
      <w:r w:rsidRPr="00100A92">
        <w:rPr>
          <w:rFonts w:cs="Arial"/>
          <w:noProof/>
          <w:sz w:val="20"/>
          <w:szCs w:val="20"/>
          <w:lang w:val="en-GB"/>
        </w:rPr>
        <w:fldChar w:fldCharType="separate"/>
      </w:r>
    </w:p>
    <w:p w:rsidR="00B615F7" w:rsidRPr="00100A92" w:rsidRDefault="00BE73E6" w:rsidP="00B615F7">
      <w:pPr>
        <w:ind w:left="705" w:hanging="705"/>
        <w:rPr>
          <w:rFonts w:cs="Arial"/>
          <w:sz w:val="20"/>
          <w:szCs w:val="20"/>
          <w:lang w:val="en-GB"/>
        </w:rPr>
      </w:pPr>
      <w:r w:rsidRPr="00100A92">
        <w:rPr>
          <w:rFonts w:cs="Arial"/>
          <w:sz w:val="20"/>
          <w:szCs w:val="20"/>
          <w:lang w:val="en-GB"/>
        </w:rPr>
        <w:fldChar w:fldCharType="end"/>
      </w:r>
      <w:bookmarkEnd w:id="1"/>
      <w:r w:rsidR="00B615F7" w:rsidRPr="00100A92">
        <w:rPr>
          <w:rFonts w:cs="Arial"/>
          <w:sz w:val="20"/>
          <w:szCs w:val="20"/>
          <w:lang w:val="en-GB"/>
        </w:rPr>
        <w:t>1.</w:t>
      </w:r>
      <w:r w:rsidR="00B615F7" w:rsidRPr="00100A92">
        <w:rPr>
          <w:rFonts w:cs="Arial"/>
          <w:sz w:val="20"/>
          <w:szCs w:val="20"/>
          <w:lang w:val="en-GB"/>
        </w:rPr>
        <w:tab/>
        <w:t xml:space="preserve">Graham R, </w:t>
      </w:r>
      <w:proofErr w:type="spellStart"/>
      <w:r w:rsidR="00B615F7" w:rsidRPr="00100A92">
        <w:rPr>
          <w:rFonts w:cs="Arial"/>
          <w:sz w:val="20"/>
          <w:szCs w:val="20"/>
          <w:lang w:val="en-GB"/>
        </w:rPr>
        <w:t>Mancher</w:t>
      </w:r>
      <w:proofErr w:type="spellEnd"/>
      <w:r w:rsidR="00B615F7" w:rsidRPr="00100A92">
        <w:rPr>
          <w:rFonts w:cs="Arial"/>
          <w:sz w:val="20"/>
          <w:szCs w:val="20"/>
          <w:lang w:val="en-GB"/>
        </w:rPr>
        <w:t xml:space="preserve"> M, Miller Wolman D, Greenfield S, Steinberg E. Clinical Practice Guidelines We Can Trust. Clinical Practice Guidelines We Can Trust, ed. R. Graham, et al.  Washington (DC); 2011</w:t>
      </w:r>
    </w:p>
    <w:p w:rsidR="00B615F7" w:rsidRPr="00100A92" w:rsidRDefault="00B615F7" w:rsidP="00B615F7">
      <w:pPr>
        <w:ind w:left="705" w:hanging="705"/>
        <w:rPr>
          <w:rFonts w:cs="Arial"/>
          <w:sz w:val="20"/>
          <w:szCs w:val="20"/>
          <w:lang w:val="en-GB"/>
        </w:rPr>
      </w:pPr>
      <w:r w:rsidRPr="00100A92">
        <w:rPr>
          <w:rFonts w:cs="Arial"/>
          <w:sz w:val="20"/>
          <w:szCs w:val="20"/>
          <w:lang w:val="en-GB"/>
        </w:rPr>
        <w:t>2.</w:t>
      </w:r>
      <w:r w:rsidRPr="00100A92">
        <w:rPr>
          <w:rFonts w:cs="Arial"/>
          <w:sz w:val="20"/>
          <w:szCs w:val="20"/>
          <w:lang w:val="en-GB"/>
        </w:rPr>
        <w:tab/>
        <w:t xml:space="preserve">Loudon K, </w:t>
      </w:r>
      <w:proofErr w:type="spellStart"/>
      <w:r w:rsidRPr="00100A92">
        <w:rPr>
          <w:rFonts w:cs="Arial"/>
          <w:sz w:val="20"/>
          <w:szCs w:val="20"/>
          <w:lang w:val="en-GB"/>
        </w:rPr>
        <w:t>Santesso</w:t>
      </w:r>
      <w:proofErr w:type="spellEnd"/>
      <w:r w:rsidRPr="00100A92">
        <w:rPr>
          <w:rFonts w:cs="Arial"/>
          <w:sz w:val="20"/>
          <w:szCs w:val="20"/>
          <w:lang w:val="en-GB"/>
        </w:rPr>
        <w:t xml:space="preserve"> N, Callaghan M, Thornton J, Harbour J, Graham K, et al. Patient and public attitudes to and awareness of clinical practice guidelines: a systematic review with thematic and narrative syntheses. BMC Health </w:t>
      </w:r>
      <w:proofErr w:type="spellStart"/>
      <w:r w:rsidRPr="00100A92">
        <w:rPr>
          <w:rFonts w:cs="Arial"/>
          <w:sz w:val="20"/>
          <w:szCs w:val="20"/>
          <w:lang w:val="en-GB"/>
        </w:rPr>
        <w:t>Serv</w:t>
      </w:r>
      <w:proofErr w:type="spellEnd"/>
      <w:r w:rsidRPr="00100A92">
        <w:rPr>
          <w:rFonts w:cs="Arial"/>
          <w:sz w:val="20"/>
          <w:szCs w:val="20"/>
          <w:lang w:val="en-GB"/>
        </w:rPr>
        <w:t xml:space="preserve"> Res. 2014; 14: 321</w:t>
      </w:r>
    </w:p>
    <w:p w:rsidR="00B615F7" w:rsidRPr="00100A92" w:rsidRDefault="00B615F7" w:rsidP="00B615F7">
      <w:pPr>
        <w:ind w:left="705" w:hanging="705"/>
        <w:rPr>
          <w:rFonts w:cs="Arial"/>
          <w:sz w:val="20"/>
          <w:szCs w:val="20"/>
        </w:rPr>
      </w:pPr>
      <w:r w:rsidRPr="00100A92">
        <w:rPr>
          <w:rFonts w:cs="Arial"/>
          <w:sz w:val="20"/>
          <w:szCs w:val="20"/>
          <w:lang w:val="en-GB"/>
        </w:rPr>
        <w:t>3.</w:t>
      </w:r>
      <w:r w:rsidRPr="00100A92">
        <w:rPr>
          <w:rFonts w:cs="Arial"/>
          <w:sz w:val="20"/>
          <w:szCs w:val="20"/>
          <w:lang w:val="en-GB"/>
        </w:rPr>
        <w:tab/>
      </w:r>
      <w:proofErr w:type="spellStart"/>
      <w:r w:rsidRPr="00100A92">
        <w:rPr>
          <w:rFonts w:cs="Arial"/>
          <w:sz w:val="20"/>
          <w:szCs w:val="20"/>
          <w:lang w:val="en-GB"/>
        </w:rPr>
        <w:t>Santesso</w:t>
      </w:r>
      <w:proofErr w:type="spellEnd"/>
      <w:r w:rsidRPr="00100A92">
        <w:rPr>
          <w:rFonts w:cs="Arial"/>
          <w:sz w:val="20"/>
          <w:szCs w:val="20"/>
          <w:lang w:val="en-GB"/>
        </w:rPr>
        <w:t xml:space="preserve"> N, </w:t>
      </w:r>
      <w:proofErr w:type="spellStart"/>
      <w:r w:rsidRPr="00100A92">
        <w:rPr>
          <w:rFonts w:cs="Arial"/>
          <w:sz w:val="20"/>
          <w:szCs w:val="20"/>
          <w:lang w:val="en-GB"/>
        </w:rPr>
        <w:t>Morgano</w:t>
      </w:r>
      <w:proofErr w:type="spellEnd"/>
      <w:r w:rsidRPr="00100A92">
        <w:rPr>
          <w:rFonts w:cs="Arial"/>
          <w:sz w:val="20"/>
          <w:szCs w:val="20"/>
          <w:lang w:val="en-GB"/>
        </w:rPr>
        <w:t xml:space="preserve"> GP, Jack SM, Haynes RB, Hill S, </w:t>
      </w:r>
      <w:proofErr w:type="spellStart"/>
      <w:r w:rsidRPr="00100A92">
        <w:rPr>
          <w:rFonts w:cs="Arial"/>
          <w:sz w:val="20"/>
          <w:szCs w:val="20"/>
          <w:lang w:val="en-GB"/>
        </w:rPr>
        <w:t>Treweek</w:t>
      </w:r>
      <w:proofErr w:type="spellEnd"/>
      <w:r w:rsidRPr="00100A92">
        <w:rPr>
          <w:rFonts w:cs="Arial"/>
          <w:sz w:val="20"/>
          <w:szCs w:val="20"/>
          <w:lang w:val="en-GB"/>
        </w:rPr>
        <w:t xml:space="preserve"> S, et al. Dissemination of Clinical Practice Guidelines: A Content Analysis of Patient Versions. </w:t>
      </w:r>
      <w:r w:rsidRPr="00100A92">
        <w:rPr>
          <w:rFonts w:cs="Arial"/>
          <w:sz w:val="20"/>
          <w:szCs w:val="20"/>
        </w:rPr>
        <w:t xml:space="preserve">Med </w:t>
      </w:r>
      <w:proofErr w:type="spellStart"/>
      <w:r w:rsidRPr="00100A92">
        <w:rPr>
          <w:rFonts w:cs="Arial"/>
          <w:sz w:val="20"/>
          <w:szCs w:val="20"/>
        </w:rPr>
        <w:t>Decis</w:t>
      </w:r>
      <w:proofErr w:type="spellEnd"/>
      <w:r w:rsidRPr="00100A92">
        <w:rPr>
          <w:rFonts w:cs="Arial"/>
          <w:sz w:val="20"/>
          <w:szCs w:val="20"/>
        </w:rPr>
        <w:t xml:space="preserve"> Making. 2016; 36: 692-702</w:t>
      </w:r>
    </w:p>
    <w:p w:rsidR="00B615F7" w:rsidRPr="00100A92" w:rsidRDefault="00B615F7" w:rsidP="00B615F7">
      <w:pPr>
        <w:ind w:left="705" w:hanging="705"/>
        <w:rPr>
          <w:rFonts w:cs="Arial"/>
          <w:sz w:val="20"/>
          <w:szCs w:val="20"/>
          <w:lang w:val="en-GB"/>
        </w:rPr>
      </w:pPr>
      <w:r w:rsidRPr="00100A92">
        <w:rPr>
          <w:rFonts w:cs="Arial"/>
          <w:sz w:val="20"/>
          <w:szCs w:val="20"/>
        </w:rPr>
        <w:t>4.</w:t>
      </w:r>
      <w:r w:rsidRPr="00100A92">
        <w:rPr>
          <w:rFonts w:cs="Arial"/>
          <w:sz w:val="20"/>
          <w:szCs w:val="20"/>
        </w:rPr>
        <w:tab/>
        <w:t>Ärztliches Zentrum für Qualität in der Medizin (ÄZQ), Office des Leitlinienprogramms Onkologie (OL), Wissensmanagement A-</w:t>
      </w:r>
      <w:proofErr w:type="spellStart"/>
      <w:r w:rsidRPr="00100A92">
        <w:rPr>
          <w:rFonts w:cs="Arial"/>
          <w:sz w:val="20"/>
          <w:szCs w:val="20"/>
        </w:rPr>
        <w:t>IfM</w:t>
      </w:r>
      <w:proofErr w:type="spellEnd"/>
      <w:r w:rsidRPr="00100A92">
        <w:rPr>
          <w:rFonts w:cs="Arial"/>
          <w:sz w:val="20"/>
          <w:szCs w:val="20"/>
        </w:rPr>
        <w:t>, (AWMF-</w:t>
      </w:r>
      <w:proofErr w:type="spellStart"/>
      <w:r w:rsidRPr="00100A92">
        <w:rPr>
          <w:rFonts w:cs="Arial"/>
          <w:sz w:val="20"/>
          <w:szCs w:val="20"/>
        </w:rPr>
        <w:t>IMWi</w:t>
      </w:r>
      <w:proofErr w:type="spellEnd"/>
      <w:r w:rsidRPr="00100A92">
        <w:rPr>
          <w:rFonts w:cs="Arial"/>
          <w:sz w:val="20"/>
          <w:szCs w:val="20"/>
        </w:rPr>
        <w:t xml:space="preserve">). Erstellung von Patientenleitlinien zu S3-Leitlinien/NVL im Rahmen der Leitlinienprogramme. </w:t>
      </w:r>
      <w:r w:rsidRPr="00100A92">
        <w:rPr>
          <w:rFonts w:cs="Arial"/>
          <w:sz w:val="20"/>
          <w:szCs w:val="20"/>
          <w:lang w:val="en-GB"/>
        </w:rPr>
        <w:t>2019</w:t>
      </w:r>
    </w:p>
    <w:p w:rsidR="00B615F7" w:rsidRPr="00100A92" w:rsidRDefault="00B615F7" w:rsidP="00B615F7">
      <w:pPr>
        <w:ind w:left="705" w:hanging="705"/>
        <w:rPr>
          <w:rFonts w:cs="Arial"/>
          <w:sz w:val="20"/>
          <w:szCs w:val="20"/>
          <w:lang w:val="en-GB"/>
        </w:rPr>
      </w:pPr>
      <w:r w:rsidRPr="00100A92">
        <w:rPr>
          <w:rFonts w:cs="Arial"/>
          <w:sz w:val="20"/>
          <w:szCs w:val="20"/>
          <w:lang w:val="en-GB"/>
        </w:rPr>
        <w:t>5.</w:t>
      </w:r>
      <w:r w:rsidRPr="00100A92">
        <w:rPr>
          <w:rFonts w:cs="Arial"/>
          <w:sz w:val="20"/>
          <w:szCs w:val="20"/>
          <w:lang w:val="en-GB"/>
        </w:rPr>
        <w:tab/>
        <w:t xml:space="preserve">Woolf SH, </w:t>
      </w:r>
      <w:proofErr w:type="spellStart"/>
      <w:r w:rsidRPr="00100A92">
        <w:rPr>
          <w:rFonts w:cs="Arial"/>
          <w:sz w:val="20"/>
          <w:szCs w:val="20"/>
          <w:lang w:val="en-GB"/>
        </w:rPr>
        <w:t>Grol</w:t>
      </w:r>
      <w:proofErr w:type="spellEnd"/>
      <w:r w:rsidRPr="00100A92">
        <w:rPr>
          <w:rFonts w:cs="Arial"/>
          <w:sz w:val="20"/>
          <w:szCs w:val="20"/>
          <w:lang w:val="en-GB"/>
        </w:rPr>
        <w:t xml:space="preserve"> R, Hutchinson A, Eccles M, </w:t>
      </w:r>
      <w:proofErr w:type="spellStart"/>
      <w:r w:rsidRPr="00100A92">
        <w:rPr>
          <w:rFonts w:cs="Arial"/>
          <w:sz w:val="20"/>
          <w:szCs w:val="20"/>
          <w:lang w:val="en-GB"/>
        </w:rPr>
        <w:t>Grimshaw</w:t>
      </w:r>
      <w:proofErr w:type="spellEnd"/>
      <w:r w:rsidRPr="00100A92">
        <w:rPr>
          <w:rFonts w:cs="Arial"/>
          <w:sz w:val="20"/>
          <w:szCs w:val="20"/>
          <w:lang w:val="en-GB"/>
        </w:rPr>
        <w:t xml:space="preserve"> J. Clinical guidelines: potential benefits, limitations, and harms of clinical guidelines. </w:t>
      </w:r>
      <w:proofErr w:type="spellStart"/>
      <w:r w:rsidRPr="00100A92">
        <w:rPr>
          <w:rFonts w:cs="Arial"/>
          <w:sz w:val="20"/>
          <w:szCs w:val="20"/>
          <w:lang w:val="en-GB"/>
        </w:rPr>
        <w:t>Bmj</w:t>
      </w:r>
      <w:proofErr w:type="spellEnd"/>
      <w:r w:rsidRPr="00100A92">
        <w:rPr>
          <w:rFonts w:cs="Arial"/>
          <w:sz w:val="20"/>
          <w:szCs w:val="20"/>
          <w:lang w:val="en-GB"/>
        </w:rPr>
        <w:t>. 1999; 318: 527-30</w:t>
      </w:r>
    </w:p>
    <w:p w:rsidR="00B615F7" w:rsidRPr="00100A92" w:rsidRDefault="00B615F7" w:rsidP="00B615F7">
      <w:pPr>
        <w:ind w:left="705" w:hanging="705"/>
        <w:rPr>
          <w:rFonts w:cs="Arial"/>
          <w:sz w:val="20"/>
          <w:szCs w:val="20"/>
        </w:rPr>
      </w:pPr>
      <w:r w:rsidRPr="00100A92">
        <w:rPr>
          <w:rFonts w:cs="Arial"/>
          <w:sz w:val="20"/>
          <w:szCs w:val="20"/>
          <w:lang w:val="en-GB"/>
        </w:rPr>
        <w:t>6.</w:t>
      </w:r>
      <w:r w:rsidRPr="00100A92">
        <w:rPr>
          <w:rFonts w:cs="Arial"/>
          <w:sz w:val="20"/>
          <w:szCs w:val="20"/>
          <w:lang w:val="en-GB"/>
        </w:rPr>
        <w:tab/>
      </w:r>
      <w:proofErr w:type="spellStart"/>
      <w:r w:rsidRPr="00100A92">
        <w:rPr>
          <w:rFonts w:cs="Arial"/>
          <w:sz w:val="20"/>
          <w:szCs w:val="20"/>
          <w:lang w:val="en-GB"/>
        </w:rPr>
        <w:t>Shekelle</w:t>
      </w:r>
      <w:proofErr w:type="spellEnd"/>
      <w:r w:rsidRPr="00100A92">
        <w:rPr>
          <w:rFonts w:cs="Arial"/>
          <w:sz w:val="20"/>
          <w:szCs w:val="20"/>
          <w:lang w:val="en-GB"/>
        </w:rPr>
        <w:t xml:space="preserve"> PG, Ortiz E, Rhodes S, Morton SC, Eccles MP, </w:t>
      </w:r>
      <w:proofErr w:type="spellStart"/>
      <w:r w:rsidRPr="00100A92">
        <w:rPr>
          <w:rFonts w:cs="Arial"/>
          <w:sz w:val="20"/>
          <w:szCs w:val="20"/>
          <w:lang w:val="en-GB"/>
        </w:rPr>
        <w:t>Grimshaw</w:t>
      </w:r>
      <w:proofErr w:type="spellEnd"/>
      <w:r w:rsidRPr="00100A92">
        <w:rPr>
          <w:rFonts w:cs="Arial"/>
          <w:sz w:val="20"/>
          <w:szCs w:val="20"/>
          <w:lang w:val="en-GB"/>
        </w:rPr>
        <w:t xml:space="preserve"> JM, et al. Validity of the Agency for Healthcare Research and Quality clinical practice guidelines: how quickly do guidelines become outdated? </w:t>
      </w:r>
      <w:proofErr w:type="spellStart"/>
      <w:r w:rsidRPr="00100A92">
        <w:rPr>
          <w:rFonts w:cs="Arial"/>
          <w:sz w:val="20"/>
          <w:szCs w:val="20"/>
        </w:rPr>
        <w:t>Jama</w:t>
      </w:r>
      <w:proofErr w:type="spellEnd"/>
      <w:r w:rsidRPr="00100A92">
        <w:rPr>
          <w:rFonts w:cs="Arial"/>
          <w:sz w:val="20"/>
          <w:szCs w:val="20"/>
        </w:rPr>
        <w:t>. 2001; 286: 1461-7</w:t>
      </w:r>
    </w:p>
    <w:p w:rsidR="006F1119" w:rsidRPr="00100A92" w:rsidRDefault="00B615F7" w:rsidP="00B615F7">
      <w:pPr>
        <w:ind w:left="705" w:hanging="705"/>
        <w:rPr>
          <w:rFonts w:cs="Arial"/>
          <w:sz w:val="20"/>
          <w:szCs w:val="20"/>
        </w:rPr>
      </w:pPr>
      <w:r w:rsidRPr="00100A92">
        <w:rPr>
          <w:rFonts w:cs="Arial"/>
          <w:sz w:val="20"/>
          <w:szCs w:val="20"/>
        </w:rPr>
        <w:t>7.</w:t>
      </w:r>
      <w:r w:rsidRPr="00100A92">
        <w:rPr>
          <w:rFonts w:cs="Arial"/>
          <w:sz w:val="20"/>
          <w:szCs w:val="20"/>
        </w:rPr>
        <w:tab/>
      </w:r>
      <w:proofErr w:type="spellStart"/>
      <w:r w:rsidRPr="00100A92">
        <w:rPr>
          <w:rFonts w:cs="Arial"/>
          <w:sz w:val="20"/>
          <w:szCs w:val="20"/>
        </w:rPr>
        <w:t>Mayring</w:t>
      </w:r>
      <w:proofErr w:type="spellEnd"/>
      <w:r w:rsidRPr="00100A92">
        <w:rPr>
          <w:rFonts w:cs="Arial"/>
          <w:sz w:val="20"/>
          <w:szCs w:val="20"/>
        </w:rPr>
        <w:t xml:space="preserve"> P. Qualitative Inhaltsanalyse. Grundlagen und Techniken. 13 Aufl.  Weinheim/Basel: Beltz; 2022</w:t>
      </w:r>
    </w:p>
    <w:sectPr w:rsidR="006F1119" w:rsidRPr="00100A92" w:rsidSect="00191D2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D75" w:rsidRDefault="00362D33">
      <w:pPr>
        <w:spacing w:after="0" w:line="240" w:lineRule="auto"/>
      </w:pPr>
      <w:r>
        <w:separator/>
      </w:r>
    </w:p>
  </w:endnote>
  <w:endnote w:type="continuationSeparator" w:id="0">
    <w:p w:rsidR="00937D75" w:rsidRDefault="00362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18D" w:rsidRDefault="005A61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780989309"/>
      <w:docPartObj>
        <w:docPartGallery w:val="Page Numbers (Bottom of Page)"/>
        <w:docPartUnique/>
      </w:docPartObj>
    </w:sdtPr>
    <w:sdtContent>
      <w:p w:rsidR="005A618D" w:rsidRPr="005A618D" w:rsidRDefault="005A618D">
        <w:pPr>
          <w:pStyle w:val="Fuzeile"/>
          <w:jc w:val="right"/>
          <w:rPr>
            <w:sz w:val="20"/>
            <w:szCs w:val="20"/>
          </w:rPr>
        </w:pPr>
        <w:r w:rsidRPr="005A618D">
          <w:rPr>
            <w:sz w:val="20"/>
            <w:szCs w:val="20"/>
          </w:rPr>
          <w:fldChar w:fldCharType="begin"/>
        </w:r>
        <w:r w:rsidRPr="005A618D">
          <w:rPr>
            <w:sz w:val="20"/>
            <w:szCs w:val="20"/>
          </w:rPr>
          <w:instrText>PAGE   \* MERGEFORMAT</w:instrText>
        </w:r>
        <w:r w:rsidRPr="005A618D">
          <w:rPr>
            <w:sz w:val="20"/>
            <w:szCs w:val="20"/>
          </w:rPr>
          <w:fldChar w:fldCharType="separate"/>
        </w:r>
        <w:r>
          <w:rPr>
            <w:noProof/>
            <w:sz w:val="20"/>
            <w:szCs w:val="20"/>
          </w:rPr>
          <w:t>4</w:t>
        </w:r>
        <w:r w:rsidRPr="005A618D">
          <w:rPr>
            <w:sz w:val="20"/>
            <w:szCs w:val="20"/>
          </w:rPr>
          <w:fldChar w:fldCharType="end"/>
        </w:r>
      </w:p>
    </w:sdtContent>
  </w:sdt>
  <w:p w:rsidR="00BE73E6" w:rsidRDefault="00BE73E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18D" w:rsidRDefault="005A61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D75" w:rsidRDefault="00362D33">
      <w:pPr>
        <w:spacing w:after="0" w:line="240" w:lineRule="auto"/>
      </w:pPr>
      <w:r>
        <w:separator/>
      </w:r>
    </w:p>
  </w:footnote>
  <w:footnote w:type="continuationSeparator" w:id="0">
    <w:p w:rsidR="00937D75" w:rsidRDefault="00362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18D" w:rsidRDefault="005A618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5E8" w:rsidRPr="005635E8" w:rsidRDefault="005635E8">
    <w:pPr>
      <w:pStyle w:val="Kopfzeile"/>
      <w:rPr>
        <w:rFonts w:cs="Arial"/>
        <w:sz w:val="20"/>
        <w:lang w:val="en-GB"/>
      </w:rPr>
    </w:pPr>
    <w:r w:rsidRPr="006B7AE7">
      <w:rPr>
        <w:rFonts w:cs="Arial"/>
        <w:sz w:val="20"/>
        <w:lang w:val="en-GB"/>
      </w:rPr>
      <w:t>Up-to-dateness of patient versions of clinical practice guidelines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2D33" w:rsidRPr="00362D33" w:rsidRDefault="00362D33">
    <w:pPr>
      <w:pStyle w:val="Kopfzeile"/>
      <w:rPr>
        <w:rFonts w:cs="Arial"/>
        <w:sz w:val="20"/>
        <w:lang w:val="en-GB"/>
      </w:rPr>
    </w:pPr>
    <w:r w:rsidRPr="006B7AE7">
      <w:rPr>
        <w:rFonts w:cs="Arial"/>
        <w:sz w:val="20"/>
        <w:lang w:val="en-GB"/>
      </w:rPr>
      <w:t>Up-to-dateness of patient versions of clinical practice guidelines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26E33"/>
    <w:multiLevelType w:val="hybridMultilevel"/>
    <w:tmpl w:val="B97094B0"/>
    <w:lvl w:ilvl="0" w:tplc="04070003">
      <w:start w:val="1"/>
      <w:numFmt w:val="bullet"/>
      <w:lvlText w:val="o"/>
      <w:lvlJc w:val="left"/>
      <w:pPr>
        <w:ind w:left="1352" w:hanging="360"/>
      </w:pPr>
      <w:rPr>
        <w:rFonts w:ascii="Courier New" w:hAnsi="Courier New" w:cs="Courier New" w:hint="default"/>
      </w:rPr>
    </w:lvl>
    <w:lvl w:ilvl="1" w:tplc="04070003" w:tentative="1">
      <w:start w:val="1"/>
      <w:numFmt w:val="bullet"/>
      <w:lvlText w:val="o"/>
      <w:lvlJc w:val="left"/>
      <w:pPr>
        <w:ind w:left="2072" w:hanging="360"/>
      </w:pPr>
      <w:rPr>
        <w:rFonts w:ascii="Courier New" w:hAnsi="Courier New" w:cs="Courier New" w:hint="default"/>
      </w:rPr>
    </w:lvl>
    <w:lvl w:ilvl="2" w:tplc="04070005" w:tentative="1">
      <w:start w:val="1"/>
      <w:numFmt w:val="bullet"/>
      <w:lvlText w:val=""/>
      <w:lvlJc w:val="left"/>
      <w:pPr>
        <w:ind w:left="2792" w:hanging="360"/>
      </w:pPr>
      <w:rPr>
        <w:rFonts w:ascii="Wingdings" w:hAnsi="Wingdings" w:hint="default"/>
      </w:rPr>
    </w:lvl>
    <w:lvl w:ilvl="3" w:tplc="04070001" w:tentative="1">
      <w:start w:val="1"/>
      <w:numFmt w:val="bullet"/>
      <w:lvlText w:val=""/>
      <w:lvlJc w:val="left"/>
      <w:pPr>
        <w:ind w:left="3512" w:hanging="360"/>
      </w:pPr>
      <w:rPr>
        <w:rFonts w:ascii="Symbol" w:hAnsi="Symbol" w:hint="default"/>
      </w:rPr>
    </w:lvl>
    <w:lvl w:ilvl="4" w:tplc="04070003" w:tentative="1">
      <w:start w:val="1"/>
      <w:numFmt w:val="bullet"/>
      <w:lvlText w:val="o"/>
      <w:lvlJc w:val="left"/>
      <w:pPr>
        <w:ind w:left="4232" w:hanging="360"/>
      </w:pPr>
      <w:rPr>
        <w:rFonts w:ascii="Courier New" w:hAnsi="Courier New" w:cs="Courier New" w:hint="default"/>
      </w:rPr>
    </w:lvl>
    <w:lvl w:ilvl="5" w:tplc="04070005" w:tentative="1">
      <w:start w:val="1"/>
      <w:numFmt w:val="bullet"/>
      <w:lvlText w:val=""/>
      <w:lvlJc w:val="left"/>
      <w:pPr>
        <w:ind w:left="4952" w:hanging="360"/>
      </w:pPr>
      <w:rPr>
        <w:rFonts w:ascii="Wingdings" w:hAnsi="Wingdings" w:hint="default"/>
      </w:rPr>
    </w:lvl>
    <w:lvl w:ilvl="6" w:tplc="04070001" w:tentative="1">
      <w:start w:val="1"/>
      <w:numFmt w:val="bullet"/>
      <w:lvlText w:val=""/>
      <w:lvlJc w:val="left"/>
      <w:pPr>
        <w:ind w:left="5672" w:hanging="360"/>
      </w:pPr>
      <w:rPr>
        <w:rFonts w:ascii="Symbol" w:hAnsi="Symbol" w:hint="default"/>
      </w:rPr>
    </w:lvl>
    <w:lvl w:ilvl="7" w:tplc="04070003" w:tentative="1">
      <w:start w:val="1"/>
      <w:numFmt w:val="bullet"/>
      <w:lvlText w:val="o"/>
      <w:lvlJc w:val="left"/>
      <w:pPr>
        <w:ind w:left="6392" w:hanging="360"/>
      </w:pPr>
      <w:rPr>
        <w:rFonts w:ascii="Courier New" w:hAnsi="Courier New" w:cs="Courier New" w:hint="default"/>
      </w:rPr>
    </w:lvl>
    <w:lvl w:ilvl="8" w:tplc="04070005" w:tentative="1">
      <w:start w:val="1"/>
      <w:numFmt w:val="bullet"/>
      <w:lvlText w:val=""/>
      <w:lvlJc w:val="left"/>
      <w:pPr>
        <w:ind w:left="7112" w:hanging="360"/>
      </w:pPr>
      <w:rPr>
        <w:rFonts w:ascii="Wingdings" w:hAnsi="Wingdings" w:hint="default"/>
      </w:rPr>
    </w:lvl>
  </w:abstractNum>
  <w:abstractNum w:abstractNumId="1" w15:restartNumberingAfterBreak="0">
    <w:nsid w:val="190F7C37"/>
    <w:multiLevelType w:val="hybridMultilevel"/>
    <w:tmpl w:val="539E4C1C"/>
    <w:lvl w:ilvl="0" w:tplc="FA7E51D2">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786"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12D7381"/>
    <w:multiLevelType w:val="hybridMultilevel"/>
    <w:tmpl w:val="E4BCC03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2BC86262"/>
    <w:multiLevelType w:val="hybridMultilevel"/>
    <w:tmpl w:val="331AEC30"/>
    <w:lvl w:ilvl="0" w:tplc="FA7E51D2">
      <w:numFmt w:val="bullet"/>
      <w:lvlText w:val="-"/>
      <w:lvlJc w:val="left"/>
      <w:pPr>
        <w:ind w:left="360" w:hanging="360"/>
      </w:pPr>
      <w:rPr>
        <w:rFonts w:ascii="Arial" w:eastAsiaTheme="minorHAnsi" w:hAnsi="Arial" w:cs="Arial" w:hint="default"/>
      </w:rPr>
    </w:lvl>
    <w:lvl w:ilvl="1" w:tplc="518E3B12">
      <w:numFmt w:val="bullet"/>
      <w:lvlText w:val="-"/>
      <w:lvlJc w:val="left"/>
      <w:pPr>
        <w:ind w:left="786" w:hanging="360"/>
      </w:pPr>
      <w:rPr>
        <w:rFonts w:ascii="Calibri" w:eastAsiaTheme="minorHAnsi" w:hAnsi="Calibri" w:cs="Calibri"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CE62293"/>
    <w:multiLevelType w:val="hybridMultilevel"/>
    <w:tmpl w:val="2B5A9A00"/>
    <w:lvl w:ilvl="0" w:tplc="FA7E51D2">
      <w:numFmt w:val="bullet"/>
      <w:lvlText w:val="-"/>
      <w:lvlJc w:val="left"/>
      <w:pPr>
        <w:ind w:left="786" w:hanging="360"/>
      </w:pPr>
      <w:rPr>
        <w:rFonts w:ascii="Arial" w:eastAsiaTheme="minorHAnsi" w:hAnsi="Arial" w:cs="Arial" w:hint="default"/>
      </w:rPr>
    </w:lvl>
    <w:lvl w:ilvl="1" w:tplc="04070001">
      <w:start w:val="1"/>
      <w:numFmt w:val="bullet"/>
      <w:lvlText w:val=""/>
      <w:lvlJc w:val="left"/>
      <w:pPr>
        <w:ind w:left="1352" w:hanging="360"/>
      </w:pPr>
      <w:rPr>
        <w:rFonts w:ascii="Symbol" w:hAnsi="Symbol"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5" w15:restartNumberingAfterBreak="0">
    <w:nsid w:val="2E1D5BBF"/>
    <w:multiLevelType w:val="hybridMultilevel"/>
    <w:tmpl w:val="FB2088C6"/>
    <w:lvl w:ilvl="0" w:tplc="FA7E51D2">
      <w:numFmt w:val="bullet"/>
      <w:lvlText w:val="-"/>
      <w:lvlJc w:val="left"/>
      <w:pPr>
        <w:ind w:left="786" w:hanging="360"/>
      </w:pPr>
      <w:rPr>
        <w:rFonts w:ascii="Arial" w:eastAsiaTheme="minorHAnsi"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6" w15:restartNumberingAfterBreak="0">
    <w:nsid w:val="32FF1B36"/>
    <w:multiLevelType w:val="hybridMultilevel"/>
    <w:tmpl w:val="3BB27CF0"/>
    <w:lvl w:ilvl="0" w:tplc="FA7E51D2">
      <w:numFmt w:val="bullet"/>
      <w:lvlText w:val="-"/>
      <w:lvlJc w:val="left"/>
      <w:pPr>
        <w:ind w:left="786" w:hanging="360"/>
      </w:pPr>
      <w:rPr>
        <w:rFonts w:ascii="Arial" w:eastAsiaTheme="minorHAnsi" w:hAnsi="Arial" w:cs="Arial" w:hint="default"/>
      </w:rPr>
    </w:lvl>
    <w:lvl w:ilvl="1" w:tplc="04070003">
      <w:start w:val="1"/>
      <w:numFmt w:val="bullet"/>
      <w:lvlText w:val="o"/>
      <w:lvlJc w:val="left"/>
      <w:pPr>
        <w:ind w:left="1352"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7" w15:restartNumberingAfterBreak="0">
    <w:nsid w:val="33406787"/>
    <w:multiLevelType w:val="hybridMultilevel"/>
    <w:tmpl w:val="671E5988"/>
    <w:lvl w:ilvl="0" w:tplc="04070003">
      <w:start w:val="1"/>
      <w:numFmt w:val="bullet"/>
      <w:lvlText w:val="o"/>
      <w:lvlJc w:val="left"/>
      <w:pPr>
        <w:ind w:left="786" w:hanging="360"/>
      </w:pPr>
      <w:rPr>
        <w:rFonts w:ascii="Courier New" w:hAnsi="Courier New" w:cs="Courier New" w:hint="default"/>
      </w:rPr>
    </w:lvl>
    <w:lvl w:ilvl="1" w:tplc="04070003">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8" w15:restartNumberingAfterBreak="0">
    <w:nsid w:val="367B396D"/>
    <w:multiLevelType w:val="hybridMultilevel"/>
    <w:tmpl w:val="ACEC7A00"/>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1294AD3"/>
    <w:multiLevelType w:val="hybridMultilevel"/>
    <w:tmpl w:val="6C74368A"/>
    <w:lvl w:ilvl="0" w:tplc="518E3B12">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462755F"/>
    <w:multiLevelType w:val="hybridMultilevel"/>
    <w:tmpl w:val="F9FCF770"/>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9B65BF2"/>
    <w:multiLevelType w:val="hybridMultilevel"/>
    <w:tmpl w:val="866677DE"/>
    <w:lvl w:ilvl="0" w:tplc="518E3B12">
      <w:numFmt w:val="bullet"/>
      <w:lvlText w:val="-"/>
      <w:lvlJc w:val="left"/>
      <w:pPr>
        <w:ind w:left="786" w:hanging="360"/>
      </w:pPr>
      <w:rPr>
        <w:rFonts w:ascii="Calibri" w:eastAsiaTheme="minorHAnsi" w:hAnsi="Calibri" w:cs="Calibri" w:hint="default"/>
      </w:rPr>
    </w:lvl>
    <w:lvl w:ilvl="1" w:tplc="04070001">
      <w:start w:val="1"/>
      <w:numFmt w:val="bullet"/>
      <w:lvlText w:val=""/>
      <w:lvlJc w:val="left"/>
      <w:pPr>
        <w:ind w:left="1506" w:hanging="360"/>
      </w:pPr>
      <w:rPr>
        <w:rFonts w:ascii="Symbol" w:hAnsi="Symbol"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2" w15:restartNumberingAfterBreak="0">
    <w:nsid w:val="5B7D0897"/>
    <w:multiLevelType w:val="hybridMultilevel"/>
    <w:tmpl w:val="81202384"/>
    <w:lvl w:ilvl="0" w:tplc="518E3B12">
      <w:numFmt w:val="bullet"/>
      <w:lvlText w:val="-"/>
      <w:lvlJc w:val="left"/>
      <w:pPr>
        <w:ind w:left="786" w:hanging="360"/>
      </w:pPr>
      <w:rPr>
        <w:rFonts w:ascii="Calibri" w:eastAsiaTheme="minorHAnsi" w:hAnsi="Calibri" w:cs="Calibri" w:hint="default"/>
      </w:rPr>
    </w:lvl>
    <w:lvl w:ilvl="1" w:tplc="04070003">
      <w:start w:val="1"/>
      <w:numFmt w:val="bullet"/>
      <w:lvlText w:val="o"/>
      <w:lvlJc w:val="left"/>
      <w:pPr>
        <w:ind w:left="1353"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3" w15:restartNumberingAfterBreak="0">
    <w:nsid w:val="5FF917C5"/>
    <w:multiLevelType w:val="hybridMultilevel"/>
    <w:tmpl w:val="146837A0"/>
    <w:lvl w:ilvl="0" w:tplc="04070001">
      <w:start w:val="1"/>
      <w:numFmt w:val="bullet"/>
      <w:lvlText w:val=""/>
      <w:lvlJc w:val="left"/>
      <w:pPr>
        <w:ind w:left="1352" w:hanging="360"/>
      </w:pPr>
      <w:rPr>
        <w:rFonts w:ascii="Symbol" w:hAnsi="Symbol" w:hint="default"/>
      </w:rPr>
    </w:lvl>
    <w:lvl w:ilvl="1" w:tplc="04070003" w:tentative="1">
      <w:start w:val="1"/>
      <w:numFmt w:val="bullet"/>
      <w:lvlText w:val="o"/>
      <w:lvlJc w:val="left"/>
      <w:pPr>
        <w:ind w:left="2072" w:hanging="360"/>
      </w:pPr>
      <w:rPr>
        <w:rFonts w:ascii="Courier New" w:hAnsi="Courier New" w:cs="Courier New" w:hint="default"/>
      </w:rPr>
    </w:lvl>
    <w:lvl w:ilvl="2" w:tplc="04070005" w:tentative="1">
      <w:start w:val="1"/>
      <w:numFmt w:val="bullet"/>
      <w:lvlText w:val=""/>
      <w:lvlJc w:val="left"/>
      <w:pPr>
        <w:ind w:left="2792" w:hanging="360"/>
      </w:pPr>
      <w:rPr>
        <w:rFonts w:ascii="Wingdings" w:hAnsi="Wingdings" w:hint="default"/>
      </w:rPr>
    </w:lvl>
    <w:lvl w:ilvl="3" w:tplc="04070001" w:tentative="1">
      <w:start w:val="1"/>
      <w:numFmt w:val="bullet"/>
      <w:lvlText w:val=""/>
      <w:lvlJc w:val="left"/>
      <w:pPr>
        <w:ind w:left="3512" w:hanging="360"/>
      </w:pPr>
      <w:rPr>
        <w:rFonts w:ascii="Symbol" w:hAnsi="Symbol" w:hint="default"/>
      </w:rPr>
    </w:lvl>
    <w:lvl w:ilvl="4" w:tplc="04070003" w:tentative="1">
      <w:start w:val="1"/>
      <w:numFmt w:val="bullet"/>
      <w:lvlText w:val="o"/>
      <w:lvlJc w:val="left"/>
      <w:pPr>
        <w:ind w:left="4232" w:hanging="360"/>
      </w:pPr>
      <w:rPr>
        <w:rFonts w:ascii="Courier New" w:hAnsi="Courier New" w:cs="Courier New" w:hint="default"/>
      </w:rPr>
    </w:lvl>
    <w:lvl w:ilvl="5" w:tplc="04070005" w:tentative="1">
      <w:start w:val="1"/>
      <w:numFmt w:val="bullet"/>
      <w:lvlText w:val=""/>
      <w:lvlJc w:val="left"/>
      <w:pPr>
        <w:ind w:left="4952" w:hanging="360"/>
      </w:pPr>
      <w:rPr>
        <w:rFonts w:ascii="Wingdings" w:hAnsi="Wingdings" w:hint="default"/>
      </w:rPr>
    </w:lvl>
    <w:lvl w:ilvl="6" w:tplc="04070001" w:tentative="1">
      <w:start w:val="1"/>
      <w:numFmt w:val="bullet"/>
      <w:lvlText w:val=""/>
      <w:lvlJc w:val="left"/>
      <w:pPr>
        <w:ind w:left="5672" w:hanging="360"/>
      </w:pPr>
      <w:rPr>
        <w:rFonts w:ascii="Symbol" w:hAnsi="Symbol" w:hint="default"/>
      </w:rPr>
    </w:lvl>
    <w:lvl w:ilvl="7" w:tplc="04070003" w:tentative="1">
      <w:start w:val="1"/>
      <w:numFmt w:val="bullet"/>
      <w:lvlText w:val="o"/>
      <w:lvlJc w:val="left"/>
      <w:pPr>
        <w:ind w:left="6392" w:hanging="360"/>
      </w:pPr>
      <w:rPr>
        <w:rFonts w:ascii="Courier New" w:hAnsi="Courier New" w:cs="Courier New" w:hint="default"/>
      </w:rPr>
    </w:lvl>
    <w:lvl w:ilvl="8" w:tplc="04070005" w:tentative="1">
      <w:start w:val="1"/>
      <w:numFmt w:val="bullet"/>
      <w:lvlText w:val=""/>
      <w:lvlJc w:val="left"/>
      <w:pPr>
        <w:ind w:left="7112" w:hanging="360"/>
      </w:pPr>
      <w:rPr>
        <w:rFonts w:ascii="Wingdings" w:hAnsi="Wingdings" w:hint="default"/>
      </w:rPr>
    </w:lvl>
  </w:abstractNum>
  <w:abstractNum w:abstractNumId="14" w15:restartNumberingAfterBreak="0">
    <w:nsid w:val="76EE5C2B"/>
    <w:multiLevelType w:val="hybridMultilevel"/>
    <w:tmpl w:val="371809BE"/>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7BEE32AE"/>
    <w:multiLevelType w:val="hybridMultilevel"/>
    <w:tmpl w:val="EAA2F8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7"/>
  </w:num>
  <w:num w:numId="3">
    <w:abstractNumId w:val="11"/>
  </w:num>
  <w:num w:numId="4">
    <w:abstractNumId w:val="13"/>
  </w:num>
  <w:num w:numId="5">
    <w:abstractNumId w:val="12"/>
  </w:num>
  <w:num w:numId="6">
    <w:abstractNumId w:val="4"/>
  </w:num>
  <w:num w:numId="7">
    <w:abstractNumId w:val="5"/>
  </w:num>
  <w:num w:numId="8">
    <w:abstractNumId w:val="3"/>
  </w:num>
  <w:num w:numId="9">
    <w:abstractNumId w:val="9"/>
  </w:num>
  <w:num w:numId="10">
    <w:abstractNumId w:val="0"/>
  </w:num>
  <w:num w:numId="11">
    <w:abstractNumId w:val="8"/>
  </w:num>
  <w:num w:numId="12">
    <w:abstractNumId w:val="6"/>
  </w:num>
  <w:num w:numId="13">
    <w:abstractNumId w:val="14"/>
  </w:num>
  <w:num w:numId="14">
    <w:abstractNumId w:val="10"/>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3E6"/>
    <w:rsid w:val="00100A92"/>
    <w:rsid w:val="0012327C"/>
    <w:rsid w:val="00191D2D"/>
    <w:rsid w:val="002938D8"/>
    <w:rsid w:val="00362D33"/>
    <w:rsid w:val="005635E8"/>
    <w:rsid w:val="005A618D"/>
    <w:rsid w:val="00634651"/>
    <w:rsid w:val="00645BF8"/>
    <w:rsid w:val="006F1119"/>
    <w:rsid w:val="00937D75"/>
    <w:rsid w:val="009912FD"/>
    <w:rsid w:val="00A479A1"/>
    <w:rsid w:val="00A81057"/>
    <w:rsid w:val="00B615F7"/>
    <w:rsid w:val="00BE73E6"/>
    <w:rsid w:val="00CB41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4A8BB"/>
  <w15:chartTrackingRefBased/>
  <w15:docId w15:val="{4E8A9994-1756-43AF-8EAB-B7880819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1057"/>
    <w:pPr>
      <w:jc w:val="both"/>
    </w:pPr>
    <w:rPr>
      <w:rFonts w:ascii="Arial" w:hAnsi="Arial"/>
    </w:rPr>
  </w:style>
  <w:style w:type="paragraph" w:styleId="berschrift1">
    <w:name w:val="heading 1"/>
    <w:aliases w:val="Ü1"/>
    <w:basedOn w:val="Standard"/>
    <w:next w:val="Standard"/>
    <w:link w:val="berschrift1Zchn"/>
    <w:uiPriority w:val="9"/>
    <w:qFormat/>
    <w:rsid w:val="00BE73E6"/>
    <w:pPr>
      <w:keepNext/>
      <w:keepLines/>
      <w:spacing w:before="240" w:after="0"/>
      <w:outlineLvl w:val="0"/>
    </w:pPr>
    <w:rPr>
      <w:rFonts w:eastAsiaTheme="majorEastAsia" w:cstheme="majorBidi"/>
      <w:b/>
      <w:sz w:val="28"/>
      <w:szCs w:val="32"/>
    </w:rPr>
  </w:style>
  <w:style w:type="paragraph" w:styleId="berschrift2">
    <w:name w:val="heading 2"/>
    <w:aliases w:val="Ü2"/>
    <w:basedOn w:val="Standard"/>
    <w:next w:val="Standard"/>
    <w:link w:val="berschrift2Zchn"/>
    <w:uiPriority w:val="9"/>
    <w:unhideWhenUsed/>
    <w:qFormat/>
    <w:rsid w:val="00BE73E6"/>
    <w:pPr>
      <w:keepNext/>
      <w:keepLines/>
      <w:spacing w:before="40" w:after="0"/>
      <w:outlineLvl w:val="1"/>
    </w:pPr>
    <w:rPr>
      <w:rFonts w:eastAsiaTheme="majorEastAsia" w:cstheme="majorBidi"/>
      <w:b/>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BE73E6"/>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BE73E6"/>
  </w:style>
  <w:style w:type="character" w:customStyle="1" w:styleId="berschrift1Zchn">
    <w:name w:val="Überschrift 1 Zchn"/>
    <w:aliases w:val="Ü1 Zchn"/>
    <w:basedOn w:val="Absatz-Standardschriftart"/>
    <w:link w:val="berschrift1"/>
    <w:uiPriority w:val="9"/>
    <w:rsid w:val="00BE73E6"/>
    <w:rPr>
      <w:rFonts w:ascii="Arial" w:eastAsiaTheme="majorEastAsia" w:hAnsi="Arial" w:cstheme="majorBidi"/>
      <w:b/>
      <w:sz w:val="28"/>
      <w:szCs w:val="32"/>
    </w:rPr>
  </w:style>
  <w:style w:type="character" w:customStyle="1" w:styleId="berschrift2Zchn">
    <w:name w:val="Überschrift 2 Zchn"/>
    <w:aliases w:val="Ü2 Zchn"/>
    <w:basedOn w:val="Absatz-Standardschriftart"/>
    <w:link w:val="berschrift2"/>
    <w:uiPriority w:val="9"/>
    <w:rsid w:val="00BE73E6"/>
    <w:rPr>
      <w:rFonts w:ascii="Arial" w:eastAsiaTheme="majorEastAsia" w:hAnsi="Arial" w:cstheme="majorBidi"/>
      <w:b/>
      <w:sz w:val="24"/>
      <w:szCs w:val="26"/>
    </w:rPr>
  </w:style>
  <w:style w:type="paragraph" w:styleId="Listenabsatz">
    <w:name w:val="List Paragraph"/>
    <w:basedOn w:val="Standard"/>
    <w:uiPriority w:val="34"/>
    <w:qFormat/>
    <w:rsid w:val="0012327C"/>
    <w:pPr>
      <w:ind w:left="720"/>
      <w:contextualSpacing/>
    </w:pPr>
  </w:style>
  <w:style w:type="character" w:styleId="Hyperlink">
    <w:name w:val="Hyperlink"/>
    <w:basedOn w:val="Absatz-Standardschriftart"/>
    <w:uiPriority w:val="99"/>
    <w:unhideWhenUsed/>
    <w:rsid w:val="009912FD"/>
    <w:rPr>
      <w:color w:val="0563C1" w:themeColor="hyperlink"/>
      <w:u w:val="single"/>
    </w:rPr>
  </w:style>
  <w:style w:type="table" w:customStyle="1" w:styleId="Gitternetztabelle1hellAkzent31">
    <w:name w:val="Gitternetztabelle 1 hell  – Akzent 31"/>
    <w:basedOn w:val="NormaleTabelle"/>
    <w:next w:val="Gitternetztabelle1hellAkzent3"/>
    <w:uiPriority w:val="46"/>
    <w:rsid w:val="006F1119"/>
    <w:pPr>
      <w:spacing w:after="0" w:line="240" w:lineRule="auto"/>
    </w:pPr>
    <w:rPr>
      <w:rFonts w:eastAsia="Calibri"/>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6F1119"/>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Inhaltsverzeichnisberschrift">
    <w:name w:val="TOC Heading"/>
    <w:basedOn w:val="berschrift1"/>
    <w:next w:val="Standard"/>
    <w:uiPriority w:val="39"/>
    <w:unhideWhenUsed/>
    <w:qFormat/>
    <w:rsid w:val="00A81057"/>
    <w:pPr>
      <w:jc w:val="left"/>
      <w:outlineLvl w:val="9"/>
    </w:pPr>
    <w:rPr>
      <w:rFonts w:asciiTheme="majorHAnsi" w:hAnsiTheme="majorHAnsi"/>
      <w:b w:val="0"/>
      <w:color w:val="2E74B5" w:themeColor="accent1" w:themeShade="BF"/>
      <w:sz w:val="32"/>
      <w:lang w:eastAsia="de-DE"/>
    </w:rPr>
  </w:style>
  <w:style w:type="paragraph" w:styleId="Verzeichnis1">
    <w:name w:val="toc 1"/>
    <w:basedOn w:val="Standard"/>
    <w:next w:val="Standard"/>
    <w:autoRedefine/>
    <w:uiPriority w:val="39"/>
    <w:unhideWhenUsed/>
    <w:rsid w:val="00A81057"/>
    <w:pPr>
      <w:spacing w:after="100"/>
    </w:pPr>
  </w:style>
  <w:style w:type="paragraph" w:styleId="Verzeichnis2">
    <w:name w:val="toc 2"/>
    <w:basedOn w:val="Standard"/>
    <w:next w:val="Standard"/>
    <w:autoRedefine/>
    <w:uiPriority w:val="39"/>
    <w:unhideWhenUsed/>
    <w:rsid w:val="00A81057"/>
    <w:pPr>
      <w:spacing w:after="100"/>
      <w:ind w:left="220"/>
    </w:pPr>
  </w:style>
  <w:style w:type="paragraph" w:styleId="Kopfzeile">
    <w:name w:val="header"/>
    <w:basedOn w:val="Standard"/>
    <w:link w:val="KopfzeileZchn"/>
    <w:uiPriority w:val="99"/>
    <w:unhideWhenUsed/>
    <w:rsid w:val="00362D33"/>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362D3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1AE298AC6074C95BBE961E07F1607B1"/>
        <w:category>
          <w:name w:val="Allgemein"/>
          <w:gallery w:val="placeholder"/>
        </w:category>
        <w:types>
          <w:type w:val="bbPlcHdr"/>
        </w:types>
        <w:behaviors>
          <w:behavior w:val="content"/>
        </w:behaviors>
        <w:guid w:val="{EEF6B4F5-93B0-413E-908F-45BF0EF8AE71}"/>
      </w:docPartPr>
      <w:docPartBody>
        <w:p w:rsidR="007C05BA" w:rsidRDefault="00EE5A61" w:rsidP="00EE5A61">
          <w:pPr>
            <w:pStyle w:val="51AE298AC6074C95BBE961E07F1607B1"/>
          </w:pPr>
          <w:r>
            <w:rPr>
              <w:rFonts w:asciiTheme="majorHAnsi" w:eastAsiaTheme="majorEastAsia" w:hAnsiTheme="majorHAnsi" w:cstheme="majorBidi"/>
              <w:color w:val="5B9BD5" w:themeColor="accent1"/>
              <w:sz w:val="88"/>
              <w:szCs w:val="88"/>
            </w:rPr>
            <w:t>[Dokumenttitel]</w:t>
          </w:r>
        </w:p>
      </w:docPartBody>
    </w:docPart>
    <w:docPart>
      <w:docPartPr>
        <w:name w:val="0A2ADE6923EF4E88A1B0F97D47DC0490"/>
        <w:category>
          <w:name w:val="Allgemein"/>
          <w:gallery w:val="placeholder"/>
        </w:category>
        <w:types>
          <w:type w:val="bbPlcHdr"/>
        </w:types>
        <w:behaviors>
          <w:behavior w:val="content"/>
        </w:behaviors>
        <w:guid w:val="{3D0E1F18-796E-40BB-95A4-D97A61ED808E}"/>
      </w:docPartPr>
      <w:docPartBody>
        <w:p w:rsidR="007C05BA" w:rsidRDefault="00EE5A61" w:rsidP="00EE5A61">
          <w:pPr>
            <w:pStyle w:val="0A2ADE6923EF4E88A1B0F97D47DC0490"/>
          </w:pPr>
          <w:r>
            <w:rPr>
              <w:color w:val="2E74B5" w:themeColor="accent1" w:themeShade="BF"/>
              <w:sz w:val="24"/>
              <w:szCs w:val="24"/>
            </w:rPr>
            <w:t>[Untertitel des Dokuments]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A61"/>
    <w:rsid w:val="007C05BA"/>
    <w:rsid w:val="00EE5A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981E141B5AA949DDA10B258B3DC257CA">
    <w:name w:val="981E141B5AA949DDA10B258B3DC257CA"/>
    <w:rsid w:val="00EE5A61"/>
  </w:style>
  <w:style w:type="paragraph" w:customStyle="1" w:styleId="08834131E2EC449A82F3B19E85B1F3DE">
    <w:name w:val="08834131E2EC449A82F3B19E85B1F3DE"/>
    <w:rsid w:val="00EE5A61"/>
  </w:style>
  <w:style w:type="paragraph" w:customStyle="1" w:styleId="49F5B426979C4E4EB0F72D163F02EE79">
    <w:name w:val="49F5B426979C4E4EB0F72D163F02EE79"/>
    <w:rsid w:val="00EE5A61"/>
  </w:style>
  <w:style w:type="paragraph" w:customStyle="1" w:styleId="26393749D87C4968B8B4F4B8AFE10314">
    <w:name w:val="26393749D87C4968B8B4F4B8AFE10314"/>
    <w:rsid w:val="00EE5A61"/>
  </w:style>
  <w:style w:type="paragraph" w:customStyle="1" w:styleId="65745DC708414095A491AE636BA7564C">
    <w:name w:val="65745DC708414095A491AE636BA7564C"/>
    <w:rsid w:val="00EE5A61"/>
  </w:style>
  <w:style w:type="paragraph" w:customStyle="1" w:styleId="4F2EB491E29C416F92C0289C9202BBE8">
    <w:name w:val="4F2EB491E29C416F92C0289C9202BBE8"/>
    <w:rsid w:val="00EE5A61"/>
  </w:style>
  <w:style w:type="paragraph" w:customStyle="1" w:styleId="B50BD8893D9047BC8C92343105813D4D">
    <w:name w:val="B50BD8893D9047BC8C92343105813D4D"/>
    <w:rsid w:val="00EE5A61"/>
  </w:style>
  <w:style w:type="paragraph" w:customStyle="1" w:styleId="6D242AC84CAA4EC9A3B878D7F6AEC257">
    <w:name w:val="6D242AC84CAA4EC9A3B878D7F6AEC257"/>
    <w:rsid w:val="00EE5A61"/>
  </w:style>
  <w:style w:type="paragraph" w:customStyle="1" w:styleId="8148AFA444694B63BEC2C401E71E0CCC">
    <w:name w:val="8148AFA444694B63BEC2C401E71E0CCC"/>
    <w:rsid w:val="00EE5A61"/>
  </w:style>
  <w:style w:type="paragraph" w:customStyle="1" w:styleId="744DDA78BBF34875BF1FAA13F828A828">
    <w:name w:val="744DDA78BBF34875BF1FAA13F828A828"/>
    <w:rsid w:val="00EE5A61"/>
  </w:style>
  <w:style w:type="paragraph" w:customStyle="1" w:styleId="51AE298AC6074C95BBE961E07F1607B1">
    <w:name w:val="51AE298AC6074C95BBE961E07F1607B1"/>
    <w:rsid w:val="00EE5A61"/>
  </w:style>
  <w:style w:type="paragraph" w:customStyle="1" w:styleId="0A2ADE6923EF4E88A1B0F97D47DC0490">
    <w:name w:val="0A2ADE6923EF4E88A1B0F97D47DC0490"/>
    <w:rsid w:val="00EE5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92439-3C6B-4DE9-9F9C-6B8AFD2D0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2516</Words>
  <Characters>15852</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Proposal for Master Thesis</vt:lpstr>
    </vt:vector>
  </TitlesOfParts>
  <Company>Universität Witten/Herdecke</Company>
  <LinksUpToDate>false</LinksUpToDate>
  <CharactersWithSpaces>18332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 Master Thesis</dc:title>
  <dc:subject>Timeliness of patient versions of clinical practice guidelines and potential methodological influencing factors: a mixed-methods analysis of patient versions of guidelines.</dc:subject>
  <dc:creator>Hellbrecht, Irma</dc:creator>
  <cp:keywords/>
  <dc:description/>
  <cp:lastModifiedBy>Hellbrecht, Irma</cp:lastModifiedBy>
  <cp:revision>10</cp:revision>
  <dcterms:created xsi:type="dcterms:W3CDTF">2023-09-14T09:08:00Z</dcterms:created>
  <dcterms:modified xsi:type="dcterms:W3CDTF">2023-10-04T10:52:00Z</dcterms:modified>
</cp:coreProperties>
</file>